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2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附件2</w:t>
      </w:r>
    </w:p>
    <w:p w14:paraId="7F4537C1">
      <w:pPr>
        <w:keepNext w:val="0"/>
        <w:keepLines w:val="0"/>
        <w:pageBreakBefore w:val="0"/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部门整体支出绩效自评表</w:t>
      </w:r>
    </w:p>
    <w:tbl>
      <w:tblPr>
        <w:tblStyle w:val="3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108"/>
        <w:gridCol w:w="1064"/>
        <w:gridCol w:w="982"/>
        <w:gridCol w:w="90"/>
        <w:gridCol w:w="1162"/>
        <w:gridCol w:w="1106"/>
        <w:gridCol w:w="692"/>
        <w:gridCol w:w="816"/>
        <w:gridCol w:w="1123"/>
      </w:tblGrid>
      <w:tr w14:paraId="688D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19" w:type="dxa"/>
            <w:noWrap w:val="0"/>
            <w:vAlign w:val="center"/>
          </w:tcPr>
          <w:p w14:paraId="657D5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43" w:type="dxa"/>
            <w:gridSpan w:val="9"/>
            <w:shd w:val="clear" w:color="auto" w:fill="auto"/>
            <w:noWrap w:val="0"/>
            <w:vAlign w:val="center"/>
          </w:tcPr>
          <w:p w14:paraId="6CCEFD64">
            <w:pPr>
              <w:pStyle w:val="5"/>
              <w:jc w:val="center"/>
              <w:rPr>
                <w:rFonts w:hint="default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怀化市医疗保障事务中心</w:t>
            </w:r>
          </w:p>
        </w:tc>
      </w:tr>
      <w:tr w14:paraId="55EA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19" w:type="dxa"/>
            <w:vMerge w:val="restart"/>
            <w:noWrap w:val="0"/>
            <w:vAlign w:val="center"/>
          </w:tcPr>
          <w:p w14:paraId="0C34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01957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5F62F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82" w:type="dxa"/>
            <w:noWrap w:val="0"/>
            <w:vAlign w:val="center"/>
          </w:tcPr>
          <w:p w14:paraId="1636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 w14:paraId="39F8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52" w:type="dxa"/>
            <w:gridSpan w:val="2"/>
            <w:noWrap w:val="0"/>
            <w:vAlign w:val="center"/>
          </w:tcPr>
          <w:p w14:paraId="3683C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06" w:type="dxa"/>
            <w:noWrap w:val="0"/>
            <w:vAlign w:val="center"/>
          </w:tcPr>
          <w:p w14:paraId="45A61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3BA5B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692" w:type="dxa"/>
            <w:noWrap w:val="0"/>
            <w:vAlign w:val="center"/>
          </w:tcPr>
          <w:p w14:paraId="2D240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3B9E9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123" w:type="dxa"/>
            <w:noWrap w:val="0"/>
            <w:vAlign w:val="center"/>
          </w:tcPr>
          <w:p w14:paraId="2F03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93B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751D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547B1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82" w:type="dxa"/>
            <w:noWrap w:val="0"/>
            <w:vAlign w:val="center"/>
          </w:tcPr>
          <w:p w14:paraId="6292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546.45</w:t>
            </w:r>
          </w:p>
        </w:tc>
        <w:tc>
          <w:tcPr>
            <w:tcW w:w="1252" w:type="dxa"/>
            <w:gridSpan w:val="2"/>
            <w:noWrap w:val="0"/>
            <w:vAlign w:val="center"/>
          </w:tcPr>
          <w:p w14:paraId="0F0B7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817.98</w:t>
            </w:r>
          </w:p>
        </w:tc>
        <w:tc>
          <w:tcPr>
            <w:tcW w:w="1106" w:type="dxa"/>
            <w:noWrap w:val="0"/>
            <w:vAlign w:val="center"/>
          </w:tcPr>
          <w:p w14:paraId="73F6D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809.45</w:t>
            </w:r>
          </w:p>
        </w:tc>
        <w:tc>
          <w:tcPr>
            <w:tcW w:w="692" w:type="dxa"/>
            <w:noWrap w:val="0"/>
            <w:vAlign w:val="center"/>
          </w:tcPr>
          <w:p w14:paraId="057BC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63FB0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98.96%</w:t>
            </w:r>
          </w:p>
        </w:tc>
        <w:tc>
          <w:tcPr>
            <w:tcW w:w="1123" w:type="dxa"/>
            <w:noWrap w:val="0"/>
            <w:vAlign w:val="center"/>
          </w:tcPr>
          <w:p w14:paraId="0A22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9.9</w:t>
            </w:r>
          </w:p>
        </w:tc>
      </w:tr>
      <w:tr w14:paraId="7206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698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78BC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809.45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03E8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809.45</w:t>
            </w:r>
          </w:p>
        </w:tc>
      </w:tr>
      <w:tr w14:paraId="794B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03A6A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64C4E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809.45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08A0D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544.30</w:t>
            </w:r>
          </w:p>
        </w:tc>
      </w:tr>
      <w:tr w14:paraId="594B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C16D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7708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20C07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265.15</w:t>
            </w:r>
          </w:p>
        </w:tc>
      </w:tr>
      <w:tr w14:paraId="4FFA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181DC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3BA85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01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FFE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1D642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7A6A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7107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6B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9" w:type="dxa"/>
            <w:vMerge w:val="restart"/>
            <w:noWrap w:val="0"/>
            <w:vAlign w:val="center"/>
          </w:tcPr>
          <w:p w14:paraId="6C25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06" w:type="dxa"/>
            <w:gridSpan w:val="5"/>
            <w:noWrap w:val="0"/>
            <w:vAlign w:val="center"/>
          </w:tcPr>
          <w:p w14:paraId="7D8E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6A781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0099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F476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6" w:type="dxa"/>
            <w:gridSpan w:val="5"/>
            <w:noWrap w:val="0"/>
            <w:vAlign w:val="center"/>
          </w:tcPr>
          <w:p w14:paraId="5ECC2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一）围绕中心，推动医保领域各项重点工作深入开展，全力推进国家信息平台上线，持续完善DIP实际付费；（二）聚焦民生，深入开展“我为群众办实事”实践活动，用党史学习教育成效推动实际工作，不断提升医保公共服务质量和水平；（三）强化监管，全力保障医保基金安全平稳运行，积极开展医保基金集中整治，全面完成经办管理风险排查，构建完善经办内控监督体系。</w:t>
            </w:r>
          </w:p>
        </w:tc>
        <w:tc>
          <w:tcPr>
            <w:tcW w:w="3737" w:type="dxa"/>
            <w:gridSpan w:val="4"/>
            <w:noWrap w:val="0"/>
            <w:vAlign w:val="center"/>
          </w:tcPr>
          <w:p w14:paraId="38B37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年，我中心圆满完成了各项工作任务与总体目标，为全市人民的医疗保障事业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做出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了积极贡献，主要是：</w:t>
            </w:r>
          </w:p>
          <w:p w14:paraId="244F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一）DIP政策稳步推进，2025年城镇职工全年纳入DIP结算费用预计5.44亿元，同比减少2.8%；城乡居民医保基金全年纳入DIP结算费用预计23.1亿元，同比减少6.72%。为合理支持医疗机构收治疑难重症患者，严格执行特例单议制度，并建立了多维度补偿渠道，形成了共建共治共享的医保治理新格局。（二）聚焦民生，“高效办成一件事”重点事项和湘医保·心服务惠民提效28项举措落地见效，最大程度地便民利民。进一步落实就医购药诊间结算，推动定点医疗机构开通医保移动支付。生育津贴按程序发放至参保女职工个人。实现31个慢特病门诊待遇资格复审“零资料”线上延期。（三）对于医保基金支付按要求进行双岗双审，保障每一笔结算款准确及时支付，全力保障医保基金安全平稳运行，始终保持打击欺诈骗保高压态势，运用智能监控、日常稽核、专项检查等多种方式，实现对定点医药机构监督检查全覆盖。。</w:t>
            </w:r>
          </w:p>
        </w:tc>
      </w:tr>
      <w:tr w14:paraId="1005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19" w:type="dxa"/>
            <w:vMerge w:val="restart"/>
            <w:noWrap w:val="0"/>
            <w:vAlign w:val="center"/>
          </w:tcPr>
          <w:p w14:paraId="3F978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E2BA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975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19363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108" w:type="dxa"/>
            <w:noWrap w:val="0"/>
            <w:vAlign w:val="center"/>
          </w:tcPr>
          <w:p w14:paraId="4D273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64" w:type="dxa"/>
            <w:noWrap w:val="0"/>
            <w:vAlign w:val="center"/>
          </w:tcPr>
          <w:p w14:paraId="4C44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0636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62" w:type="dxa"/>
            <w:noWrap w:val="0"/>
            <w:vAlign w:val="center"/>
          </w:tcPr>
          <w:p w14:paraId="368D6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0D299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06" w:type="dxa"/>
            <w:noWrap w:val="0"/>
            <w:vAlign w:val="center"/>
          </w:tcPr>
          <w:p w14:paraId="2FFC0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774C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92" w:type="dxa"/>
            <w:noWrap w:val="0"/>
            <w:vAlign w:val="center"/>
          </w:tcPr>
          <w:p w14:paraId="41F80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7C304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23" w:type="dxa"/>
            <w:noWrap w:val="0"/>
            <w:vAlign w:val="top"/>
          </w:tcPr>
          <w:p w14:paraId="1DE81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75AE2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624FB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00D8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276D0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noWrap w:val="0"/>
            <w:vAlign w:val="center"/>
          </w:tcPr>
          <w:p w14:paraId="0BCC0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64" w:type="dxa"/>
            <w:vMerge w:val="restart"/>
            <w:noWrap w:val="0"/>
            <w:vAlign w:val="center"/>
          </w:tcPr>
          <w:p w14:paraId="7C73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4B9E497A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基本支出控制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6A92563D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万元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817CC5B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544.30万元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4B0CE426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3B98CBBA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7FB5B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721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F78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62A08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67EC5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A479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项目支出控制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52EA14BE">
            <w:pPr>
              <w:spacing w:before="73" w:line="195" w:lineRule="auto"/>
              <w:ind w:left="152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270万元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4AA16FCC">
            <w:pPr>
              <w:spacing w:before="73" w:line="195" w:lineRule="auto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265.15万元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0A2DACEB">
            <w:pPr>
              <w:spacing w:before="73" w:line="195" w:lineRule="auto"/>
              <w:ind w:left="152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0F45825C">
            <w:pPr>
              <w:spacing w:before="73" w:line="19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2FEA0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0F1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363E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6125E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A28D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CFDD77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全年预算金额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817.98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万元，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保障各项工作、任务顺利完成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2F49BCB0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609C886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98.96%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34415B60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1180B5BD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9.5</w:t>
            </w:r>
          </w:p>
        </w:tc>
        <w:tc>
          <w:tcPr>
            <w:tcW w:w="1123" w:type="dxa"/>
            <w:shd w:val="clear" w:color="auto" w:fill="auto"/>
            <w:noWrap w:val="0"/>
            <w:vAlign w:val="top"/>
          </w:tcPr>
          <w:p w14:paraId="505947B9">
            <w:pPr>
              <w:pStyle w:val="5"/>
              <w:spacing w:line="230" w:lineRule="exact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部分资金冻结且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支付有限制</w:t>
            </w:r>
          </w:p>
        </w:tc>
      </w:tr>
      <w:tr w14:paraId="6F3F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D83F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0BE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0E59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3AE985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无直接影响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3BEEE16C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5C9C397A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707D8561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1E4BFE35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1D8A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724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25584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noWrap w:val="0"/>
            <w:vAlign w:val="center"/>
          </w:tcPr>
          <w:p w14:paraId="2E21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4104B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noWrap w:val="0"/>
            <w:vAlign w:val="center"/>
          </w:tcPr>
          <w:p w14:paraId="0467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 w14:paraId="1E769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2B3FDD7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医保工作重点完成率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1AF5210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≥90%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6AABE7FD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≥90%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5E18AEFA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D0A0093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3339E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30333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330C9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6EEE4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6834E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71B9EE7A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做好医疗待遇保障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69471535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6BF8E8B5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75C3E3DF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59267755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3F85B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3476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E03D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C57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noWrap w:val="0"/>
            <w:vAlign w:val="center"/>
          </w:tcPr>
          <w:p w14:paraId="341CD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491D7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45C5280D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保障医保日常工作正常运转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57A00836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AE24C0A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3624F29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24AF832A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23" w:type="dxa"/>
            <w:noWrap w:val="0"/>
            <w:vAlign w:val="center"/>
          </w:tcPr>
          <w:p w14:paraId="55355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2ADF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54AC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50225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6A773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4C3920B3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业务办理差错率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3DC7E254">
            <w:pPr>
              <w:pStyle w:val="5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0%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7F00E56">
            <w:pPr>
              <w:pStyle w:val="5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0%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39ED1298">
            <w:pPr>
              <w:pStyle w:val="5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1855AAD1">
            <w:pPr>
              <w:pStyle w:val="5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79BD5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6271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40CB3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460DA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F94B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53BCE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109C7FEA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完成及时性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243A602B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2025年12月31日前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461FBFEC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2025年12月31日前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21A58C1B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2843FCFE">
            <w:pPr>
              <w:pStyle w:val="5"/>
              <w:spacing w:line="2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23" w:type="dxa"/>
            <w:noWrap w:val="0"/>
            <w:vAlign w:val="center"/>
          </w:tcPr>
          <w:p w14:paraId="74513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09CC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2FE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noWrap w:val="0"/>
            <w:vAlign w:val="center"/>
          </w:tcPr>
          <w:p w14:paraId="191E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2248A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noWrap w:val="0"/>
            <w:vAlign w:val="center"/>
          </w:tcPr>
          <w:p w14:paraId="13801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33128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EBBE3CF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促进医疗资源的合理利用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474A5D2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6DFEC30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52158094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312926C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530AB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135E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27A5D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5AF4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60F83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0EE19114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建立健全并有效执行各项管理制度，加强经费及资产管理，提高行政效率，降低行政成本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0ECE8AB6">
            <w:pPr>
              <w:pStyle w:val="5"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2FD172AA">
            <w:pPr>
              <w:pStyle w:val="5"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5F0529EF">
            <w:pPr>
              <w:pStyle w:val="5"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6A4DB3DC">
            <w:pPr>
              <w:pStyle w:val="5"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6BF6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401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C19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18D3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  <w:noWrap w:val="0"/>
            <w:vAlign w:val="center"/>
          </w:tcPr>
          <w:p w14:paraId="0528A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04C6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D88BD9B">
            <w:pPr>
              <w:pStyle w:val="5"/>
              <w:spacing w:line="229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提升医保公共服务质量和水平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5205284E">
            <w:pPr>
              <w:pStyle w:val="5"/>
              <w:spacing w:line="229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02645640">
            <w:pPr>
              <w:pStyle w:val="5"/>
              <w:spacing w:line="229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2083A164">
            <w:pPr>
              <w:pStyle w:val="5"/>
              <w:spacing w:line="229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4633CB59">
            <w:pPr>
              <w:pStyle w:val="5"/>
              <w:spacing w:line="229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735E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7D0A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75047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139A6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vMerge w:val="continue"/>
            <w:noWrap w:val="0"/>
            <w:vAlign w:val="center"/>
          </w:tcPr>
          <w:p w14:paraId="331D6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39E21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减轻患者的医疗费用压力，有效提升公众的健康水平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。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38BDF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16E07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673DE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3DAC0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59BFE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50BE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BD16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31B79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830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309FF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075BE70D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无直接影响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14C86248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00E94963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0A922AEF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2D00C3E7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41B2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5EBD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561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 w14:paraId="772AA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FBC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11D79D15">
            <w:pPr>
              <w:pStyle w:val="5"/>
              <w:spacing w:line="228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保障医保工作正常有序开展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08C69CA7">
            <w:pPr>
              <w:pStyle w:val="5"/>
              <w:spacing w:line="228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0B3C7A9D">
            <w:pPr>
              <w:pStyle w:val="5"/>
              <w:spacing w:line="228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017F888E">
            <w:pPr>
              <w:pStyle w:val="5"/>
              <w:spacing w:line="228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2FC6B3E2">
            <w:pPr>
              <w:pStyle w:val="5"/>
              <w:spacing w:line="228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23" w:type="dxa"/>
            <w:noWrap w:val="0"/>
            <w:vAlign w:val="center"/>
          </w:tcPr>
          <w:p w14:paraId="6E044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1BC9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4D45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4853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3A82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3C2F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699F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072" w:type="dxa"/>
            <w:gridSpan w:val="2"/>
            <w:shd w:val="clear" w:color="auto" w:fill="auto"/>
            <w:noWrap w:val="0"/>
            <w:vAlign w:val="center"/>
          </w:tcPr>
          <w:p w14:paraId="02D08B51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  <w:t>使用人员满意度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11C74467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≥90%</w:t>
            </w:r>
          </w:p>
        </w:tc>
        <w:tc>
          <w:tcPr>
            <w:tcW w:w="1106" w:type="dxa"/>
            <w:shd w:val="clear" w:color="auto" w:fill="auto"/>
            <w:noWrap w:val="0"/>
            <w:vAlign w:val="center"/>
          </w:tcPr>
          <w:p w14:paraId="38871719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≥90%</w:t>
            </w:r>
          </w:p>
        </w:tc>
        <w:tc>
          <w:tcPr>
            <w:tcW w:w="692" w:type="dxa"/>
            <w:shd w:val="clear" w:color="auto" w:fill="auto"/>
            <w:noWrap w:val="0"/>
            <w:vAlign w:val="center"/>
          </w:tcPr>
          <w:p w14:paraId="43A71535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16" w:type="dxa"/>
            <w:shd w:val="clear" w:color="auto" w:fill="auto"/>
            <w:noWrap w:val="0"/>
            <w:vAlign w:val="center"/>
          </w:tcPr>
          <w:p w14:paraId="7B513B28">
            <w:pPr>
              <w:pStyle w:val="5"/>
              <w:spacing w:line="23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23" w:type="dxa"/>
            <w:noWrap w:val="0"/>
            <w:vAlign w:val="center"/>
          </w:tcPr>
          <w:p w14:paraId="3E5DB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　</w:t>
            </w:r>
          </w:p>
        </w:tc>
      </w:tr>
      <w:tr w14:paraId="2B14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31" w:type="dxa"/>
            <w:gridSpan w:val="7"/>
            <w:noWrap w:val="0"/>
            <w:vAlign w:val="center"/>
          </w:tcPr>
          <w:p w14:paraId="302A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692" w:type="dxa"/>
            <w:noWrap w:val="0"/>
            <w:vAlign w:val="center"/>
          </w:tcPr>
          <w:p w14:paraId="7121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16" w:type="dxa"/>
            <w:noWrap w:val="0"/>
            <w:vAlign w:val="center"/>
          </w:tcPr>
          <w:p w14:paraId="7E1C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99.5</w:t>
            </w:r>
          </w:p>
        </w:tc>
        <w:tc>
          <w:tcPr>
            <w:tcW w:w="1123" w:type="dxa"/>
            <w:noWrap w:val="0"/>
            <w:vAlign w:val="center"/>
          </w:tcPr>
          <w:p w14:paraId="2097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447AA491">
      <w:pPr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易康睿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2026年6月2日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0745-2717696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E90B5B"/>
    <w:rsid w:val="0C220ED8"/>
    <w:rsid w:val="1B133F78"/>
    <w:rsid w:val="1DF13655"/>
    <w:rsid w:val="2144780F"/>
    <w:rsid w:val="24F41976"/>
    <w:rsid w:val="27BD2C1E"/>
    <w:rsid w:val="2A5779C5"/>
    <w:rsid w:val="2B1E5CB3"/>
    <w:rsid w:val="2BE30D8F"/>
    <w:rsid w:val="2F7B1BAE"/>
    <w:rsid w:val="31B9045F"/>
    <w:rsid w:val="35632CFB"/>
    <w:rsid w:val="37966963"/>
    <w:rsid w:val="3F231323"/>
    <w:rsid w:val="3F3D1AFA"/>
    <w:rsid w:val="444C1F91"/>
    <w:rsid w:val="44FA66D6"/>
    <w:rsid w:val="45A57BAB"/>
    <w:rsid w:val="4B23702A"/>
    <w:rsid w:val="4B965E5E"/>
    <w:rsid w:val="5BD1449B"/>
    <w:rsid w:val="681F5143"/>
    <w:rsid w:val="6E352903"/>
    <w:rsid w:val="71AA3CCF"/>
    <w:rsid w:val="7407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1210</Words>
  <Characters>1368</Characters>
  <Lines>0</Lines>
  <Paragraphs>0</Paragraphs>
  <TotalTime>3</TotalTime>
  <ScaleCrop>false</ScaleCrop>
  <LinksUpToDate>false</LinksUpToDate>
  <CharactersWithSpaces>1407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2026-06-01T03:21:00Z</dcterms:created>
  <dc:creator>  隐匿 </dc:creator>
  <cp:lastModifiedBy>  隐匿 </cp:lastModifiedBy>
  <dcterms:modified xsi:type="dcterms:W3CDTF">2026-06-10T02:37:42Z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EC172248A726468C8F543D1050362078_11</vt:lpwstr>
  </property>
  <property fmtid="{D5CDD505-2E9C-101B-9397-08002B2CF9AE}" pid="4" name="KSOTemplateDocerSaveRecord">
    <vt:lpwstr>eyJoZGlkIjoiYzJhN2M2MTc2MTg5NzdjZjQ0NjcyZTZkYTcyM2Y1ZTAiLCJ1c2VySWQiOiI0MjQ1ODAwODUifQ==</vt:lpwstr>
  </property>
</Properties>
</file>