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eastAsia" w:ascii="黑体" w:hAnsi="黑体" w:eastAsia="黑体" w:cs="黑体"/>
          <w:b w:val="0"/>
          <w:bCs w:val="0"/>
          <w:color w:val="000000" w:themeColor="text1"/>
          <w:spacing w:val="0"/>
          <w:sz w:val="32"/>
          <w:szCs w:val="32"/>
          <w:lang w:val="en" w:eastAsia="zh-CN"/>
          <w14:textFill>
            <w14:solidFill>
              <w14:schemeClr w14:val="tx1"/>
            </w14:solidFill>
          </w14:textFill>
        </w:rPr>
      </w:pPr>
      <w:r>
        <w:rPr>
          <w:rFonts w:hint="eastAsia" w:ascii="黑体" w:hAnsi="黑体" w:eastAsia="黑体" w:cs="黑体"/>
          <w:b w:val="0"/>
          <w:bCs w:val="0"/>
          <w:color w:val="000000" w:themeColor="text1"/>
          <w:spacing w:val="0"/>
          <w:sz w:val="32"/>
          <w:szCs w:val="32"/>
          <w:lang w:val="en" w:eastAsia="zh-CN"/>
          <w14:textFill>
            <w14:solidFill>
              <w14:schemeClr w14:val="tx1"/>
            </w14:solidFill>
          </w14:textFill>
        </w:rPr>
        <w:t>附件：</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color w:val="000000" w:themeColor="text1"/>
          <w:spacing w:val="0"/>
          <w:sz w:val="44"/>
          <w:szCs w:val="44"/>
          <w:lang w:val="en"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pacing w:val="0"/>
          <w:sz w:val="44"/>
          <w:szCs w:val="44"/>
          <w:lang w:val="en" w:eastAsia="zh-CN"/>
          <w14:textFill>
            <w14:solidFill>
              <w14:schemeClr w14:val="tx1"/>
            </w14:solidFill>
          </w14:textFill>
        </w:rPr>
        <w:t>怀化市长期护理保险实施细则</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楷体_GB2312" w:hAnsi="楷体_GB2312" w:eastAsia="楷体_GB2312" w:cs="楷体_GB2312"/>
          <w:b w:val="0"/>
          <w:bCs w:val="0"/>
          <w:color w:val="000000" w:themeColor="text1"/>
          <w:spacing w:val="0"/>
          <w:sz w:val="32"/>
          <w:szCs w:val="32"/>
          <w:lang w:val="en" w:eastAsia="zh-CN"/>
          <w14:textFill>
            <w14:solidFill>
              <w14:schemeClr w14:val="tx1"/>
            </w14:solidFill>
          </w14:textFill>
        </w:rPr>
      </w:pPr>
      <w:r>
        <w:rPr>
          <w:rFonts w:hint="eastAsia" w:ascii="楷体_GB2312" w:hAnsi="楷体_GB2312" w:eastAsia="楷体_GB2312" w:cs="楷体_GB2312"/>
          <w:b w:val="0"/>
          <w:bCs w:val="0"/>
          <w:color w:val="000000" w:themeColor="text1"/>
          <w:spacing w:val="0"/>
          <w:sz w:val="32"/>
          <w:szCs w:val="32"/>
          <w:lang w:val="en" w:eastAsia="zh-CN"/>
          <w14:textFill>
            <w14:solidFill>
              <w14:schemeClr w14:val="tx1"/>
            </w14:solidFill>
          </w14:textFill>
        </w:rPr>
        <w:t>（征求意见稿）</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center"/>
        <w:textAlignment w:val="auto"/>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620" w:lineRule="exact"/>
        <w:jc w:val="center"/>
        <w:textAlignment w:val="auto"/>
        <w:rPr>
          <w:rFonts w:hint="eastAsia" w:ascii="黑体" w:hAnsi="黑体" w:eastAsia="黑体" w:cs="黑体"/>
          <w:b w:val="0"/>
          <w:bCs w:val="0"/>
          <w:color w:val="000000" w:themeColor="text1"/>
          <w:spacing w:val="0"/>
          <w:sz w:val="32"/>
          <w:szCs w:val="32"/>
          <w:lang w:val="en-US" w:eastAsia="zh-CN"/>
          <w14:textFill>
            <w14:solidFill>
              <w14:schemeClr w14:val="tx1"/>
            </w14:solidFill>
          </w14:textFill>
        </w:rPr>
      </w:pPr>
      <w:r>
        <w:rPr>
          <w:rFonts w:hint="eastAsia" w:ascii="黑体" w:hAnsi="黑体" w:eastAsia="黑体" w:cs="黑体"/>
          <w:b w:val="0"/>
          <w:bCs w:val="0"/>
          <w:color w:val="000000" w:themeColor="text1"/>
          <w:spacing w:val="0"/>
          <w:kern w:val="2"/>
          <w:sz w:val="32"/>
          <w:szCs w:val="32"/>
          <w:lang w:val="en-US" w:eastAsia="zh-CN" w:bidi="ar-SA"/>
          <w14:textFill>
            <w14:solidFill>
              <w14:schemeClr w14:val="tx1"/>
            </w14:solidFill>
          </w14:textFill>
        </w:rPr>
        <w:t xml:space="preserve">第一章  </w:t>
      </w:r>
      <w:r>
        <w:rPr>
          <w:rFonts w:hint="eastAsia" w:ascii="黑体" w:hAnsi="黑体" w:eastAsia="黑体" w:cs="黑体"/>
          <w:b w:val="0"/>
          <w:bCs w:val="0"/>
          <w:color w:val="000000" w:themeColor="text1"/>
          <w:spacing w:val="0"/>
          <w:sz w:val="32"/>
          <w:szCs w:val="32"/>
          <w:lang w:val="en-US" w:eastAsia="zh-CN"/>
          <w14:textFill>
            <w14:solidFill>
              <w14:schemeClr w14:val="tx1"/>
            </w14:solidFill>
          </w14:textFill>
        </w:rPr>
        <w:t>总  则</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第一条</w:t>
      </w:r>
      <w:bookmarkStart w:id="0" w:name="OLE_LINK26"/>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 xml:space="preserve"> </w:t>
      </w:r>
      <w:r>
        <w:rPr>
          <w:rFonts w:hint="eastAsia" w:ascii="Times New Roman" w:hAnsi="Times New Roman" w:eastAsia="仿宋_GB2312" w:cs="仿宋_GB2312"/>
          <w:color w:val="auto"/>
          <w:spacing w:val="0"/>
          <w:kern w:val="2"/>
          <w:sz w:val="32"/>
          <w:szCs w:val="32"/>
          <w:highlight w:val="none"/>
          <w:lang w:val="en-US" w:eastAsia="zh-CN" w:bidi="ar-SA"/>
        </w:rPr>
        <w:t>为深入贯彻落实党中央、国务院关于加快建立长期护理保险制度的决策部署，</w:t>
      </w:r>
      <w:bookmarkEnd w:id="0"/>
      <w:r>
        <w:rPr>
          <w:rFonts w:hint="default" w:ascii="Times New Roman" w:hAnsi="Times New Roman" w:eastAsia="仿宋_GB2312" w:cs="仿宋_GB2312"/>
          <w:color w:val="auto"/>
          <w:spacing w:val="0"/>
          <w:kern w:val="2"/>
          <w:sz w:val="32"/>
          <w:szCs w:val="32"/>
          <w:highlight w:val="none"/>
          <w:lang w:val="en-US" w:eastAsia="zh-CN" w:bidi="ar-SA"/>
        </w:rPr>
        <w:t>推动解决失能人员长期护理基本保障需求，</w:t>
      </w:r>
      <w:r>
        <w:rPr>
          <w:rFonts w:hint="eastAsia" w:ascii="Times New Roman" w:hAnsi="Times New Roman" w:eastAsia="仿宋_GB2312" w:cs="仿宋_GB2312"/>
          <w:color w:val="auto"/>
          <w:spacing w:val="0"/>
          <w:kern w:val="2"/>
          <w:sz w:val="32"/>
          <w:szCs w:val="32"/>
          <w:highlight w:val="none"/>
          <w:lang w:val="en-US" w:eastAsia="zh-CN" w:bidi="ar-SA"/>
        </w:rPr>
        <w:t>根据《中共中央办公厅 国务院办公厅关于加快建立长期护理保险制度的意见》（厅字〔2025〕19号）、《湖南省人民政府办公厅关于印发〈湖南省建立长期护理保险制度实施方案〉的通知》（湘政办发〔2026〕49号），结合我市实际，制定本实施细则。</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 xml:space="preserve">第二条 </w:t>
      </w:r>
      <w:r>
        <w:rPr>
          <w:rFonts w:hint="eastAsia" w:ascii="Times New Roman" w:hAnsi="Times New Roman" w:eastAsia="仿宋_GB2312" w:cs="仿宋_GB2312"/>
          <w:color w:val="auto"/>
          <w:spacing w:val="0"/>
          <w:kern w:val="2"/>
          <w:sz w:val="32"/>
          <w:szCs w:val="32"/>
          <w:highlight w:val="none"/>
          <w:lang w:val="en-US" w:eastAsia="zh-CN" w:bidi="ar-SA"/>
        </w:rPr>
        <w:t>长期护理保险制度是为失能人员的基本生活照料和与之密切相关的医疗护理提供服务或资金保障的社会保险制度，是我国社会保障体系的重要组成部分，是实施积极应对人口老龄化国家战略的重要内容。</w:t>
      </w:r>
    </w:p>
    <w:p>
      <w:pPr>
        <w:keepNext w:val="0"/>
        <w:keepLines w:val="0"/>
        <w:pageBreakBefore w:val="0"/>
        <w:widowControl w:val="0"/>
        <w:kinsoku/>
        <w:wordWrap/>
        <w:overflowPunct/>
        <w:topLinePunct w:val="0"/>
        <w:autoSpaceDE/>
        <w:autoSpaceDN/>
        <w:bidi w:val="0"/>
        <w:adjustRightInd/>
        <w:snapToGrid/>
        <w:spacing w:line="620" w:lineRule="exact"/>
        <w:ind w:left="0" w:firstLine="643" w:firstLineChars="200"/>
        <w:jc w:val="both"/>
        <w:textAlignment w:val="auto"/>
        <w:rPr>
          <w:rFonts w:hint="eastAsia" w:ascii="Times New Roman" w:hAnsi="Times New Roman" w:eastAsia="仿宋_GB2312" w:cs="仿宋_GB2312"/>
          <w:color w:val="FF0000"/>
          <w:spacing w:val="0"/>
          <w:kern w:val="2"/>
          <w:sz w:val="32"/>
          <w:szCs w:val="32"/>
          <w:lang w:val="en-US" w:eastAsia="zh-CN" w:bidi="ar-SA"/>
        </w:rPr>
      </w:pPr>
      <w:r>
        <w:rPr>
          <w:rFonts w:hint="eastAsia" w:ascii="Times New Roman" w:hAnsi="Times New Roman" w:eastAsia="仿宋_GB2312" w:cs="仿宋_GB2312"/>
          <w:b/>
          <w:bCs/>
          <w:color w:val="000000" w:themeColor="text1"/>
          <w:spacing w:val="0"/>
          <w:sz w:val="32"/>
          <w:szCs w:val="32"/>
          <w:lang w:eastAsia="zh-CN"/>
          <w14:textFill>
            <w14:solidFill>
              <w14:schemeClr w14:val="tx1"/>
            </w14:solidFill>
          </w14:textFill>
        </w:rPr>
        <w:t>第三条</w:t>
      </w:r>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 xml:space="preserve"> </w:t>
      </w:r>
      <w:r>
        <w:rPr>
          <w:rFonts w:hint="eastAsia" w:ascii="Times New Roman" w:hAnsi="Times New Roman" w:eastAsia="仿宋_GB2312" w:cs="仿宋_GB2312"/>
          <w:color w:val="auto"/>
          <w:spacing w:val="0"/>
          <w:kern w:val="2"/>
          <w:sz w:val="32"/>
          <w:szCs w:val="32"/>
          <w:highlight w:val="none"/>
          <w:lang w:val="en-US" w:eastAsia="zh-CN" w:bidi="ar-SA"/>
        </w:rPr>
        <w:t>坚持以习近平新时代中国特色社会主义思想为指导，深入贯彻党的二十大和二十届历次全会精神，按照“覆盖全民、统筹城乡、公平统一、安全规范、可持续”的总要求，到2028年，</w:t>
      </w:r>
      <w:r>
        <w:rPr>
          <w:rFonts w:hint="default" w:ascii="Times New Roman" w:hAnsi="Times New Roman" w:eastAsia="仿宋_GB2312" w:cs="仿宋_GB2312"/>
          <w:color w:val="auto"/>
          <w:spacing w:val="0"/>
          <w:kern w:val="2"/>
          <w:sz w:val="32"/>
          <w:szCs w:val="32"/>
          <w:highlight w:val="none"/>
          <w:lang w:val="en-US" w:eastAsia="zh-CN" w:bidi="ar-SA"/>
        </w:rPr>
        <w:t>基本建立与我</w:t>
      </w:r>
      <w:r>
        <w:rPr>
          <w:rFonts w:hint="eastAsia" w:ascii="Times New Roman" w:hAnsi="Times New Roman" w:eastAsia="仿宋_GB2312" w:cs="仿宋_GB2312"/>
          <w:color w:val="auto"/>
          <w:spacing w:val="0"/>
          <w:kern w:val="2"/>
          <w:sz w:val="32"/>
          <w:szCs w:val="32"/>
          <w:highlight w:val="none"/>
          <w:lang w:val="en-US" w:eastAsia="zh-CN" w:bidi="ar-SA"/>
        </w:rPr>
        <w:t>市</w:t>
      </w:r>
      <w:r>
        <w:rPr>
          <w:rFonts w:hint="default" w:ascii="Times New Roman" w:hAnsi="Times New Roman" w:eastAsia="仿宋_GB2312" w:cs="仿宋_GB2312"/>
          <w:color w:val="auto"/>
          <w:spacing w:val="0"/>
          <w:kern w:val="2"/>
          <w:sz w:val="32"/>
          <w:szCs w:val="32"/>
          <w:highlight w:val="none"/>
          <w:lang w:val="en-US" w:eastAsia="zh-CN" w:bidi="ar-SA"/>
        </w:rPr>
        <w:t>经济发展水平相适应、覆盖全</w:t>
      </w:r>
      <w:r>
        <w:rPr>
          <w:rFonts w:hint="eastAsia" w:ascii="Times New Roman" w:hAnsi="Times New Roman" w:eastAsia="仿宋_GB2312" w:cs="仿宋_GB2312"/>
          <w:color w:val="auto"/>
          <w:spacing w:val="0"/>
          <w:kern w:val="2"/>
          <w:sz w:val="32"/>
          <w:szCs w:val="32"/>
          <w:highlight w:val="none"/>
          <w:lang w:val="en-US" w:eastAsia="zh-CN" w:bidi="ar-SA"/>
        </w:rPr>
        <w:t>市</w:t>
      </w:r>
      <w:r>
        <w:rPr>
          <w:rFonts w:hint="default" w:ascii="Times New Roman" w:hAnsi="Times New Roman" w:eastAsia="仿宋_GB2312" w:cs="仿宋_GB2312"/>
          <w:color w:val="auto"/>
          <w:spacing w:val="0"/>
          <w:kern w:val="2"/>
          <w:sz w:val="32"/>
          <w:szCs w:val="32"/>
          <w:highlight w:val="none"/>
          <w:lang w:val="en-US" w:eastAsia="zh-CN" w:bidi="ar-SA"/>
        </w:rPr>
        <w:t>的长期护理保险制度</w:t>
      </w:r>
      <w:r>
        <w:rPr>
          <w:rFonts w:hint="eastAsia" w:ascii="Times New Roman" w:hAnsi="Times New Roman" w:eastAsia="仿宋_GB2312" w:cs="仿宋_GB2312"/>
          <w:color w:val="auto"/>
          <w:spacing w:val="0"/>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 xml:space="preserve">第四条 </w:t>
      </w:r>
      <w:r>
        <w:rPr>
          <w:rFonts w:hint="eastAsia" w:ascii="Times New Roman" w:hAnsi="Times New Roman" w:eastAsia="仿宋_GB2312" w:cs="仿宋_GB2312"/>
          <w:color w:val="auto"/>
          <w:spacing w:val="0"/>
          <w:kern w:val="2"/>
          <w:sz w:val="32"/>
          <w:szCs w:val="32"/>
          <w:highlight w:val="none"/>
          <w:lang w:val="en-US" w:eastAsia="zh-CN" w:bidi="ar-SA"/>
        </w:rPr>
        <w:t>根据实际，稳妥有序分步分批推进长期护理保险制度建设。2027年，启动实施就业人员（单位职工、退休人员、灵活就业人员）长期护理保险制度；2028年，启动实施未就业城乡居民长期护理保险制度，实现长期护理保险制度全覆盖。</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eastAsia" w:ascii="Times New Roman" w:hAnsi="Times New Roman" w:eastAsia="仿宋_GB2312" w:cs="仿宋_GB2312"/>
          <w:color w:val="FF0000"/>
          <w:spacing w:val="0"/>
          <w:kern w:val="2"/>
          <w:sz w:val="32"/>
          <w:szCs w:val="32"/>
          <w:highlight w:val="none"/>
          <w:lang w:val="en-US" w:eastAsia="zh-CN" w:bidi="ar-SA"/>
        </w:rPr>
      </w:pPr>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 xml:space="preserve">第五条 </w:t>
      </w:r>
      <w:r>
        <w:rPr>
          <w:rFonts w:hint="eastAsia" w:ascii="Times New Roman" w:hAnsi="Times New Roman" w:eastAsia="仿宋_GB2312" w:cs="仿宋_GB2312"/>
          <w:color w:val="auto"/>
          <w:spacing w:val="0"/>
          <w:kern w:val="2"/>
          <w:sz w:val="32"/>
          <w:szCs w:val="32"/>
          <w:highlight w:val="none"/>
          <w:lang w:val="en-US" w:eastAsia="zh-CN" w:bidi="ar-SA"/>
        </w:rPr>
        <w:t>长期护理保险实行市级统筹，市级区域内</w:t>
      </w:r>
      <w:r>
        <w:rPr>
          <w:rFonts w:hint="default" w:ascii="Times New Roman" w:hAnsi="Times New Roman" w:eastAsia="仿宋_GB2312" w:cs="仿宋_GB2312"/>
          <w:color w:val="auto"/>
          <w:spacing w:val="0"/>
          <w:kern w:val="2"/>
          <w:sz w:val="32"/>
          <w:szCs w:val="32"/>
          <w:highlight w:val="none"/>
          <w:lang w:val="en-US" w:eastAsia="zh-CN" w:bidi="ar-SA"/>
        </w:rPr>
        <w:t>统一</w:t>
      </w:r>
      <w:r>
        <w:rPr>
          <w:rFonts w:hint="eastAsia" w:ascii="Times New Roman" w:hAnsi="Times New Roman" w:eastAsia="仿宋_GB2312" w:cs="仿宋_GB2312"/>
          <w:color w:val="auto"/>
          <w:spacing w:val="0"/>
          <w:kern w:val="2"/>
          <w:sz w:val="32"/>
          <w:szCs w:val="32"/>
          <w:highlight w:val="none"/>
          <w:lang w:val="en-US" w:eastAsia="zh-CN" w:bidi="ar-SA"/>
        </w:rPr>
        <w:t>保障</w:t>
      </w:r>
      <w:r>
        <w:rPr>
          <w:rFonts w:hint="default" w:ascii="Times New Roman" w:hAnsi="Times New Roman" w:eastAsia="仿宋_GB2312" w:cs="仿宋_GB2312"/>
          <w:color w:val="auto"/>
          <w:spacing w:val="0"/>
          <w:kern w:val="2"/>
          <w:sz w:val="32"/>
          <w:szCs w:val="32"/>
          <w:highlight w:val="none"/>
          <w:lang w:val="en-US" w:eastAsia="zh-CN" w:bidi="ar-SA"/>
        </w:rPr>
        <w:t>范围、筹资政策、待遇</w:t>
      </w:r>
      <w:r>
        <w:rPr>
          <w:rFonts w:hint="eastAsia" w:ascii="Times New Roman" w:hAnsi="Times New Roman" w:eastAsia="仿宋_GB2312" w:cs="仿宋_GB2312"/>
          <w:color w:val="auto"/>
          <w:spacing w:val="0"/>
          <w:kern w:val="2"/>
          <w:sz w:val="32"/>
          <w:szCs w:val="32"/>
          <w:highlight w:val="none"/>
          <w:lang w:val="en-US" w:eastAsia="zh-CN" w:bidi="ar-SA"/>
        </w:rPr>
        <w:t>标准</w:t>
      </w:r>
      <w:r>
        <w:rPr>
          <w:rFonts w:hint="default" w:ascii="Times New Roman" w:hAnsi="Times New Roman" w:eastAsia="仿宋_GB2312" w:cs="仿宋_GB2312"/>
          <w:color w:val="auto"/>
          <w:spacing w:val="0"/>
          <w:kern w:val="2"/>
          <w:sz w:val="32"/>
          <w:szCs w:val="32"/>
          <w:highlight w:val="none"/>
          <w:lang w:val="en-US" w:eastAsia="zh-CN" w:bidi="ar-SA"/>
        </w:rPr>
        <w:t>、</w:t>
      </w:r>
      <w:r>
        <w:rPr>
          <w:rFonts w:hint="eastAsia" w:ascii="Times New Roman" w:hAnsi="Times New Roman" w:eastAsia="仿宋_GB2312" w:cs="仿宋_GB2312"/>
          <w:color w:val="auto"/>
          <w:spacing w:val="0"/>
          <w:kern w:val="2"/>
          <w:sz w:val="32"/>
          <w:szCs w:val="32"/>
          <w:highlight w:val="none"/>
          <w:lang w:val="en-US" w:eastAsia="zh-CN" w:bidi="ar-SA"/>
        </w:rPr>
        <w:t>基金</w:t>
      </w:r>
      <w:r>
        <w:rPr>
          <w:rFonts w:hint="default" w:ascii="Times New Roman" w:hAnsi="Times New Roman" w:eastAsia="仿宋_GB2312" w:cs="仿宋_GB2312"/>
          <w:color w:val="auto"/>
          <w:spacing w:val="0"/>
          <w:kern w:val="2"/>
          <w:sz w:val="32"/>
          <w:szCs w:val="32"/>
          <w:highlight w:val="none"/>
          <w:lang w:val="en-US" w:eastAsia="zh-CN" w:bidi="ar-SA"/>
        </w:rPr>
        <w:t>管理</w:t>
      </w:r>
      <w:r>
        <w:rPr>
          <w:rFonts w:hint="eastAsia" w:ascii="Times New Roman" w:hAnsi="Times New Roman" w:eastAsia="仿宋_GB2312" w:cs="仿宋_GB2312"/>
          <w:color w:val="auto"/>
          <w:spacing w:val="0"/>
          <w:kern w:val="2"/>
          <w:sz w:val="32"/>
          <w:szCs w:val="32"/>
          <w:highlight w:val="none"/>
          <w:lang w:val="en-US" w:eastAsia="zh-CN" w:bidi="ar-SA"/>
        </w:rPr>
        <w:t>、经办</w:t>
      </w:r>
      <w:r>
        <w:rPr>
          <w:rFonts w:hint="default" w:ascii="Times New Roman" w:hAnsi="Times New Roman" w:eastAsia="仿宋_GB2312" w:cs="仿宋_GB2312"/>
          <w:color w:val="auto"/>
          <w:spacing w:val="0"/>
          <w:kern w:val="2"/>
          <w:sz w:val="32"/>
          <w:szCs w:val="32"/>
          <w:highlight w:val="none"/>
          <w:lang w:val="en-US" w:eastAsia="zh-CN" w:bidi="ar-SA"/>
        </w:rPr>
        <w:t>服务</w:t>
      </w:r>
      <w:r>
        <w:rPr>
          <w:rFonts w:hint="eastAsia" w:ascii="Times New Roman" w:hAnsi="Times New Roman" w:eastAsia="仿宋_GB2312" w:cs="仿宋_GB2312"/>
          <w:color w:val="auto"/>
          <w:spacing w:val="0"/>
          <w:kern w:val="2"/>
          <w:sz w:val="32"/>
          <w:szCs w:val="32"/>
          <w:highlight w:val="none"/>
          <w:lang w:val="en-US" w:eastAsia="zh-CN" w:bidi="ar-SA"/>
        </w:rPr>
        <w:t>，</w:t>
      </w:r>
      <w:r>
        <w:rPr>
          <w:rFonts w:hint="default" w:ascii="Times New Roman" w:hAnsi="Times New Roman" w:eastAsia="仿宋_GB2312" w:cs="仿宋_GB2312"/>
          <w:color w:val="auto"/>
          <w:spacing w:val="0"/>
          <w:kern w:val="2"/>
          <w:sz w:val="32"/>
          <w:szCs w:val="32"/>
          <w:highlight w:val="none"/>
          <w:lang w:val="en-US" w:eastAsia="zh-CN" w:bidi="ar-SA"/>
        </w:rPr>
        <w:t>基金</w:t>
      </w:r>
      <w:r>
        <w:rPr>
          <w:rFonts w:hint="eastAsia" w:ascii="Times New Roman" w:hAnsi="Times New Roman" w:eastAsia="仿宋_GB2312" w:cs="仿宋_GB2312"/>
          <w:color w:val="auto"/>
          <w:spacing w:val="0"/>
          <w:kern w:val="2"/>
          <w:sz w:val="32"/>
          <w:szCs w:val="32"/>
          <w:highlight w:val="none"/>
          <w:lang w:val="en-US" w:eastAsia="zh-CN" w:bidi="ar-SA"/>
        </w:rPr>
        <w:t>实行</w:t>
      </w:r>
      <w:r>
        <w:rPr>
          <w:rFonts w:hint="default" w:ascii="Times New Roman" w:hAnsi="Times New Roman" w:eastAsia="仿宋_GB2312" w:cs="仿宋_GB2312"/>
          <w:color w:val="auto"/>
          <w:spacing w:val="0"/>
          <w:kern w:val="2"/>
          <w:sz w:val="32"/>
          <w:szCs w:val="32"/>
          <w:highlight w:val="none"/>
          <w:lang w:val="en-US" w:eastAsia="zh-CN" w:bidi="ar-SA"/>
        </w:rPr>
        <w:t>统收统支</w:t>
      </w:r>
      <w:r>
        <w:rPr>
          <w:rFonts w:hint="eastAsia" w:ascii="Times New Roman" w:hAnsi="Times New Roman" w:eastAsia="仿宋_GB2312" w:cs="仿宋_GB2312"/>
          <w:color w:val="auto"/>
          <w:spacing w:val="0"/>
          <w:kern w:val="2"/>
          <w:sz w:val="32"/>
          <w:szCs w:val="32"/>
          <w:highlight w:val="none"/>
          <w:lang w:val="en-US" w:eastAsia="zh-CN" w:bidi="ar-SA"/>
        </w:rPr>
        <w:t>。</w:t>
      </w:r>
      <w:r>
        <w:rPr>
          <w:rFonts w:hint="default" w:ascii="Times New Roman" w:hAnsi="Times New Roman" w:eastAsia="仿宋_GB2312" w:cs="仿宋_GB2312"/>
          <w:color w:val="auto"/>
          <w:spacing w:val="0"/>
          <w:kern w:val="2"/>
          <w:sz w:val="32"/>
          <w:szCs w:val="32"/>
          <w:highlight w:val="none"/>
          <w:lang w:val="en-US" w:eastAsia="zh-CN" w:bidi="ar-SA"/>
        </w:rPr>
        <w:t>按</w:t>
      </w:r>
      <w:r>
        <w:rPr>
          <w:rFonts w:hint="eastAsia" w:ascii="Times New Roman" w:hAnsi="Times New Roman" w:eastAsia="仿宋_GB2312" w:cs="仿宋_GB2312"/>
          <w:color w:val="auto"/>
          <w:spacing w:val="0"/>
          <w:kern w:val="2"/>
          <w:sz w:val="32"/>
          <w:szCs w:val="32"/>
          <w:highlight w:val="none"/>
          <w:lang w:val="en-US" w:eastAsia="zh-CN" w:bidi="ar-SA"/>
        </w:rPr>
        <w:t>国家部署要求，稳步有序</w:t>
      </w:r>
      <w:r>
        <w:rPr>
          <w:rFonts w:hint="default" w:ascii="Times New Roman" w:hAnsi="Times New Roman" w:eastAsia="仿宋_GB2312" w:cs="仿宋_GB2312"/>
          <w:color w:val="auto"/>
          <w:spacing w:val="0"/>
          <w:kern w:val="2"/>
          <w:sz w:val="32"/>
          <w:szCs w:val="32"/>
          <w:highlight w:val="none"/>
          <w:lang w:val="en-US" w:eastAsia="zh-CN" w:bidi="ar-SA"/>
        </w:rPr>
        <w:t>推进省级统筹</w:t>
      </w:r>
      <w:r>
        <w:rPr>
          <w:rFonts w:hint="eastAsia" w:ascii="Times New Roman" w:hAnsi="Times New Roman" w:eastAsia="仿宋_GB2312" w:cs="仿宋_GB2312"/>
          <w:color w:val="auto"/>
          <w:spacing w:val="0"/>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620" w:lineRule="exact"/>
        <w:jc w:val="center"/>
        <w:textAlignment w:val="auto"/>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t>第二章  参保缴费</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43"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 xml:space="preserve">第六条 </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本市行政区域内的用人单位及单位职工、退休人员、灵活就业人员和未就业城乡居民等按照属地管理原则参加长期护理保险</w:t>
      </w:r>
      <w:r>
        <w:rPr>
          <w:rFonts w:hint="eastAsia" w:ascii="CESI宋体-GB2312" w:hAnsi="CESI宋体-GB2312" w:eastAsia="仿宋_GB2312" w:cs="Times New Roman"/>
          <w:color w:val="auto"/>
          <w:sz w:val="44"/>
          <w:szCs w:val="44"/>
          <w:u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 xml:space="preserve">第七条 </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单位职工缴费费率为0.3%，由用人单位和职工个人按同比例分担。单位职工长期护理保险缴费基数、工资申报、缴费方式及期限与职工基本医疗保险保持一致，</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与基本医疗保险</w:t>
      </w:r>
      <w:r>
        <w:rPr>
          <w:rFonts w:hint="default" w:ascii="Times New Roman" w:hAnsi="Times New Roman" w:eastAsia="仿宋_GB2312" w:cs="仿宋_GB2312"/>
          <w:color w:val="000000" w:themeColor="text1"/>
          <w:spacing w:val="0"/>
          <w:kern w:val="2"/>
          <w:sz w:val="32"/>
          <w:szCs w:val="32"/>
          <w:highlight w:val="none"/>
          <w:lang w:val="en-US" w:eastAsia="zh-CN" w:bidi="ar-SA"/>
          <w14:textFill>
            <w14:solidFill>
              <w14:schemeClr w14:val="tx1"/>
            </w14:solidFill>
          </w14:textFill>
        </w:rPr>
        <w:t>费</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共同缴费。职工基本医疗保险个人账户可代缴本人及近亲属参加长期护理保险的个人缴费部分。</w:t>
      </w:r>
    </w:p>
    <w:p>
      <w:pPr>
        <w:keepNext w:val="0"/>
        <w:keepLines w:val="0"/>
        <w:pageBreakBefore w:val="0"/>
        <w:widowControl w:val="0"/>
        <w:tabs>
          <w:tab w:val="left" w:pos="237"/>
        </w:tabs>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仿宋_GB2312"/>
          <w:color w:val="000000" w:themeColor="text1"/>
          <w:spacing w:val="0"/>
          <w:sz w:val="32"/>
          <w:szCs w:val="32"/>
          <w:lang w:eastAsia="zh-CN"/>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退休人员缴费费率为0.15%。以本人上年度基本养老金为缴费基数，由个人缴费，原用人单位不缴费。经个人同意，保费可由医保经办机构从其职工基本医疗保险个人账户代扣代缴。没有职工基本医疗保险个人账户的退休人员，按国家部署要求，在条件具备以后可由发放基本养老金的社会保险经办机构代扣代缴。</w:t>
      </w:r>
      <w:r>
        <w:rPr>
          <w:rFonts w:hint="eastAsia" w:ascii="Times New Roman" w:hAnsi="Times New Roman" w:eastAsia="仿宋_GB2312" w:cs="仿宋_GB2312"/>
          <w:color w:val="000000" w:themeColor="text1"/>
          <w:spacing w:val="-11"/>
          <w:kern w:val="2"/>
          <w:sz w:val="32"/>
          <w:szCs w:val="32"/>
          <w:lang w:val="en-US" w:eastAsia="zh-CN" w:bidi="ar-SA"/>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未就业城乡居民缴费费率从0.15</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起步，以后每年提高0.03个百分点，逐步过渡到0.3</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。以上年度全省城乡居民人均可支配收入为缴费基数。筹资由个人缴费和财政补助按1:1左右共同分担。</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个人按年度缴费，</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与城乡居民基本医疗保险费共同缴费。对符合条件的困难人群个人缴费部分，政府按规定予以资助，资助对象范围和资助比例参照城乡居民基本医疗保险政策执行。</w:t>
      </w:r>
      <w:r>
        <w:rPr>
          <w:rFonts w:hint="default" w:ascii="Times New Roman" w:hAnsi="Times New Roman" w:eastAsia="仿宋_GB2312" w:cs="仿宋_GB2312"/>
          <w:color w:val="000000" w:themeColor="text1"/>
          <w:spacing w:val="0"/>
          <w:kern w:val="2"/>
          <w:sz w:val="32"/>
          <w:szCs w:val="32"/>
          <w:lang w:val="en" w:eastAsia="zh-CN" w:bidi="ar-SA"/>
          <w14:textFill>
            <w14:solidFill>
              <w14:schemeClr w14:val="tx1"/>
            </w14:solidFill>
          </w14:textFill>
        </w:rPr>
        <w:t>18周岁以下人员</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跟随父母或其他法定扶养人等参保，不单独筹资。</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spacing w:val="0"/>
          <w:sz w:val="32"/>
          <w:szCs w:val="32"/>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鼓励灵活就业人员按单位职工</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参保</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政策缴费，缴费费率为0.3%。以全省上年度全口径城镇单位就业人员平均工资的60</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为缴费基数。保费由个人按规定缴费，</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通过税务部门提供的</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个人</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缴费渠道按月自行申报缴费</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也可选择在年度内一次性缴纳全年费款</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。灵活就业人员也可选择按未就业城乡居民参保政策参保缴费。</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620" w:lineRule="exact"/>
        <w:jc w:val="center"/>
        <w:textAlignment w:val="auto"/>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t>第三章  待遇保障</w:t>
      </w:r>
    </w:p>
    <w:p>
      <w:pPr>
        <w:keepNext w:val="0"/>
        <w:keepLines w:val="0"/>
        <w:pageBreakBefore w:val="0"/>
        <w:widowControl w:val="0"/>
        <w:kinsoku/>
        <w:wordWrap/>
        <w:overflowPunct/>
        <w:topLinePunct w:val="0"/>
        <w:autoSpaceDE/>
        <w:autoSpaceDN/>
        <w:bidi w:val="0"/>
        <w:adjustRightInd/>
        <w:snapToGrid/>
        <w:spacing w:line="620" w:lineRule="exact"/>
        <w:ind w:left="0" w:firstLine="643" w:firstLineChars="200"/>
        <w:jc w:val="both"/>
        <w:textAlignment w:val="auto"/>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第八条 </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按规定参保缴费且失能状态持续6个月以上，经申请通过评估认定的失能人员，可按规定享受相关待遇。长期护理保险制度起步阶段保障</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重度失能人员。按照全省统一部署，逐步扩大保障对象范围</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20" w:lineRule="exact"/>
        <w:ind w:left="0" w:firstLine="643"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第九条 </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符合待遇享受规定的失能人员可选择机构护理、居家护理、社区护理等服务方式。</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保障对象</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身体状况</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发生变化，护理方式可在机构</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类型</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中相互转换，</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但</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不得重复享受。</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在基金支付比例上对居家护理、社区护理给予适当倾斜。</w:t>
      </w:r>
    </w:p>
    <w:p>
      <w:pPr>
        <w:keepNext w:val="0"/>
        <w:keepLines w:val="0"/>
        <w:pageBreakBefore w:val="0"/>
        <w:widowControl w:val="0"/>
        <w:kinsoku/>
        <w:wordWrap/>
        <w:overflowPunct/>
        <w:topLinePunct w:val="0"/>
        <w:autoSpaceDE/>
        <w:autoSpaceDN/>
        <w:bidi w:val="0"/>
        <w:adjustRightInd/>
        <w:snapToGrid/>
        <w:spacing w:line="620" w:lineRule="exact"/>
        <w:ind w:left="0" w:firstLine="643"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第十条 </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待遇享受不设起付标准。属于基金支付范围的护理服务费用，由基金和个人按比例分担。</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（1）支付比例：按就业人员参保的，基金支付比例70%，个人支付比例30%；按未就业城乡居民参保的，基金支付比例50%，个人支付比例50%。居家护理的基金支付比例分别上调10%。</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（2）支付限额：机构护理、社区护理、居家护理实行分类付费；机构护理、社区护理以床日为付费单元；居家护理以小时为付费单元。</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①医疗机构：</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重度失能Ⅰ级：一级及以下医疗机构60元/天、二级医疗机构65元/天、三级医疗机构75元/天；</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重度失能Ⅱ级：一级及以下医疗机构65元/天、二级医疗机构75元/天、三级医疗机构80元/天；</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重度失能Ⅲ级：一级及以下医疗机构75元/天、二级医疗机构80元/天、三级医疗机构85元/天。</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②养老机构、社区护理：</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重度失能Ⅰ级：50元/天；重度失能Ⅱ级：55元/天；重度失能Ⅲ级：60元/天。</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③居家护理：</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医疗护理类70元/人/小时，每月不超过7小时；生活照护类65元/人/小时。</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重度失能Ⅰ级：每月累计服务时长不超过21小时；重度失能Ⅱ级：每月累计服务时长不超过23小时；重度失能Ⅲ级：每月累计服务时长不超过25小时。</w:t>
      </w:r>
    </w:p>
    <w:p>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基金年度个人最高支付限额原则上不超过全省上年度城乡居民人均可支配收入的50%。灵活就业人员依据选择的参保政策类型享受相应的待遇。18周岁以下未就业人员符合待遇享受条件的，按未就业城乡居民待遇标准享受待遇。</w:t>
      </w:r>
    </w:p>
    <w:p>
      <w:pPr>
        <w:keepNext w:val="0"/>
        <w:keepLines w:val="0"/>
        <w:pageBreakBefore w:val="0"/>
        <w:widowControl w:val="0"/>
        <w:kinsoku/>
        <w:wordWrap/>
        <w:overflowPunct/>
        <w:topLinePunct w:val="0"/>
        <w:autoSpaceDE/>
        <w:autoSpaceDN/>
        <w:bidi w:val="0"/>
        <w:adjustRightInd/>
        <w:snapToGrid/>
        <w:spacing w:line="620" w:lineRule="exact"/>
        <w:ind w:left="0" w:firstLine="643" w:firstLineChars="200"/>
        <w:jc w:val="both"/>
        <w:textAlignment w:val="auto"/>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第十一条 </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严格</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执行国家统一</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制定</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的长期护理保险服务项目目录</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。原则上不直接向失能人员发放现金。按照全省统一部署，做好长期护理保险与经济困难的高龄、失能老年人补贴以及重度残疾人护理补贴等政策衔接。</w:t>
      </w: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620" w:lineRule="exact"/>
        <w:jc w:val="center"/>
        <w:textAlignment w:val="auto"/>
        <w:rPr>
          <w:rFonts w:hint="default"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t>第四章  失能等级评估</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3" w:firstLineChars="200"/>
        <w:jc w:val="both"/>
        <w:textAlignment w:val="auto"/>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第十二条 </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执行全国统一的长期护理保险失能等级评估标准和管理办法。</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3" w:firstLineChars="200"/>
        <w:jc w:val="both"/>
        <w:textAlignment w:val="auto"/>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第十三条 </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省内市州之间评估机构定点资格互认。暂不具有</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独立评估机构</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条件的，可</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依托</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经医保部门认定的</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医疗机构、劳动能力鉴定机构、</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老年人能力评估机构、</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商业保险机构等实施评估</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3" w:firstLineChars="200"/>
        <w:jc w:val="both"/>
        <w:textAlignment w:val="auto"/>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第十四条 </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定点评估机构不得同时承担依评估结论而开展的护理服务工作，不得同时承担长期护理保险经办业务。</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3" w:firstLineChars="200"/>
        <w:jc w:val="both"/>
        <w:textAlignment w:val="auto"/>
        <w:rPr>
          <w:rFonts w:hint="eastAsia" w:ascii="黑体" w:hAnsi="黑体" w:eastAsia="黑体" w:cs="黑体"/>
          <w:b w:val="0"/>
          <w:bCs w:val="0"/>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第十五条 </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评估结果实行省内跨市州互认，探索建立跨部门互认机制。原则上参保人员首次评估通过的评估服务费，以及按制度要求参加定期复评的评估服务费，由基金支付。失能等级评</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估结论</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有效期为</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2</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年，在有效期届满前1个月内，由医疗保障经办机构重新组织失能等级</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评定，根据复审结果重新核定待遇享受资格</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。推进职业化评估人员队伍建设。</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620" w:lineRule="exact"/>
        <w:jc w:val="center"/>
        <w:textAlignment w:val="auto"/>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t>第五章 定点服务机构管理</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3" w:firstLineChars="200"/>
        <w:jc w:val="both"/>
        <w:textAlignment w:val="auto"/>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第十六条 </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落实</w:t>
      </w:r>
      <w:r>
        <w:rPr>
          <w:rFonts w:hint="eastAsia" w:ascii="Times New Roman" w:hAnsi="Times New Roman" w:eastAsia="仿宋_GB2312" w:cs="仿宋_GB2312"/>
          <w:color w:val="auto"/>
          <w:spacing w:val="0"/>
          <w:kern w:val="2"/>
          <w:sz w:val="32"/>
          <w:szCs w:val="32"/>
          <w:highlight w:val="none"/>
          <w:lang w:val="en-US" w:eastAsia="zh-CN" w:bidi="ar-SA"/>
        </w:rPr>
        <w:t>长期护理保险</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服务机构相关管理</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办法。省内</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市州</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之间</w:t>
      </w:r>
      <w:r>
        <w:rPr>
          <w:rFonts w:hint="eastAsia" w:ascii="Times New Roman" w:hAnsi="Times New Roman" w:eastAsia="仿宋_GB2312" w:cs="仿宋_GB2312"/>
          <w:color w:val="auto"/>
          <w:spacing w:val="0"/>
          <w:kern w:val="2"/>
          <w:sz w:val="32"/>
          <w:szCs w:val="32"/>
          <w:highlight w:val="none"/>
          <w:lang w:val="en-US" w:eastAsia="zh-CN" w:bidi="ar-SA"/>
        </w:rPr>
        <w:t>长期护理保险</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机构定点资格互认。</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3" w:firstLineChars="200"/>
        <w:jc w:val="both"/>
        <w:textAlignment w:val="auto"/>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第十七条 </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加强规范化管理，建立健全定点</w:t>
      </w:r>
      <w:r>
        <w:rPr>
          <w:rFonts w:hint="eastAsia" w:ascii="Times New Roman" w:hAnsi="Times New Roman" w:eastAsia="仿宋_GB2312" w:cs="仿宋_GB2312"/>
          <w:color w:val="auto"/>
          <w:spacing w:val="0"/>
          <w:kern w:val="2"/>
          <w:sz w:val="32"/>
          <w:szCs w:val="32"/>
          <w:highlight w:val="none"/>
          <w:lang w:val="en-US" w:eastAsia="zh-CN" w:bidi="ar-SA"/>
        </w:rPr>
        <w:t>长期护理保险</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机构准入流程和退出机制。</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3" w:firstLineChars="200"/>
        <w:jc w:val="both"/>
        <w:textAlignment w:val="auto"/>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第十八条 </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逐步将符合条件的基层医疗卫生机构、养老服务机构、残疾人托养照护服务机构</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纳入定点</w:t>
      </w:r>
      <w:r>
        <w:rPr>
          <w:rFonts w:hint="eastAsia" w:ascii="Times New Roman" w:hAnsi="Times New Roman" w:eastAsia="仿宋_GB2312" w:cs="仿宋_GB2312"/>
          <w:color w:val="auto"/>
          <w:spacing w:val="0"/>
          <w:kern w:val="2"/>
          <w:sz w:val="32"/>
          <w:szCs w:val="32"/>
          <w:highlight w:val="none"/>
          <w:lang w:val="en-US" w:eastAsia="zh-CN" w:bidi="ar-SA"/>
        </w:rPr>
        <w:t>长期护理保险</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服务</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机构范围</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加强</w:t>
      </w:r>
      <w:r>
        <w:rPr>
          <w:rFonts w:hint="eastAsia" w:ascii="Times New Roman" w:hAnsi="Times New Roman" w:eastAsia="仿宋_GB2312" w:cs="仿宋_GB2312"/>
          <w:color w:val="auto"/>
          <w:spacing w:val="0"/>
          <w:kern w:val="2"/>
          <w:sz w:val="32"/>
          <w:szCs w:val="32"/>
          <w:highlight w:val="none"/>
          <w:lang w:val="en-US" w:eastAsia="zh-CN" w:bidi="ar-SA"/>
        </w:rPr>
        <w:t>长期护理保险</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护理服务人员队伍建设，建立</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健全</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长期照护师培训培养机制</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620" w:lineRule="exact"/>
        <w:jc w:val="center"/>
        <w:textAlignment w:val="auto"/>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t>第六章  基金管理与监督</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pPr>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 xml:space="preserve">第十九条 </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基金纳入社会保障基金财政专户，单独建账、单独管理、专款专用。按照“以收定支、收支平衡”原则，科学编制基金收支预算，强化预算绩效评价管理。严格执行财务制度，加强基金财务管理，做好基金会计核算和统计分析。</w:t>
      </w:r>
      <w:r>
        <w:rPr>
          <w:rFonts w:hint="eastAsia" w:ascii="Times New Roman" w:hAnsi="Times New Roman" w:eastAsia="仿宋_GB2312" w:cs="仿宋_GB2312"/>
          <w:b w:val="0"/>
          <w:bCs w:val="0"/>
          <w:color w:val="000000" w:themeColor="text1"/>
          <w:spacing w:val="0"/>
          <w:kern w:val="2"/>
          <w:sz w:val="32"/>
          <w:szCs w:val="32"/>
          <w:lang w:val="en-US" w:eastAsia="zh-CN" w:bidi="ar-SA"/>
          <w14:textFill>
            <w14:solidFill>
              <w14:schemeClr w14:val="tx1"/>
            </w14:solidFill>
          </w14:textFill>
        </w:rPr>
        <w:t>不得将基金交由受委托经办业务的第三方机构代管代拨。</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482" w:firstLineChars="150"/>
        <w:jc w:val="both"/>
        <w:textAlignment w:val="auto"/>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pPr>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 xml:space="preserve">第二十条 </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建立健全基金监督管理长效机制，加强基金监督管理队伍和能力建设，加强基金使用监督管理，逐步将基金使用纳入常态化监管范围。加强财会监督和审计监督，严肃财经纪律，确保基金安全。探索建立基金监管标准体系，逐步推行基金智能监管。完善对欺诈骗保人员、机构惩戒机制。</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加大执法力度，</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强化行刑衔接，建立健全重要线索、重大案件联查联办和追责问责机制。</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pPr>
      <w:r>
        <w:rPr>
          <w:rFonts w:hint="eastAsia" w:ascii="Times New Roman" w:hAnsi="Times New Roman" w:eastAsia="仿宋_GB2312" w:cs="仿宋_GB2312"/>
          <w:b/>
          <w:bCs/>
          <w:color w:val="000000" w:themeColor="text1"/>
          <w:spacing w:val="0"/>
          <w:sz w:val="32"/>
          <w:szCs w:val="32"/>
          <w:lang w:val="en-US" w:eastAsia="zh-CN"/>
          <w14:textFill>
            <w14:solidFill>
              <w14:schemeClr w14:val="tx1"/>
            </w14:solidFill>
          </w14:textFill>
        </w:rPr>
        <w:t xml:space="preserve">第二十一条 </w:t>
      </w:r>
      <w:r>
        <w:rPr>
          <w:rFonts w:hint="eastAsia" w:ascii="Times New Roman" w:hAnsi="Times New Roman" w:eastAsia="仿宋_GB2312" w:cs="仿宋_GB2312"/>
          <w:color w:val="000000" w:themeColor="text1"/>
          <w:spacing w:val="0"/>
          <w:sz w:val="32"/>
          <w:szCs w:val="32"/>
          <w:lang w:val="en-US" w:eastAsia="zh-CN"/>
          <w14:textFill>
            <w14:solidFill>
              <w14:schemeClr w14:val="tx1"/>
            </w14:solidFill>
          </w14:textFill>
        </w:rPr>
        <w:t>长期护理保险基金支付范围：</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失能等级定点评估机构提供的失能等级评估服务费用</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定点长护服务机构提供的长期护理服务费用</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w:t>
      </w:r>
      <w:r>
        <w:rPr>
          <w:rFonts w:hint="default"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依法依规引入的社会力量参与经办管理服务的费用</w:t>
      </w:r>
      <w:r>
        <w:rPr>
          <w:rFonts w:hint="eastAsia" w:ascii="Times New Roman" w:hAnsi="Times New Roman" w:eastAsia="仿宋_GB2312" w:cs="仿宋_GB2312"/>
          <w:color w:val="000000" w:themeColor="text1"/>
          <w:spacing w:val="0"/>
          <w:sz w:val="32"/>
          <w:szCs w:val="32"/>
          <w:u w:val="none"/>
          <w:lang w:val="en-US" w:eastAsia="zh-CN"/>
          <w14:textFill>
            <w14:solidFill>
              <w14:schemeClr w14:val="tx1"/>
            </w14:solidFill>
          </w14:textFill>
        </w:rPr>
        <w:t>等。</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仿宋_GB2312" w:cs="仿宋_GB2312"/>
          <w:color w:val="auto"/>
          <w:spacing w:val="0"/>
          <w:kern w:val="2"/>
          <w:sz w:val="32"/>
          <w:szCs w:val="32"/>
          <w:lang w:val="en-US" w:eastAsia="zh-CN" w:bidi="ar-SA"/>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 xml:space="preserve"> </w:t>
      </w:r>
      <w:r>
        <w:rPr>
          <w:rFonts w:hint="eastAsia" w:ascii="Times New Roman" w:hAnsi="Times New Roman" w:eastAsia="仿宋_GB2312" w:cs="仿宋_GB2312"/>
          <w:b/>
          <w:bCs/>
          <w:color w:val="auto"/>
          <w:spacing w:val="0"/>
          <w:kern w:val="2"/>
          <w:sz w:val="32"/>
          <w:szCs w:val="32"/>
          <w:lang w:val="en-US" w:eastAsia="zh-CN" w:bidi="ar-SA"/>
        </w:rPr>
        <w:t>第</w:t>
      </w: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二十二</w:t>
      </w:r>
      <w:r>
        <w:rPr>
          <w:rFonts w:hint="eastAsia" w:ascii="Times New Roman" w:hAnsi="Times New Roman" w:eastAsia="仿宋_GB2312" w:cs="仿宋_GB2312"/>
          <w:b/>
          <w:bCs/>
          <w:color w:val="auto"/>
          <w:spacing w:val="0"/>
          <w:kern w:val="2"/>
          <w:sz w:val="32"/>
          <w:szCs w:val="32"/>
          <w:lang w:val="en-US" w:eastAsia="zh-CN" w:bidi="ar-SA"/>
        </w:rPr>
        <w:t xml:space="preserve">条 </w:t>
      </w:r>
      <w:r>
        <w:rPr>
          <w:rFonts w:hint="eastAsia" w:ascii="Times New Roman" w:hAnsi="Times New Roman" w:eastAsia="仿宋_GB2312" w:cs="仿宋_GB2312"/>
          <w:color w:val="000000" w:themeColor="text1"/>
          <w:spacing w:val="0"/>
          <w:sz w:val="32"/>
          <w:szCs w:val="32"/>
          <w:lang w:val="en-US" w:eastAsia="zh-CN"/>
          <w14:textFill>
            <w14:solidFill>
              <w14:schemeClr w14:val="tx1"/>
            </w14:solidFill>
          </w14:textFill>
        </w:rPr>
        <w:t>长期护理保险基金</w:t>
      </w:r>
      <w:r>
        <w:rPr>
          <w:rFonts w:hint="eastAsia" w:ascii="Times New Roman" w:hAnsi="Times New Roman" w:eastAsia="仿宋_GB2312" w:cs="仿宋_GB2312"/>
          <w:color w:val="auto"/>
          <w:spacing w:val="0"/>
          <w:kern w:val="2"/>
          <w:sz w:val="32"/>
          <w:szCs w:val="32"/>
          <w:lang w:val="en-US" w:eastAsia="zh-CN" w:bidi="ar-SA"/>
        </w:rPr>
        <w:t>不予支付下列费用：</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right="0" w:firstLine="640"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（一）</w:t>
      </w:r>
      <w:r>
        <w:rPr>
          <w:rFonts w:hint="eastAsia" w:ascii="Times New Roman" w:hAnsi="Times New Roman" w:eastAsia="仿宋_GB2312" w:cs="仿宋_GB2312"/>
          <w:color w:val="auto"/>
          <w:spacing w:val="0"/>
          <w:kern w:val="2"/>
          <w:sz w:val="32"/>
          <w:szCs w:val="32"/>
          <w:lang w:val="en-US" w:eastAsia="zh-CN" w:bidi="ar-SA"/>
        </w:rPr>
        <w:t>超出国家长护服务项目目录范围的费用</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leftChars="0" w:right="0" w:firstLine="640" w:firstLineChars="200"/>
        <w:jc w:val="both"/>
        <w:textAlignment w:val="auto"/>
        <w:rPr>
          <w:rFonts w:hint="eastAsia" w:ascii="Times New Roman" w:hAnsi="Times New Roman" w:eastAsia="仿宋_GB2312" w:cs="仿宋_GB2312"/>
          <w:color w:val="auto"/>
          <w:spacing w:val="0"/>
          <w:kern w:val="2"/>
          <w:sz w:val="32"/>
          <w:szCs w:val="32"/>
          <w:lang w:val="en-US" w:eastAsia="zh-CN" w:bidi="ar-SA"/>
        </w:rPr>
      </w:pP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（二）对机构床位费、膳食费等非护理服务费用以及应由医疗保险支付的医疗费用</w:t>
      </w:r>
      <w:r>
        <w:rPr>
          <w:rFonts w:hint="eastAsia" w:ascii="Times New Roman" w:hAnsi="Times New Roman" w:eastAsia="仿宋_GB2312" w:cs="仿宋_GB2312"/>
          <w:color w:val="auto"/>
          <w:spacing w:val="0"/>
          <w:kern w:val="2"/>
          <w:sz w:val="32"/>
          <w:szCs w:val="32"/>
          <w:lang w:val="en-US" w:eastAsia="zh-CN" w:bidi="ar-SA"/>
        </w:rPr>
        <w:t>；</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leftChars="0" w:right="0" w:firstLine="480" w:firstLineChars="200"/>
        <w:jc w:val="both"/>
        <w:textAlignment w:val="auto"/>
        <w:rPr>
          <w:rFonts w:hint="eastAsia" w:ascii="Times New Roman" w:hAnsi="Times New Roman" w:eastAsia="仿宋_GB2312" w:cs="仿宋_GB2312"/>
          <w:b w:val="0"/>
          <w:bCs w:val="0"/>
          <w:color w:val="000000" w:themeColor="text1"/>
          <w:spacing w:val="0"/>
          <w:kern w:val="2"/>
          <w:sz w:val="32"/>
          <w:szCs w:val="32"/>
          <w:lang w:val="en-US" w:eastAsia="zh-CN" w:bidi="ar-SA"/>
          <w14:textFill>
            <w14:solidFill>
              <w14:schemeClr w14:val="tx1"/>
            </w14:solidFill>
          </w14:textFill>
        </w:rPr>
      </w:pPr>
      <w:r>
        <w:rPr>
          <w:rFonts w:hint="eastAsia"/>
          <w:lang w:val="en-US" w:eastAsia="zh-CN"/>
        </w:rPr>
        <w:t xml:space="preserve"> </w:t>
      </w:r>
      <w:r>
        <w:rPr>
          <w:rFonts w:hint="eastAsia" w:ascii="Times New Roman" w:hAnsi="Times New Roman" w:eastAsia="仿宋_GB2312" w:cs="仿宋_GB2312"/>
          <w:color w:val="auto"/>
          <w:spacing w:val="0"/>
          <w:kern w:val="2"/>
          <w:sz w:val="32"/>
          <w:szCs w:val="32"/>
          <w:lang w:val="en-US" w:eastAsia="zh-CN" w:bidi="ar-SA"/>
        </w:rPr>
        <w:t>（三）领取工伤保险生活护理费的参保人员。</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620" w:lineRule="exact"/>
        <w:jc w:val="center"/>
        <w:textAlignment w:val="auto"/>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t>第</w:t>
      </w:r>
      <w:r>
        <w:rPr>
          <w:rFonts w:hint="default" w:ascii="黑体" w:hAnsi="黑体" w:eastAsia="黑体" w:cs="黑体"/>
          <w:b w:val="0"/>
          <w:bCs w:val="0"/>
          <w:color w:val="000000" w:themeColor="text1"/>
          <w:spacing w:val="0"/>
          <w:kern w:val="2"/>
          <w:sz w:val="32"/>
          <w:szCs w:val="32"/>
          <w:highlight w:val="none"/>
          <w:lang w:val="en" w:eastAsia="zh-CN" w:bidi="ar-SA"/>
          <w14:textFill>
            <w14:solidFill>
              <w14:schemeClr w14:val="tx1"/>
            </w14:solidFill>
          </w14:textFill>
        </w:rPr>
        <w:t>七</w:t>
      </w:r>
      <w:r>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t>章  经办服务管理</w:t>
      </w:r>
    </w:p>
    <w:p>
      <w:pPr>
        <w:pStyle w:val="7"/>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第二十三条 </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按照</w:t>
      </w:r>
      <w:r>
        <w:rPr>
          <w:rFonts w:hint="eastAsia" w:ascii="Times New Roman" w:hAnsi="Times New Roman" w:eastAsia="仿宋_GB2312" w:cs="仿宋_GB2312"/>
          <w:color w:val="auto"/>
          <w:spacing w:val="0"/>
          <w:kern w:val="2"/>
          <w:sz w:val="32"/>
          <w:szCs w:val="32"/>
          <w:highlight w:val="none"/>
          <w:lang w:val="en-US" w:eastAsia="zh-CN" w:bidi="ar-SA"/>
        </w:rPr>
        <w:t>《</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湖南省医疗保障局办公室关于印发</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湖南省长期护理保险经办规程 （试行）</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〉的通知》</w:t>
      </w:r>
      <w:r>
        <w:rPr>
          <w:rFonts w:hint="eastAsia" w:ascii="Times New Roman" w:hAnsi="Times New Roman" w:eastAsia="仿宋_GB2312" w:cs="仿宋_GB2312"/>
          <w:color w:val="auto"/>
          <w:spacing w:val="0"/>
          <w:kern w:val="2"/>
          <w:sz w:val="32"/>
          <w:szCs w:val="32"/>
          <w:highlight w:val="none"/>
          <w:lang w:val="en-US" w:eastAsia="zh-CN" w:bidi="ar-SA"/>
        </w:rPr>
        <w:t>（</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湘医保办发〔2026〕1号</w:t>
      </w:r>
      <w:r>
        <w:rPr>
          <w:rFonts w:hint="eastAsia" w:ascii="Times New Roman" w:hAnsi="Times New Roman" w:eastAsia="仿宋_GB2312" w:cs="仿宋_GB2312"/>
          <w:color w:val="auto"/>
          <w:spacing w:val="0"/>
          <w:kern w:val="2"/>
          <w:sz w:val="32"/>
          <w:szCs w:val="32"/>
          <w:highlight w:val="none"/>
          <w:lang w:val="en-US" w:eastAsia="zh-CN" w:bidi="ar-SA"/>
        </w:rPr>
        <w:t>）</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执行。</w:t>
      </w:r>
    </w:p>
    <w:p>
      <w:pPr>
        <w:pStyle w:val="7"/>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第二十四条 </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加强经办能力建设，建立健全经办管理服务体系。规范落实长期护理保险经办规程。</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加强定点评估机构和</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长期护理</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服务机构协议管理。</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可引入社会力量参与经办管理服务，相关费用依协议约定按比例或按定额从基金中支付。</w:t>
      </w:r>
    </w:p>
    <w:p>
      <w:pPr>
        <w:keepNext w:val="0"/>
        <w:keepLines w:val="0"/>
        <w:pageBreakBefore w:val="0"/>
        <w:widowControl w:val="0"/>
        <w:kinsoku/>
        <w:wordWrap/>
        <w:overflowPunct/>
        <w:topLinePunct w:val="0"/>
        <w:autoSpaceDE/>
        <w:autoSpaceDN/>
        <w:bidi w:val="0"/>
        <w:adjustRightInd/>
        <w:snapToGrid/>
        <w:spacing w:line="620" w:lineRule="exact"/>
        <w:ind w:left="0" w:firstLine="643" w:firstLineChars="200"/>
        <w:jc w:val="both"/>
        <w:textAlignment w:val="auto"/>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第二十五条 </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加强经办智能审核，切实提高审核拨付效率。按照国家要求加快推进长期护理保险信息化建设，强化全国统一的医保信息平台长期护理保险子系统应用。定点</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评估机构</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和长护</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服务机构</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、参与经办的第三方</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机构要</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做好</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信息互联互通</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工作</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，全面、准确、及时</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共享</w:t>
      </w:r>
      <w:r>
        <w:rPr>
          <w:rFonts w:hint="default"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各项信息数据。</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620" w:lineRule="exact"/>
        <w:jc w:val="center"/>
        <w:textAlignment w:val="auto"/>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t>第</w:t>
      </w:r>
      <w:r>
        <w:rPr>
          <w:rFonts w:hint="default" w:ascii="黑体" w:hAnsi="黑体" w:eastAsia="黑体" w:cs="黑体"/>
          <w:b w:val="0"/>
          <w:bCs w:val="0"/>
          <w:color w:val="000000" w:themeColor="text1"/>
          <w:spacing w:val="0"/>
          <w:kern w:val="2"/>
          <w:sz w:val="32"/>
          <w:szCs w:val="32"/>
          <w:highlight w:val="none"/>
          <w:lang w:val="en" w:eastAsia="zh-CN" w:bidi="ar-SA"/>
          <w14:textFill>
            <w14:solidFill>
              <w14:schemeClr w14:val="tx1"/>
            </w14:solidFill>
          </w14:textFill>
        </w:rPr>
        <w:t>八</w:t>
      </w:r>
      <w:r>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t>章 部门职责与协同</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right="0" w:firstLine="640"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color w:val="000000" w:themeColor="text1"/>
          <w:spacing w:val="0"/>
          <w:kern w:val="2"/>
          <w:sz w:val="32"/>
          <w:szCs w:val="32"/>
          <w:highlight w:val="none"/>
          <w:lang w:val="en-US" w:eastAsia="zh-CN" w:bidi="ar-SA"/>
          <w14:textFill>
            <w14:solidFill>
              <w14:schemeClr w14:val="tx1"/>
            </w14:solidFill>
          </w14:textFill>
        </w:rPr>
        <w:t xml:space="preserve"> </w:t>
      </w: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第二十六条 </w:t>
      </w:r>
      <w:r>
        <w:rPr>
          <w:rFonts w:hint="eastAsia" w:ascii="Times New Roman" w:hAnsi="Times New Roman" w:eastAsia="仿宋_GB2312" w:cs="仿宋_GB2312"/>
          <w:color w:val="auto"/>
          <w:spacing w:val="0"/>
          <w:kern w:val="2"/>
          <w:sz w:val="32"/>
          <w:szCs w:val="32"/>
          <w:highlight w:val="none"/>
          <w:lang w:val="en-US" w:eastAsia="zh-CN" w:bidi="ar-SA"/>
        </w:rPr>
        <w:t>医保部门负责牵头长期护理保险制度建设工作，制定基本政策，优化管理服务。</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40"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color w:val="auto"/>
          <w:spacing w:val="0"/>
          <w:kern w:val="2"/>
          <w:sz w:val="32"/>
          <w:szCs w:val="32"/>
          <w:highlight w:val="none"/>
          <w:lang w:val="en-US" w:eastAsia="zh-CN" w:bidi="ar-SA"/>
        </w:rPr>
        <w:t>财政部门负责及时足额安排相关财政补助资金、配合医保部门做好基金测算等。</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40"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color w:val="auto"/>
          <w:spacing w:val="0"/>
          <w:kern w:val="2"/>
          <w:sz w:val="32"/>
          <w:szCs w:val="32"/>
          <w:highlight w:val="none"/>
          <w:lang w:val="en-US" w:eastAsia="zh-CN" w:bidi="ar-SA"/>
        </w:rPr>
        <w:t>税务部门负责做好保费征收等工作。</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40"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color w:val="auto"/>
          <w:spacing w:val="0"/>
          <w:kern w:val="2"/>
          <w:sz w:val="32"/>
          <w:szCs w:val="32"/>
          <w:highlight w:val="none"/>
          <w:lang w:val="en-US" w:eastAsia="zh-CN" w:bidi="ar-SA"/>
        </w:rPr>
        <w:t>民政部门、卫生健康部门、残联与医保部门共同负责加强保险体系和服务体系协同联动、探索失能等级评估结果跨部门互认机制等。</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40"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color w:val="auto"/>
          <w:spacing w:val="0"/>
          <w:kern w:val="2"/>
          <w:sz w:val="32"/>
          <w:szCs w:val="32"/>
          <w:highlight w:val="none"/>
          <w:lang w:val="en-US" w:eastAsia="zh-CN" w:bidi="ar-SA"/>
        </w:rPr>
        <w:t>民政部门、财政部门、医保部门、残联共同做好相关保险与补贴制度的衔接。卫生健康部门负责鼓励基层医疗卫生机构提供长期护理服务、探索发挥家庭医生在失能等级评估中的作用等。</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40"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color w:val="auto"/>
          <w:spacing w:val="0"/>
          <w:kern w:val="2"/>
          <w:sz w:val="32"/>
          <w:szCs w:val="32"/>
          <w:highlight w:val="none"/>
          <w:lang w:val="en-US" w:eastAsia="zh-CN" w:bidi="ar-SA"/>
        </w:rPr>
        <w:t>人社部门负责配合做好长期护理保险与工伤保险衔接、退休人员保费代扣代缴等工作。</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16" w:firstLineChars="200"/>
        <w:jc w:val="both"/>
        <w:textAlignment w:val="auto"/>
        <w:rPr>
          <w:rFonts w:hint="eastAsia" w:ascii="Times New Roman" w:hAnsi="Times New Roman" w:eastAsia="仿宋_GB2312" w:cs="仿宋_GB2312"/>
          <w:color w:val="auto"/>
          <w:spacing w:val="-6"/>
          <w:kern w:val="2"/>
          <w:sz w:val="32"/>
          <w:szCs w:val="32"/>
          <w:highlight w:val="none"/>
          <w:lang w:val="en-US" w:eastAsia="zh-CN" w:bidi="ar-SA"/>
        </w:rPr>
      </w:pPr>
      <w:r>
        <w:rPr>
          <w:rFonts w:hint="eastAsia" w:ascii="Times New Roman" w:hAnsi="Times New Roman" w:eastAsia="仿宋_GB2312" w:cs="仿宋_GB2312"/>
          <w:color w:val="auto"/>
          <w:spacing w:val="-6"/>
          <w:kern w:val="2"/>
          <w:sz w:val="32"/>
          <w:szCs w:val="32"/>
          <w:highlight w:val="none"/>
          <w:lang w:val="en-US" w:eastAsia="zh-CN" w:bidi="ar-SA"/>
        </w:rPr>
        <w:t>农业农村部门负责做好防止返贫致贫对象认定和帮扶工作。</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40"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color w:val="auto"/>
          <w:spacing w:val="0"/>
          <w:kern w:val="2"/>
          <w:sz w:val="32"/>
          <w:szCs w:val="32"/>
          <w:highlight w:val="none"/>
          <w:lang w:val="en-US" w:eastAsia="zh-CN" w:bidi="ar-SA"/>
        </w:rPr>
        <w:t>残联协同做好残疾人参保相关工作。</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right="0" w:firstLine="643" w:firstLineChars="200"/>
        <w:jc w:val="both"/>
        <w:textAlignment w:val="auto"/>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第二十七条 </w:t>
      </w:r>
      <w:r>
        <w:rPr>
          <w:rFonts w:hint="default" w:ascii="Times New Roman" w:hAnsi="Times New Roman" w:eastAsia="仿宋_GB2312" w:cs="仿宋_GB2312"/>
          <w:color w:val="auto"/>
          <w:spacing w:val="0"/>
          <w:kern w:val="2"/>
          <w:sz w:val="32"/>
          <w:szCs w:val="32"/>
          <w:highlight w:val="none"/>
          <w:lang w:val="en-US" w:eastAsia="zh-CN" w:bidi="ar-SA"/>
        </w:rPr>
        <w:t>各有关部</w:t>
      </w:r>
      <w:r>
        <w:rPr>
          <w:rFonts w:hint="eastAsia" w:ascii="Times New Roman" w:hAnsi="Times New Roman" w:eastAsia="仿宋_GB2312" w:cs="仿宋_GB2312"/>
          <w:color w:val="auto"/>
          <w:spacing w:val="0"/>
          <w:kern w:val="2"/>
          <w:sz w:val="32"/>
          <w:szCs w:val="32"/>
          <w:highlight w:val="none"/>
          <w:lang w:val="en-US" w:eastAsia="zh-CN" w:bidi="ar-SA"/>
        </w:rPr>
        <w:t>门要落实分工职责，</w:t>
      </w:r>
      <w:r>
        <w:rPr>
          <w:rFonts w:hint="default" w:ascii="Times New Roman" w:hAnsi="Times New Roman" w:eastAsia="仿宋_GB2312" w:cs="仿宋_GB2312"/>
          <w:color w:val="auto"/>
          <w:spacing w:val="0"/>
          <w:kern w:val="2"/>
          <w:sz w:val="32"/>
          <w:szCs w:val="32"/>
          <w:highlight w:val="none"/>
          <w:lang w:val="en-US" w:eastAsia="zh-CN" w:bidi="ar-SA"/>
        </w:rPr>
        <w:t>加强协作配合。</w:t>
      </w:r>
      <w:r>
        <w:rPr>
          <w:rFonts w:hint="eastAsia" w:ascii="Times New Roman" w:hAnsi="Times New Roman" w:eastAsia="仿宋_GB2312" w:cs="仿宋_GB2312"/>
          <w:color w:val="auto"/>
          <w:spacing w:val="0"/>
          <w:kern w:val="2"/>
          <w:sz w:val="32"/>
          <w:szCs w:val="32"/>
          <w:highlight w:val="none"/>
          <w:lang w:val="en-US" w:eastAsia="zh-CN" w:bidi="ar-SA"/>
        </w:rPr>
        <w:t>各地要加强政策宣传培训，做好政策解读，强化互助共济理念，形成合理社会预期。建立舆情监测和处置机制，积极回应社会关切。</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620" w:lineRule="exact"/>
        <w:jc w:val="center"/>
        <w:textAlignment w:val="auto"/>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sz w:val="32"/>
          <w:szCs w:val="32"/>
          <w:highlight w:val="none"/>
          <w:lang w:val="en-US" w:eastAsia="zh-CN" w:bidi="ar-SA"/>
          <w14:textFill>
            <w14:solidFill>
              <w14:schemeClr w14:val="tx1"/>
            </w14:solidFill>
          </w14:textFill>
        </w:rPr>
        <w:t>第九章  附  则</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43"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第二十八条</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 xml:space="preserve"> 本实施细则与国家、省后续出台的规定不一致的，从其规定。</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left="0" w:right="0" w:firstLine="643"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第二十九条</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 xml:space="preserve"> 怀化市医疗保障局可根据本细则制定相关配套管理办法和操作规程。本细则由怀化市医疗保障局负责解释。</w:t>
      </w:r>
    </w:p>
    <w:p>
      <w:pPr>
        <w:pStyle w:val="11"/>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right="0" w:firstLine="643" w:firstLineChars="200"/>
        <w:jc w:val="both"/>
        <w:textAlignment w:val="auto"/>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spacing w:val="0"/>
          <w:kern w:val="2"/>
          <w:sz w:val="32"/>
          <w:szCs w:val="32"/>
          <w:lang w:val="en-US" w:eastAsia="zh-CN" w:bidi="ar-SA"/>
          <w14:textFill>
            <w14:solidFill>
              <w14:schemeClr w14:val="tx1"/>
            </w14:solidFill>
          </w14:textFill>
        </w:rPr>
        <w:t xml:space="preserve">第三十条 </w:t>
      </w:r>
      <w:r>
        <w:rPr>
          <w:rFonts w:hint="eastAsia" w:ascii="Times New Roman" w:hAnsi="Times New Roman" w:eastAsia="仿宋_GB2312" w:cs="仿宋_GB2312"/>
          <w:color w:val="000000" w:themeColor="text1"/>
          <w:spacing w:val="0"/>
          <w:kern w:val="2"/>
          <w:sz w:val="32"/>
          <w:szCs w:val="32"/>
          <w:lang w:val="en-US" w:eastAsia="zh-CN" w:bidi="ar-SA"/>
          <w14:textFill>
            <w14:solidFill>
              <w14:schemeClr w14:val="tx1"/>
            </w14:solidFill>
          </w14:textFill>
        </w:rPr>
        <w:t>本细则自2027年1月1日起施行，有效期五年。</w:t>
      </w:r>
      <w:bookmarkStart w:id="1" w:name="_GoBack"/>
      <w:bookmarkEnd w:id="1"/>
    </w:p>
    <w:sectPr>
      <w:footerReference r:id="rId3" w:type="default"/>
      <w:pgSz w:w="11906" w:h="16838"/>
      <w:pgMar w:top="1701" w:right="1701" w:bottom="1701"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Hoefler Text Ornament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ymbolPS"/>
    <w:panose1 w:val="05050102010706020507"/>
    <w:charset w:val="02"/>
    <w:family w:val="roman"/>
    <w:pitch w:val="default"/>
    <w:sig w:usb0="00000000" w:usb1="00000000" w:usb2="00000000" w:usb3="00000000" w:csb0="80000000" w:csb1="00000000"/>
  </w:font>
  <w:font w:name="Calibri">
    <w:panose1 w:val="020F0302020204030204"/>
    <w:charset w:val="00"/>
    <w:family w:val="swiss"/>
    <w:pitch w:val="default"/>
    <w:sig w:usb0="A00002EF" w:usb1="4000207B" w:usb2="00000000" w:usb3="00000000" w:csb0="2000019F" w:csb1="00000000"/>
  </w:font>
  <w:font w:name="方正书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宋体-GB2312">
    <w:panose1 w:val="02000500000000000000"/>
    <w:charset w:val="86"/>
    <w:family w:val="auto"/>
    <w:pitch w:val="default"/>
    <w:sig w:usb0="800002AF" w:usb1="08476CF8" w:usb2="00000010" w:usb3="00000000" w:csb0="0004000F" w:csb1="00000000"/>
  </w:font>
  <w:font w:name="Hoefler Text Ornaments">
    <w:panose1 w:val="050101010101010101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SymbolPS">
    <w:panose1 w:val="05050102010607020607"/>
    <w:charset w:val="00"/>
    <w:family w:val="auto"/>
    <w:pitch w:val="default"/>
    <w:sig w:usb0="00000000" w:usb1="00000000" w:usb2="00000000" w:usb3="00000000" w:csb0="0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0201518"/>
    <w:rsid w:val="00342E6E"/>
    <w:rsid w:val="01311D17"/>
    <w:rsid w:val="022A4B20"/>
    <w:rsid w:val="02C11C76"/>
    <w:rsid w:val="02C33AAF"/>
    <w:rsid w:val="02F8486D"/>
    <w:rsid w:val="030A1C2A"/>
    <w:rsid w:val="033F60DF"/>
    <w:rsid w:val="03D028C0"/>
    <w:rsid w:val="04382C82"/>
    <w:rsid w:val="0458613B"/>
    <w:rsid w:val="048949F4"/>
    <w:rsid w:val="05B71F0C"/>
    <w:rsid w:val="05F45A09"/>
    <w:rsid w:val="069C40D7"/>
    <w:rsid w:val="06ABAA03"/>
    <w:rsid w:val="0719368F"/>
    <w:rsid w:val="07FF6A56"/>
    <w:rsid w:val="080D1B08"/>
    <w:rsid w:val="080F16B8"/>
    <w:rsid w:val="089B03BE"/>
    <w:rsid w:val="08AC61C8"/>
    <w:rsid w:val="0A5F72E2"/>
    <w:rsid w:val="0A8E1F88"/>
    <w:rsid w:val="0B390784"/>
    <w:rsid w:val="0BED7182"/>
    <w:rsid w:val="0C945449"/>
    <w:rsid w:val="0CB8153E"/>
    <w:rsid w:val="0CD65E68"/>
    <w:rsid w:val="0D5B011C"/>
    <w:rsid w:val="0DCE5703"/>
    <w:rsid w:val="0E0037A5"/>
    <w:rsid w:val="0E6D5BB9"/>
    <w:rsid w:val="0E7F2FEB"/>
    <w:rsid w:val="0EB36461"/>
    <w:rsid w:val="0ECF0DC1"/>
    <w:rsid w:val="0FA0733D"/>
    <w:rsid w:val="0FBE933F"/>
    <w:rsid w:val="0FD79CCC"/>
    <w:rsid w:val="0FF74CF3"/>
    <w:rsid w:val="0FFD0E0F"/>
    <w:rsid w:val="106519DD"/>
    <w:rsid w:val="10AA1CCC"/>
    <w:rsid w:val="110D797F"/>
    <w:rsid w:val="1168108F"/>
    <w:rsid w:val="118C0A0B"/>
    <w:rsid w:val="119A22D5"/>
    <w:rsid w:val="123941E3"/>
    <w:rsid w:val="12646FD5"/>
    <w:rsid w:val="12833AF0"/>
    <w:rsid w:val="129E2FE9"/>
    <w:rsid w:val="12A14823"/>
    <w:rsid w:val="1331710B"/>
    <w:rsid w:val="13BF18FB"/>
    <w:rsid w:val="13CC72A0"/>
    <w:rsid w:val="13D11138"/>
    <w:rsid w:val="1402475B"/>
    <w:rsid w:val="140908D1"/>
    <w:rsid w:val="142C45C0"/>
    <w:rsid w:val="148803C5"/>
    <w:rsid w:val="14C64A14"/>
    <w:rsid w:val="15661082"/>
    <w:rsid w:val="15AE749F"/>
    <w:rsid w:val="15EB4733"/>
    <w:rsid w:val="16084F1E"/>
    <w:rsid w:val="162B5097"/>
    <w:rsid w:val="168533FA"/>
    <w:rsid w:val="16C72205"/>
    <w:rsid w:val="16D795E0"/>
    <w:rsid w:val="16FF8D3B"/>
    <w:rsid w:val="17424826"/>
    <w:rsid w:val="17FD78CC"/>
    <w:rsid w:val="184364E7"/>
    <w:rsid w:val="18441ED8"/>
    <w:rsid w:val="18AD5600"/>
    <w:rsid w:val="197F7EC7"/>
    <w:rsid w:val="19E93619"/>
    <w:rsid w:val="19F37653"/>
    <w:rsid w:val="1A5D218F"/>
    <w:rsid w:val="1A847695"/>
    <w:rsid w:val="1AED4AA9"/>
    <w:rsid w:val="1B014815"/>
    <w:rsid w:val="1B6B55FB"/>
    <w:rsid w:val="1B742AD4"/>
    <w:rsid w:val="1B8C78F6"/>
    <w:rsid w:val="1B9D3FBB"/>
    <w:rsid w:val="1BCA6FC9"/>
    <w:rsid w:val="1C3A494C"/>
    <w:rsid w:val="1CDF48C5"/>
    <w:rsid w:val="1CE02102"/>
    <w:rsid w:val="1D132B8E"/>
    <w:rsid w:val="1D4E481A"/>
    <w:rsid w:val="1D742B66"/>
    <w:rsid w:val="1D892C85"/>
    <w:rsid w:val="1DB25B36"/>
    <w:rsid w:val="1DC449A1"/>
    <w:rsid w:val="1DF6FF62"/>
    <w:rsid w:val="1DF77B71"/>
    <w:rsid w:val="1DF7A377"/>
    <w:rsid w:val="1E6D2740"/>
    <w:rsid w:val="1E86274F"/>
    <w:rsid w:val="1EEF813F"/>
    <w:rsid w:val="1F0A095C"/>
    <w:rsid w:val="1F2A5153"/>
    <w:rsid w:val="1F3C8297"/>
    <w:rsid w:val="1F7EB69C"/>
    <w:rsid w:val="1F813A12"/>
    <w:rsid w:val="1FBF8FFF"/>
    <w:rsid w:val="1FDF6E5F"/>
    <w:rsid w:val="1FFFD43B"/>
    <w:rsid w:val="201E3957"/>
    <w:rsid w:val="206C21E0"/>
    <w:rsid w:val="207801E9"/>
    <w:rsid w:val="20C773BA"/>
    <w:rsid w:val="20F12E19"/>
    <w:rsid w:val="20F96276"/>
    <w:rsid w:val="212B25DF"/>
    <w:rsid w:val="216E0CD4"/>
    <w:rsid w:val="221853BF"/>
    <w:rsid w:val="226A2E83"/>
    <w:rsid w:val="22ED06FE"/>
    <w:rsid w:val="23BA53ED"/>
    <w:rsid w:val="23DA336B"/>
    <w:rsid w:val="23F4608B"/>
    <w:rsid w:val="248C4B2A"/>
    <w:rsid w:val="24F6B30C"/>
    <w:rsid w:val="24FF4BBF"/>
    <w:rsid w:val="251235D9"/>
    <w:rsid w:val="25365D8B"/>
    <w:rsid w:val="2576EC7A"/>
    <w:rsid w:val="25B31652"/>
    <w:rsid w:val="25DE56FA"/>
    <w:rsid w:val="25E923FE"/>
    <w:rsid w:val="26BDE5AD"/>
    <w:rsid w:val="26DB17AF"/>
    <w:rsid w:val="26DE4E18"/>
    <w:rsid w:val="2719A537"/>
    <w:rsid w:val="273F48DE"/>
    <w:rsid w:val="274360FA"/>
    <w:rsid w:val="27FF2DA6"/>
    <w:rsid w:val="28387B79"/>
    <w:rsid w:val="285EC5CF"/>
    <w:rsid w:val="2920429C"/>
    <w:rsid w:val="29546059"/>
    <w:rsid w:val="29E74DB9"/>
    <w:rsid w:val="2A446D64"/>
    <w:rsid w:val="2A8E3F07"/>
    <w:rsid w:val="2AA027A4"/>
    <w:rsid w:val="2ACD3FAF"/>
    <w:rsid w:val="2AE71380"/>
    <w:rsid w:val="2B5C25DD"/>
    <w:rsid w:val="2B6B0121"/>
    <w:rsid w:val="2B774F01"/>
    <w:rsid w:val="2BDE6612"/>
    <w:rsid w:val="2BFCAF72"/>
    <w:rsid w:val="2C1BEFEF"/>
    <w:rsid w:val="2C747EA4"/>
    <w:rsid w:val="2C8922FF"/>
    <w:rsid w:val="2CE88C95"/>
    <w:rsid w:val="2D21130C"/>
    <w:rsid w:val="2E0F20F8"/>
    <w:rsid w:val="2E385BE3"/>
    <w:rsid w:val="2E4E3659"/>
    <w:rsid w:val="2E576DC2"/>
    <w:rsid w:val="2E76761F"/>
    <w:rsid w:val="2E8A5B6A"/>
    <w:rsid w:val="2E8F0E60"/>
    <w:rsid w:val="2EDA730A"/>
    <w:rsid w:val="2EF7D50B"/>
    <w:rsid w:val="2F663BE6"/>
    <w:rsid w:val="2F81301A"/>
    <w:rsid w:val="2F8DF1D4"/>
    <w:rsid w:val="2FBE7EF9"/>
    <w:rsid w:val="2FDDE275"/>
    <w:rsid w:val="2FED29FE"/>
    <w:rsid w:val="2FF9C68B"/>
    <w:rsid w:val="30042D84"/>
    <w:rsid w:val="308550C3"/>
    <w:rsid w:val="30DD6F16"/>
    <w:rsid w:val="30E3C746"/>
    <w:rsid w:val="31491327"/>
    <w:rsid w:val="317F0FFC"/>
    <w:rsid w:val="31CE72C8"/>
    <w:rsid w:val="326A486D"/>
    <w:rsid w:val="3389752B"/>
    <w:rsid w:val="33B44F06"/>
    <w:rsid w:val="33D9B2AA"/>
    <w:rsid w:val="33DF6A6B"/>
    <w:rsid w:val="33EFCA26"/>
    <w:rsid w:val="34A16C46"/>
    <w:rsid w:val="34F76B17"/>
    <w:rsid w:val="3540063E"/>
    <w:rsid w:val="355E7BA4"/>
    <w:rsid w:val="35FF791B"/>
    <w:rsid w:val="36AC12AB"/>
    <w:rsid w:val="36BE3A9D"/>
    <w:rsid w:val="37132DDB"/>
    <w:rsid w:val="3762F410"/>
    <w:rsid w:val="37931023"/>
    <w:rsid w:val="37A244E8"/>
    <w:rsid w:val="37C658CE"/>
    <w:rsid w:val="37CB58B2"/>
    <w:rsid w:val="37FFB9D8"/>
    <w:rsid w:val="382611A3"/>
    <w:rsid w:val="384E19C2"/>
    <w:rsid w:val="386FA82C"/>
    <w:rsid w:val="391905F6"/>
    <w:rsid w:val="39231142"/>
    <w:rsid w:val="3940263D"/>
    <w:rsid w:val="399A5D2C"/>
    <w:rsid w:val="39C66BB3"/>
    <w:rsid w:val="39EB2BFB"/>
    <w:rsid w:val="39F1099C"/>
    <w:rsid w:val="39FF1946"/>
    <w:rsid w:val="3A076141"/>
    <w:rsid w:val="3A404171"/>
    <w:rsid w:val="3A4B7691"/>
    <w:rsid w:val="3A8F21A6"/>
    <w:rsid w:val="3ADAD010"/>
    <w:rsid w:val="3AF74F1A"/>
    <w:rsid w:val="3AFBB2CD"/>
    <w:rsid w:val="3AFE02B5"/>
    <w:rsid w:val="3B5878C5"/>
    <w:rsid w:val="3B7F333C"/>
    <w:rsid w:val="3BBF22BE"/>
    <w:rsid w:val="3BD50B7B"/>
    <w:rsid w:val="3BDD8E7D"/>
    <w:rsid w:val="3BE5E01E"/>
    <w:rsid w:val="3BFF9443"/>
    <w:rsid w:val="3BFFB287"/>
    <w:rsid w:val="3BFFEAAC"/>
    <w:rsid w:val="3CCF30D1"/>
    <w:rsid w:val="3D2D1901"/>
    <w:rsid w:val="3D5E1FD5"/>
    <w:rsid w:val="3D7E5908"/>
    <w:rsid w:val="3D7F0910"/>
    <w:rsid w:val="3D826776"/>
    <w:rsid w:val="3D9FF4C1"/>
    <w:rsid w:val="3DB76776"/>
    <w:rsid w:val="3DDF3AFC"/>
    <w:rsid w:val="3DFA1ABF"/>
    <w:rsid w:val="3E09253C"/>
    <w:rsid w:val="3E4D4CE9"/>
    <w:rsid w:val="3E7B07A9"/>
    <w:rsid w:val="3E7FA363"/>
    <w:rsid w:val="3EC040FF"/>
    <w:rsid w:val="3EDB95E6"/>
    <w:rsid w:val="3EF74C57"/>
    <w:rsid w:val="3EFFDCC6"/>
    <w:rsid w:val="3F3650AA"/>
    <w:rsid w:val="3F3ACFFA"/>
    <w:rsid w:val="3F3ED2A3"/>
    <w:rsid w:val="3F7F976F"/>
    <w:rsid w:val="3F87A1F3"/>
    <w:rsid w:val="3F977BCA"/>
    <w:rsid w:val="3FA330D9"/>
    <w:rsid w:val="3FAD2E24"/>
    <w:rsid w:val="3FBE09B9"/>
    <w:rsid w:val="3FD9A5FF"/>
    <w:rsid w:val="3FEFC169"/>
    <w:rsid w:val="3FF7417C"/>
    <w:rsid w:val="3FF74195"/>
    <w:rsid w:val="3FFA17C9"/>
    <w:rsid w:val="3FFEC4E5"/>
    <w:rsid w:val="3FFF1D19"/>
    <w:rsid w:val="3FFFDDFD"/>
    <w:rsid w:val="3FFFF8B8"/>
    <w:rsid w:val="403C419A"/>
    <w:rsid w:val="407707ED"/>
    <w:rsid w:val="41905E35"/>
    <w:rsid w:val="41B041FE"/>
    <w:rsid w:val="41C31810"/>
    <w:rsid w:val="421917AD"/>
    <w:rsid w:val="425F2F04"/>
    <w:rsid w:val="42B9333F"/>
    <w:rsid w:val="42F00D2B"/>
    <w:rsid w:val="43006F6B"/>
    <w:rsid w:val="432914BD"/>
    <w:rsid w:val="434E2F3D"/>
    <w:rsid w:val="43575D5C"/>
    <w:rsid w:val="43E12A1B"/>
    <w:rsid w:val="43F56788"/>
    <w:rsid w:val="444E229E"/>
    <w:rsid w:val="455F67DD"/>
    <w:rsid w:val="45A2455E"/>
    <w:rsid w:val="45DFEC28"/>
    <w:rsid w:val="45E16709"/>
    <w:rsid w:val="45F621B4"/>
    <w:rsid w:val="46244F73"/>
    <w:rsid w:val="462C02CC"/>
    <w:rsid w:val="46784A78"/>
    <w:rsid w:val="467C4BCA"/>
    <w:rsid w:val="468E063F"/>
    <w:rsid w:val="46B94120"/>
    <w:rsid w:val="4703102D"/>
    <w:rsid w:val="47117494"/>
    <w:rsid w:val="4758D094"/>
    <w:rsid w:val="47DE719D"/>
    <w:rsid w:val="47FBA945"/>
    <w:rsid w:val="47FF55B2"/>
    <w:rsid w:val="4800731A"/>
    <w:rsid w:val="48272AF9"/>
    <w:rsid w:val="48695B04"/>
    <w:rsid w:val="49560FF9"/>
    <w:rsid w:val="496F29A9"/>
    <w:rsid w:val="49817D4E"/>
    <w:rsid w:val="49861AA1"/>
    <w:rsid w:val="4A160FCB"/>
    <w:rsid w:val="4A1947CF"/>
    <w:rsid w:val="4A6971AB"/>
    <w:rsid w:val="4AEFEA7C"/>
    <w:rsid w:val="4AF47645"/>
    <w:rsid w:val="4B094738"/>
    <w:rsid w:val="4B0E44D9"/>
    <w:rsid w:val="4BBF46D3"/>
    <w:rsid w:val="4BFF12F3"/>
    <w:rsid w:val="4C1E06B7"/>
    <w:rsid w:val="4C417F01"/>
    <w:rsid w:val="4C453E95"/>
    <w:rsid w:val="4C690A37"/>
    <w:rsid w:val="4CA33116"/>
    <w:rsid w:val="4CC4707B"/>
    <w:rsid w:val="4D7B5FE1"/>
    <w:rsid w:val="4DDD5C07"/>
    <w:rsid w:val="4DEF8D51"/>
    <w:rsid w:val="4DF12C25"/>
    <w:rsid w:val="4E74636C"/>
    <w:rsid w:val="4E810A89"/>
    <w:rsid w:val="4E8C31F6"/>
    <w:rsid w:val="4E984750"/>
    <w:rsid w:val="4E9F1BDC"/>
    <w:rsid w:val="4EC05A55"/>
    <w:rsid w:val="4EC86EF6"/>
    <w:rsid w:val="4F351BD5"/>
    <w:rsid w:val="4F5D8E8A"/>
    <w:rsid w:val="4FDF387D"/>
    <w:rsid w:val="50332613"/>
    <w:rsid w:val="50395A47"/>
    <w:rsid w:val="508B725C"/>
    <w:rsid w:val="50EA05BB"/>
    <w:rsid w:val="50F25003"/>
    <w:rsid w:val="510132A8"/>
    <w:rsid w:val="517D7C2E"/>
    <w:rsid w:val="52DE2967"/>
    <w:rsid w:val="52FBFBB9"/>
    <w:rsid w:val="532145E9"/>
    <w:rsid w:val="53553AA3"/>
    <w:rsid w:val="537F070F"/>
    <w:rsid w:val="53BC3317"/>
    <w:rsid w:val="53D9C654"/>
    <w:rsid w:val="53DFB99D"/>
    <w:rsid w:val="53FDC9AE"/>
    <w:rsid w:val="53FF826A"/>
    <w:rsid w:val="54497974"/>
    <w:rsid w:val="547A6B30"/>
    <w:rsid w:val="54810D2D"/>
    <w:rsid w:val="54931516"/>
    <w:rsid w:val="54D86127"/>
    <w:rsid w:val="54FFB903"/>
    <w:rsid w:val="554227A6"/>
    <w:rsid w:val="555E32DA"/>
    <w:rsid w:val="55DC6C16"/>
    <w:rsid w:val="55EFCF7C"/>
    <w:rsid w:val="563A7E9B"/>
    <w:rsid w:val="567F6FA6"/>
    <w:rsid w:val="56BE92F8"/>
    <w:rsid w:val="56DE2BE0"/>
    <w:rsid w:val="571F21FB"/>
    <w:rsid w:val="571F6CAA"/>
    <w:rsid w:val="573F7B82"/>
    <w:rsid w:val="5777A075"/>
    <w:rsid w:val="577F938F"/>
    <w:rsid w:val="57CC77E6"/>
    <w:rsid w:val="57F17E23"/>
    <w:rsid w:val="57F54838"/>
    <w:rsid w:val="57FA801D"/>
    <w:rsid w:val="58D348AA"/>
    <w:rsid w:val="598C7161"/>
    <w:rsid w:val="599FC666"/>
    <w:rsid w:val="59B353A0"/>
    <w:rsid w:val="59B77A55"/>
    <w:rsid w:val="5A1F48A4"/>
    <w:rsid w:val="5AA036ED"/>
    <w:rsid w:val="5AF7B3D3"/>
    <w:rsid w:val="5AFC08CE"/>
    <w:rsid w:val="5B310E8B"/>
    <w:rsid w:val="5B564271"/>
    <w:rsid w:val="5B799AAE"/>
    <w:rsid w:val="5B9A54E8"/>
    <w:rsid w:val="5BCD355F"/>
    <w:rsid w:val="5BDFC28E"/>
    <w:rsid w:val="5BEC3F7C"/>
    <w:rsid w:val="5BEE0B07"/>
    <w:rsid w:val="5BF62AB6"/>
    <w:rsid w:val="5BF74D67"/>
    <w:rsid w:val="5CA644DC"/>
    <w:rsid w:val="5D0120F6"/>
    <w:rsid w:val="5D082AAD"/>
    <w:rsid w:val="5D5FAC18"/>
    <w:rsid w:val="5D671D13"/>
    <w:rsid w:val="5D7FA92B"/>
    <w:rsid w:val="5DB922D1"/>
    <w:rsid w:val="5DE4C8BE"/>
    <w:rsid w:val="5DE98E7B"/>
    <w:rsid w:val="5DEF3D11"/>
    <w:rsid w:val="5DFEA7FB"/>
    <w:rsid w:val="5E2D402E"/>
    <w:rsid w:val="5E5E1703"/>
    <w:rsid w:val="5E7BBD27"/>
    <w:rsid w:val="5E7FEC3A"/>
    <w:rsid w:val="5E9ECCEC"/>
    <w:rsid w:val="5EB3C2C9"/>
    <w:rsid w:val="5ECE2E68"/>
    <w:rsid w:val="5EDE4B15"/>
    <w:rsid w:val="5EF72E30"/>
    <w:rsid w:val="5F5749BE"/>
    <w:rsid w:val="5F6FC9C6"/>
    <w:rsid w:val="5F6FF32C"/>
    <w:rsid w:val="5F772EF6"/>
    <w:rsid w:val="5F7D3904"/>
    <w:rsid w:val="5F7E6984"/>
    <w:rsid w:val="5F97540D"/>
    <w:rsid w:val="5F9C5723"/>
    <w:rsid w:val="5FB7FAF8"/>
    <w:rsid w:val="5FBC16A6"/>
    <w:rsid w:val="5FBDBD2B"/>
    <w:rsid w:val="5FD73323"/>
    <w:rsid w:val="5FDE6B21"/>
    <w:rsid w:val="5FDF8C3A"/>
    <w:rsid w:val="5FEF3150"/>
    <w:rsid w:val="5FF27FE3"/>
    <w:rsid w:val="5FF7C315"/>
    <w:rsid w:val="5FFBA39B"/>
    <w:rsid w:val="5FFC1330"/>
    <w:rsid w:val="605040C4"/>
    <w:rsid w:val="60F04B6E"/>
    <w:rsid w:val="60FD48E7"/>
    <w:rsid w:val="61005930"/>
    <w:rsid w:val="610C4B2A"/>
    <w:rsid w:val="6189617B"/>
    <w:rsid w:val="61E60964"/>
    <w:rsid w:val="6233132C"/>
    <w:rsid w:val="6271733B"/>
    <w:rsid w:val="6271749C"/>
    <w:rsid w:val="62C728EC"/>
    <w:rsid w:val="636447A9"/>
    <w:rsid w:val="63792DA7"/>
    <w:rsid w:val="63BFD95A"/>
    <w:rsid w:val="63E32912"/>
    <w:rsid w:val="64370110"/>
    <w:rsid w:val="649015CE"/>
    <w:rsid w:val="64CF20F6"/>
    <w:rsid w:val="64DE3379"/>
    <w:rsid w:val="64F46001"/>
    <w:rsid w:val="652C579B"/>
    <w:rsid w:val="657CEB60"/>
    <w:rsid w:val="65F52FFF"/>
    <w:rsid w:val="66134265"/>
    <w:rsid w:val="66178882"/>
    <w:rsid w:val="661E1587"/>
    <w:rsid w:val="66EB033E"/>
    <w:rsid w:val="67179A80"/>
    <w:rsid w:val="67583837"/>
    <w:rsid w:val="677A2C6F"/>
    <w:rsid w:val="677FF590"/>
    <w:rsid w:val="67F512C1"/>
    <w:rsid w:val="67F5B291"/>
    <w:rsid w:val="67FB162C"/>
    <w:rsid w:val="68023FD1"/>
    <w:rsid w:val="68565402"/>
    <w:rsid w:val="68744D1D"/>
    <w:rsid w:val="687F44A1"/>
    <w:rsid w:val="68D3B6D8"/>
    <w:rsid w:val="68D77363"/>
    <w:rsid w:val="696E6697"/>
    <w:rsid w:val="69A50EF6"/>
    <w:rsid w:val="6A6FD83F"/>
    <w:rsid w:val="6ACB5F7E"/>
    <w:rsid w:val="6ADB1155"/>
    <w:rsid w:val="6AFB10EE"/>
    <w:rsid w:val="6AFDF285"/>
    <w:rsid w:val="6AFF5AC3"/>
    <w:rsid w:val="6B3BD8FF"/>
    <w:rsid w:val="6B9DCF07"/>
    <w:rsid w:val="6BA96B95"/>
    <w:rsid w:val="6BCDA057"/>
    <w:rsid w:val="6BD1F8A5"/>
    <w:rsid w:val="6BF2BE49"/>
    <w:rsid w:val="6BFE401A"/>
    <w:rsid w:val="6BFF5E38"/>
    <w:rsid w:val="6BFF7160"/>
    <w:rsid w:val="6C365F3C"/>
    <w:rsid w:val="6C47110C"/>
    <w:rsid w:val="6C7F77AD"/>
    <w:rsid w:val="6C9F3A1A"/>
    <w:rsid w:val="6CDF2F34"/>
    <w:rsid w:val="6D213317"/>
    <w:rsid w:val="6DB67E19"/>
    <w:rsid w:val="6DE3FAAA"/>
    <w:rsid w:val="6DFDCF7F"/>
    <w:rsid w:val="6E0D37B1"/>
    <w:rsid w:val="6E37AA35"/>
    <w:rsid w:val="6E3AB52B"/>
    <w:rsid w:val="6E5FF6B2"/>
    <w:rsid w:val="6E765689"/>
    <w:rsid w:val="6E7B0B92"/>
    <w:rsid w:val="6E973733"/>
    <w:rsid w:val="6EAE6F6F"/>
    <w:rsid w:val="6ECB1CD4"/>
    <w:rsid w:val="6EDDCF48"/>
    <w:rsid w:val="6EDFF170"/>
    <w:rsid w:val="6EEF4D63"/>
    <w:rsid w:val="6EF99E94"/>
    <w:rsid w:val="6EFDB2C6"/>
    <w:rsid w:val="6F2B1AF6"/>
    <w:rsid w:val="6F3FA3FE"/>
    <w:rsid w:val="6F59512A"/>
    <w:rsid w:val="6F63EE24"/>
    <w:rsid w:val="6F7F556E"/>
    <w:rsid w:val="6F9F1A7A"/>
    <w:rsid w:val="6F9F4888"/>
    <w:rsid w:val="6FAD037D"/>
    <w:rsid w:val="6FB7A679"/>
    <w:rsid w:val="6FB81A18"/>
    <w:rsid w:val="6FBB5310"/>
    <w:rsid w:val="6FBFE851"/>
    <w:rsid w:val="6FD967F9"/>
    <w:rsid w:val="6FDE550F"/>
    <w:rsid w:val="6FDFAE78"/>
    <w:rsid w:val="6FE86815"/>
    <w:rsid w:val="6FEF38C4"/>
    <w:rsid w:val="6FF1BDBF"/>
    <w:rsid w:val="6FF31A48"/>
    <w:rsid w:val="6FF395A2"/>
    <w:rsid w:val="6FFB8ECB"/>
    <w:rsid w:val="6FFF12C9"/>
    <w:rsid w:val="6FFF6ABD"/>
    <w:rsid w:val="6FFF8947"/>
    <w:rsid w:val="70837580"/>
    <w:rsid w:val="70BA7338"/>
    <w:rsid w:val="7100515F"/>
    <w:rsid w:val="717514CF"/>
    <w:rsid w:val="71FD52DB"/>
    <w:rsid w:val="727F515C"/>
    <w:rsid w:val="72A42E14"/>
    <w:rsid w:val="72AB41A3"/>
    <w:rsid w:val="72DF0AC5"/>
    <w:rsid w:val="73247AB1"/>
    <w:rsid w:val="736F48B1"/>
    <w:rsid w:val="738C02FF"/>
    <w:rsid w:val="739E1612"/>
    <w:rsid w:val="73B61051"/>
    <w:rsid w:val="73D7F07F"/>
    <w:rsid w:val="73EFAC4B"/>
    <w:rsid w:val="745FE5D3"/>
    <w:rsid w:val="747665D9"/>
    <w:rsid w:val="74890514"/>
    <w:rsid w:val="75091655"/>
    <w:rsid w:val="751E6122"/>
    <w:rsid w:val="7537556F"/>
    <w:rsid w:val="754C09A9"/>
    <w:rsid w:val="75DFC7BD"/>
    <w:rsid w:val="75EA7312"/>
    <w:rsid w:val="75FBCBE8"/>
    <w:rsid w:val="75FFD4FB"/>
    <w:rsid w:val="763CB3BE"/>
    <w:rsid w:val="76638457"/>
    <w:rsid w:val="7672D65B"/>
    <w:rsid w:val="767D3DC5"/>
    <w:rsid w:val="767F73E4"/>
    <w:rsid w:val="769BDF7F"/>
    <w:rsid w:val="76C70022"/>
    <w:rsid w:val="76F43794"/>
    <w:rsid w:val="775165C7"/>
    <w:rsid w:val="775FA5F5"/>
    <w:rsid w:val="777F2C28"/>
    <w:rsid w:val="7787487D"/>
    <w:rsid w:val="779E439B"/>
    <w:rsid w:val="77B50F20"/>
    <w:rsid w:val="77BFA769"/>
    <w:rsid w:val="77C3DA7B"/>
    <w:rsid w:val="77DD8842"/>
    <w:rsid w:val="77DE0B76"/>
    <w:rsid w:val="77FF50A8"/>
    <w:rsid w:val="77FFB009"/>
    <w:rsid w:val="77FFB724"/>
    <w:rsid w:val="7831514A"/>
    <w:rsid w:val="78934A15"/>
    <w:rsid w:val="790A5565"/>
    <w:rsid w:val="793123D1"/>
    <w:rsid w:val="793EA98C"/>
    <w:rsid w:val="79673C5A"/>
    <w:rsid w:val="797745C2"/>
    <w:rsid w:val="79D7B2C1"/>
    <w:rsid w:val="79E0E485"/>
    <w:rsid w:val="79E222A1"/>
    <w:rsid w:val="79F5CE78"/>
    <w:rsid w:val="79F940B7"/>
    <w:rsid w:val="79FB798F"/>
    <w:rsid w:val="79FF1634"/>
    <w:rsid w:val="7A1D46A9"/>
    <w:rsid w:val="7A3F05C2"/>
    <w:rsid w:val="7A961D16"/>
    <w:rsid w:val="7AA2333E"/>
    <w:rsid w:val="7ABDD3E8"/>
    <w:rsid w:val="7ABF038F"/>
    <w:rsid w:val="7AC57727"/>
    <w:rsid w:val="7ADF0DFB"/>
    <w:rsid w:val="7AFBCB65"/>
    <w:rsid w:val="7AFF2D25"/>
    <w:rsid w:val="7AFF7029"/>
    <w:rsid w:val="7AFFADFE"/>
    <w:rsid w:val="7B3F6C57"/>
    <w:rsid w:val="7B51165F"/>
    <w:rsid w:val="7B665D3E"/>
    <w:rsid w:val="7B7A4A0D"/>
    <w:rsid w:val="7B7C4BCB"/>
    <w:rsid w:val="7B7F6472"/>
    <w:rsid w:val="7B7F9F62"/>
    <w:rsid w:val="7B9F84DA"/>
    <w:rsid w:val="7BAE3FAB"/>
    <w:rsid w:val="7BAFE347"/>
    <w:rsid w:val="7BB778D9"/>
    <w:rsid w:val="7BBF3FA7"/>
    <w:rsid w:val="7BBF898D"/>
    <w:rsid w:val="7BCF00B7"/>
    <w:rsid w:val="7BDB4B09"/>
    <w:rsid w:val="7BDDAF26"/>
    <w:rsid w:val="7BDF8CE2"/>
    <w:rsid w:val="7BED063D"/>
    <w:rsid w:val="7BEF351D"/>
    <w:rsid w:val="7BF50404"/>
    <w:rsid w:val="7BF598D8"/>
    <w:rsid w:val="7BF7A08C"/>
    <w:rsid w:val="7BF7D47C"/>
    <w:rsid w:val="7BF8F8DD"/>
    <w:rsid w:val="7BFB6E84"/>
    <w:rsid w:val="7BFFFED9"/>
    <w:rsid w:val="7C1215A2"/>
    <w:rsid w:val="7C3D4957"/>
    <w:rsid w:val="7C99A4BB"/>
    <w:rsid w:val="7CA3E458"/>
    <w:rsid w:val="7CE110E3"/>
    <w:rsid w:val="7CFE3C7D"/>
    <w:rsid w:val="7CFF3623"/>
    <w:rsid w:val="7D4E0033"/>
    <w:rsid w:val="7D5F70E3"/>
    <w:rsid w:val="7D7EBEF7"/>
    <w:rsid w:val="7D8A8B91"/>
    <w:rsid w:val="7D8E2BC1"/>
    <w:rsid w:val="7DB14637"/>
    <w:rsid w:val="7DB7171F"/>
    <w:rsid w:val="7DBF1A34"/>
    <w:rsid w:val="7DEB9B39"/>
    <w:rsid w:val="7DF59573"/>
    <w:rsid w:val="7DF72D8F"/>
    <w:rsid w:val="7DF77713"/>
    <w:rsid w:val="7DF79FC7"/>
    <w:rsid w:val="7DF7B1E5"/>
    <w:rsid w:val="7DFE18F8"/>
    <w:rsid w:val="7DFE6BBB"/>
    <w:rsid w:val="7E5F507A"/>
    <w:rsid w:val="7E6B6C04"/>
    <w:rsid w:val="7E7D87D2"/>
    <w:rsid w:val="7E7E9E58"/>
    <w:rsid w:val="7E8FD846"/>
    <w:rsid w:val="7E977CD1"/>
    <w:rsid w:val="7E9B3E51"/>
    <w:rsid w:val="7EBFE372"/>
    <w:rsid w:val="7ED70C2B"/>
    <w:rsid w:val="7EEB3E27"/>
    <w:rsid w:val="7EF5C939"/>
    <w:rsid w:val="7EF68CF9"/>
    <w:rsid w:val="7EF75287"/>
    <w:rsid w:val="7EF7D845"/>
    <w:rsid w:val="7EF97B3C"/>
    <w:rsid w:val="7EFABD23"/>
    <w:rsid w:val="7EFBAD85"/>
    <w:rsid w:val="7EFBF93F"/>
    <w:rsid w:val="7EFDAC9C"/>
    <w:rsid w:val="7EFDB3CF"/>
    <w:rsid w:val="7EFF67D5"/>
    <w:rsid w:val="7EFF7705"/>
    <w:rsid w:val="7EFF8143"/>
    <w:rsid w:val="7EFFD896"/>
    <w:rsid w:val="7F37EC84"/>
    <w:rsid w:val="7F3FDAB0"/>
    <w:rsid w:val="7F4D77FC"/>
    <w:rsid w:val="7F77AE58"/>
    <w:rsid w:val="7F7A15C7"/>
    <w:rsid w:val="7F7BC869"/>
    <w:rsid w:val="7F7D579B"/>
    <w:rsid w:val="7F7DC46D"/>
    <w:rsid w:val="7F7EC795"/>
    <w:rsid w:val="7F7F5440"/>
    <w:rsid w:val="7F7FD226"/>
    <w:rsid w:val="7F7FEF38"/>
    <w:rsid w:val="7F82B171"/>
    <w:rsid w:val="7F854118"/>
    <w:rsid w:val="7F860CC4"/>
    <w:rsid w:val="7F9FED28"/>
    <w:rsid w:val="7FB7376F"/>
    <w:rsid w:val="7FBDE6D1"/>
    <w:rsid w:val="7FBF9859"/>
    <w:rsid w:val="7FC7AE04"/>
    <w:rsid w:val="7FCDE524"/>
    <w:rsid w:val="7FD278FD"/>
    <w:rsid w:val="7FD7D1BD"/>
    <w:rsid w:val="7FDA9116"/>
    <w:rsid w:val="7FDF211F"/>
    <w:rsid w:val="7FDF4D91"/>
    <w:rsid w:val="7FDF5B1C"/>
    <w:rsid w:val="7FE6BBF1"/>
    <w:rsid w:val="7FE90860"/>
    <w:rsid w:val="7FEE6361"/>
    <w:rsid w:val="7FEF5AF8"/>
    <w:rsid w:val="7FF37012"/>
    <w:rsid w:val="7FF5C8FA"/>
    <w:rsid w:val="7FF99AA2"/>
    <w:rsid w:val="7FFE4BCD"/>
    <w:rsid w:val="7FFE4FBD"/>
    <w:rsid w:val="7FFE76EC"/>
    <w:rsid w:val="7FFF1E2E"/>
    <w:rsid w:val="7FFF2B75"/>
    <w:rsid w:val="7FFF3CE7"/>
    <w:rsid w:val="7FFF444F"/>
    <w:rsid w:val="7FFF821C"/>
    <w:rsid w:val="8BE2D01F"/>
    <w:rsid w:val="8E9F39A0"/>
    <w:rsid w:val="8F8C3EFB"/>
    <w:rsid w:val="8FF9BEAC"/>
    <w:rsid w:val="8FFF4D0D"/>
    <w:rsid w:val="95FD3685"/>
    <w:rsid w:val="97DF3BF5"/>
    <w:rsid w:val="97FBF143"/>
    <w:rsid w:val="985B05CD"/>
    <w:rsid w:val="98FFC2A2"/>
    <w:rsid w:val="99FAF632"/>
    <w:rsid w:val="99FD2464"/>
    <w:rsid w:val="9A74DC53"/>
    <w:rsid w:val="9A7F98FD"/>
    <w:rsid w:val="9AEFC135"/>
    <w:rsid w:val="9B77A926"/>
    <w:rsid w:val="9BABDA55"/>
    <w:rsid w:val="9BDEDD5F"/>
    <w:rsid w:val="9D777E34"/>
    <w:rsid w:val="9DF55549"/>
    <w:rsid w:val="9DFE4CE7"/>
    <w:rsid w:val="9E2F381B"/>
    <w:rsid w:val="9E579D43"/>
    <w:rsid w:val="9F55743A"/>
    <w:rsid w:val="9F5F7261"/>
    <w:rsid w:val="9F7D0C3C"/>
    <w:rsid w:val="9FDF6BA3"/>
    <w:rsid w:val="9FFC05A1"/>
    <w:rsid w:val="9FFC8588"/>
    <w:rsid w:val="9FFFFA2B"/>
    <w:rsid w:val="A3394BC7"/>
    <w:rsid w:val="A670C638"/>
    <w:rsid w:val="A7CB1349"/>
    <w:rsid w:val="A7DBE375"/>
    <w:rsid w:val="AB6BD6E5"/>
    <w:rsid w:val="AB6D88CF"/>
    <w:rsid w:val="ACFCD8A6"/>
    <w:rsid w:val="AD9F3ACA"/>
    <w:rsid w:val="ADFFCE22"/>
    <w:rsid w:val="AE7B7681"/>
    <w:rsid w:val="AE9FB367"/>
    <w:rsid w:val="AEFD1627"/>
    <w:rsid w:val="AF763334"/>
    <w:rsid w:val="AFBF0CA8"/>
    <w:rsid w:val="AFBFADA3"/>
    <w:rsid w:val="AFD77480"/>
    <w:rsid w:val="AFFF6CEB"/>
    <w:rsid w:val="AFFFAF9E"/>
    <w:rsid w:val="B0FB4B0A"/>
    <w:rsid w:val="B1E7FB98"/>
    <w:rsid w:val="B59AAA0C"/>
    <w:rsid w:val="B5AF1F43"/>
    <w:rsid w:val="B5B5A0E4"/>
    <w:rsid w:val="B67C6C80"/>
    <w:rsid w:val="B6F67C62"/>
    <w:rsid w:val="B6FAA4AE"/>
    <w:rsid w:val="B78D0A08"/>
    <w:rsid w:val="B79B8D1A"/>
    <w:rsid w:val="B7DFE6D4"/>
    <w:rsid w:val="B7F58FBD"/>
    <w:rsid w:val="B7F7D992"/>
    <w:rsid w:val="B9DB5EB3"/>
    <w:rsid w:val="B9ED6A41"/>
    <w:rsid w:val="B9FF5894"/>
    <w:rsid w:val="BAF62D6F"/>
    <w:rsid w:val="BAF7DF4A"/>
    <w:rsid w:val="BB4F5561"/>
    <w:rsid w:val="BB721B02"/>
    <w:rsid w:val="BBAF9017"/>
    <w:rsid w:val="BBCFD2F2"/>
    <w:rsid w:val="BBDE5D79"/>
    <w:rsid w:val="BBFEE3F3"/>
    <w:rsid w:val="BCFB76D3"/>
    <w:rsid w:val="BD67CCD4"/>
    <w:rsid w:val="BD6F845B"/>
    <w:rsid w:val="BDE5BD4C"/>
    <w:rsid w:val="BE3D6CA6"/>
    <w:rsid w:val="BE7EA837"/>
    <w:rsid w:val="BEDE180A"/>
    <w:rsid w:val="BF16EE5D"/>
    <w:rsid w:val="BF3B380D"/>
    <w:rsid w:val="BF3D176B"/>
    <w:rsid w:val="BF3EC57E"/>
    <w:rsid w:val="BF3F3328"/>
    <w:rsid w:val="BF7F41D5"/>
    <w:rsid w:val="BF7F84AE"/>
    <w:rsid w:val="BFB7357F"/>
    <w:rsid w:val="BFBE7C1F"/>
    <w:rsid w:val="BFDB0E0B"/>
    <w:rsid w:val="BFF9C1FB"/>
    <w:rsid w:val="BFFB5E5C"/>
    <w:rsid w:val="BFFF8DC3"/>
    <w:rsid w:val="BFFF8EE1"/>
    <w:rsid w:val="C3D654F8"/>
    <w:rsid w:val="C3EF2165"/>
    <w:rsid w:val="C4F7D7CF"/>
    <w:rsid w:val="C6EF854B"/>
    <w:rsid w:val="C7BF6D46"/>
    <w:rsid w:val="C7EE85F2"/>
    <w:rsid w:val="CA9F95AF"/>
    <w:rsid w:val="CB8701DB"/>
    <w:rsid w:val="CBAFEF1C"/>
    <w:rsid w:val="CBD7F187"/>
    <w:rsid w:val="CBF3E66B"/>
    <w:rsid w:val="CDDE28ED"/>
    <w:rsid w:val="CE3D3530"/>
    <w:rsid w:val="CE670D53"/>
    <w:rsid w:val="CEF26D08"/>
    <w:rsid w:val="CF7F5DD5"/>
    <w:rsid w:val="CFBC9A1A"/>
    <w:rsid w:val="CFBFE664"/>
    <w:rsid w:val="CFDF798B"/>
    <w:rsid w:val="CFF22A81"/>
    <w:rsid w:val="D0FB91AD"/>
    <w:rsid w:val="D3BB5CE3"/>
    <w:rsid w:val="D3E9F753"/>
    <w:rsid w:val="D47F946C"/>
    <w:rsid w:val="D4BFDAD2"/>
    <w:rsid w:val="D57FB45F"/>
    <w:rsid w:val="D5EF7DD1"/>
    <w:rsid w:val="D5F9A3D6"/>
    <w:rsid w:val="D5FA8277"/>
    <w:rsid w:val="D5FD2DE4"/>
    <w:rsid w:val="D5FF6E05"/>
    <w:rsid w:val="D7F14DFB"/>
    <w:rsid w:val="D7FAE7A6"/>
    <w:rsid w:val="D7FE2A47"/>
    <w:rsid w:val="D7FEED15"/>
    <w:rsid w:val="D8B74328"/>
    <w:rsid w:val="D8F7DA02"/>
    <w:rsid w:val="D9BF21E8"/>
    <w:rsid w:val="D9DF0219"/>
    <w:rsid w:val="D9FBAD1C"/>
    <w:rsid w:val="D9FC075E"/>
    <w:rsid w:val="DA6FD157"/>
    <w:rsid w:val="DB5D4C32"/>
    <w:rsid w:val="DBBEE6B2"/>
    <w:rsid w:val="DBFC8E25"/>
    <w:rsid w:val="DBFFCDCA"/>
    <w:rsid w:val="DCCF7AC4"/>
    <w:rsid w:val="DCD9B8FD"/>
    <w:rsid w:val="DCEF9FF9"/>
    <w:rsid w:val="DD742EAD"/>
    <w:rsid w:val="DD7BD561"/>
    <w:rsid w:val="DDFB11A1"/>
    <w:rsid w:val="DE6752B9"/>
    <w:rsid w:val="DE6A99E7"/>
    <w:rsid w:val="DEF19BA6"/>
    <w:rsid w:val="DF3ED830"/>
    <w:rsid w:val="DF3F34A4"/>
    <w:rsid w:val="DF3F3EE5"/>
    <w:rsid w:val="DF570F84"/>
    <w:rsid w:val="DF5FF6D9"/>
    <w:rsid w:val="DF95A0EE"/>
    <w:rsid w:val="DF9DE759"/>
    <w:rsid w:val="DFB6D125"/>
    <w:rsid w:val="DFBB6CFC"/>
    <w:rsid w:val="DFBBDAE0"/>
    <w:rsid w:val="DFBD47B0"/>
    <w:rsid w:val="DFC8455E"/>
    <w:rsid w:val="DFCF789F"/>
    <w:rsid w:val="DFEB801D"/>
    <w:rsid w:val="DFF1F115"/>
    <w:rsid w:val="DFFE7B3F"/>
    <w:rsid w:val="DFFF1240"/>
    <w:rsid w:val="DFFFE8E0"/>
    <w:rsid w:val="E4B7CCF0"/>
    <w:rsid w:val="E4BFD131"/>
    <w:rsid w:val="E57F2E51"/>
    <w:rsid w:val="E5ECD382"/>
    <w:rsid w:val="E62BD7A9"/>
    <w:rsid w:val="E62D97CF"/>
    <w:rsid w:val="E67E216E"/>
    <w:rsid w:val="E6BF5604"/>
    <w:rsid w:val="E77F5756"/>
    <w:rsid w:val="E9EF3257"/>
    <w:rsid w:val="E9F51235"/>
    <w:rsid w:val="E9FF5789"/>
    <w:rsid w:val="EA0076C0"/>
    <w:rsid w:val="EA6CAC7D"/>
    <w:rsid w:val="EAA78E03"/>
    <w:rsid w:val="EAF18A2D"/>
    <w:rsid w:val="EAF3B4CC"/>
    <w:rsid w:val="EAF71CD7"/>
    <w:rsid w:val="EAFD78B0"/>
    <w:rsid w:val="EB87995B"/>
    <w:rsid w:val="EBFB53D5"/>
    <w:rsid w:val="EBFEDD5F"/>
    <w:rsid w:val="ECFDAB70"/>
    <w:rsid w:val="ED7FF9AE"/>
    <w:rsid w:val="ED978517"/>
    <w:rsid w:val="EDB4A76F"/>
    <w:rsid w:val="EDB720E5"/>
    <w:rsid w:val="EDCFBDD0"/>
    <w:rsid w:val="EDE3B352"/>
    <w:rsid w:val="EDF503C4"/>
    <w:rsid w:val="EEA2E1E3"/>
    <w:rsid w:val="EEBB725D"/>
    <w:rsid w:val="EEDFEF13"/>
    <w:rsid w:val="EEF7232B"/>
    <w:rsid w:val="EEF7EB73"/>
    <w:rsid w:val="EF1FC7FA"/>
    <w:rsid w:val="EF2B47C7"/>
    <w:rsid w:val="EF5BF914"/>
    <w:rsid w:val="EF5F4229"/>
    <w:rsid w:val="EF5F7C67"/>
    <w:rsid w:val="EF6FA913"/>
    <w:rsid w:val="EF7A6C23"/>
    <w:rsid w:val="EF7B08BF"/>
    <w:rsid w:val="EF93C8E0"/>
    <w:rsid w:val="EF9A665A"/>
    <w:rsid w:val="EF9FB154"/>
    <w:rsid w:val="EFABA385"/>
    <w:rsid w:val="EFADE037"/>
    <w:rsid w:val="EFB69011"/>
    <w:rsid w:val="EFBFC804"/>
    <w:rsid w:val="EFCF4ABF"/>
    <w:rsid w:val="EFCF6794"/>
    <w:rsid w:val="EFDEE502"/>
    <w:rsid w:val="EFDF64F6"/>
    <w:rsid w:val="EFF35F59"/>
    <w:rsid w:val="EFFF0141"/>
    <w:rsid w:val="EFFF8CCA"/>
    <w:rsid w:val="F16D7496"/>
    <w:rsid w:val="F1ED7F41"/>
    <w:rsid w:val="F1F09B70"/>
    <w:rsid w:val="F1FF862C"/>
    <w:rsid w:val="F2BEC3A6"/>
    <w:rsid w:val="F35E5B0F"/>
    <w:rsid w:val="F35F7828"/>
    <w:rsid w:val="F38D895D"/>
    <w:rsid w:val="F3E3FCA7"/>
    <w:rsid w:val="F3FB8D6C"/>
    <w:rsid w:val="F3FF8DDC"/>
    <w:rsid w:val="F43E05A9"/>
    <w:rsid w:val="F4A9993A"/>
    <w:rsid w:val="F59E7283"/>
    <w:rsid w:val="F5D602E2"/>
    <w:rsid w:val="F5DE0EE3"/>
    <w:rsid w:val="F5E61C70"/>
    <w:rsid w:val="F5E77CE1"/>
    <w:rsid w:val="F5FB104D"/>
    <w:rsid w:val="F5FCD9B5"/>
    <w:rsid w:val="F64D4F74"/>
    <w:rsid w:val="F65B2A47"/>
    <w:rsid w:val="F6BDB22E"/>
    <w:rsid w:val="F6BFE743"/>
    <w:rsid w:val="F6D79B0B"/>
    <w:rsid w:val="F6F4E261"/>
    <w:rsid w:val="F7374B04"/>
    <w:rsid w:val="F77FC88D"/>
    <w:rsid w:val="F77FD522"/>
    <w:rsid w:val="F79B5CAF"/>
    <w:rsid w:val="F7B12609"/>
    <w:rsid w:val="F7BF2D96"/>
    <w:rsid w:val="F7BF5D2F"/>
    <w:rsid w:val="F7CD67D3"/>
    <w:rsid w:val="F7D77257"/>
    <w:rsid w:val="F7DE6AAC"/>
    <w:rsid w:val="F7EBBEF5"/>
    <w:rsid w:val="F7EED8CB"/>
    <w:rsid w:val="F7FB1298"/>
    <w:rsid w:val="F7FC99B9"/>
    <w:rsid w:val="F7FF0553"/>
    <w:rsid w:val="F7FF3F1F"/>
    <w:rsid w:val="F7FFA1A0"/>
    <w:rsid w:val="F86F15A6"/>
    <w:rsid w:val="F8DF8241"/>
    <w:rsid w:val="F8DFD1AB"/>
    <w:rsid w:val="F94F8462"/>
    <w:rsid w:val="F9588A7A"/>
    <w:rsid w:val="F96CEE4E"/>
    <w:rsid w:val="F9BA706A"/>
    <w:rsid w:val="F9F6E8D1"/>
    <w:rsid w:val="F9F70858"/>
    <w:rsid w:val="F9F712C7"/>
    <w:rsid w:val="F9F73767"/>
    <w:rsid w:val="F9F7507A"/>
    <w:rsid w:val="F9FA0011"/>
    <w:rsid w:val="F9FAD282"/>
    <w:rsid w:val="F9FD6803"/>
    <w:rsid w:val="F9FD8031"/>
    <w:rsid w:val="F9FF455D"/>
    <w:rsid w:val="FA76AB67"/>
    <w:rsid w:val="FAAFB5AD"/>
    <w:rsid w:val="FADF8277"/>
    <w:rsid w:val="FAFC9ACD"/>
    <w:rsid w:val="FB6EA679"/>
    <w:rsid w:val="FB7DB1B1"/>
    <w:rsid w:val="FB7F2E0F"/>
    <w:rsid w:val="FB8EA557"/>
    <w:rsid w:val="FB9F3B86"/>
    <w:rsid w:val="FBA73407"/>
    <w:rsid w:val="FBAF90F6"/>
    <w:rsid w:val="FBBE43D9"/>
    <w:rsid w:val="FBBF2DE6"/>
    <w:rsid w:val="FBCF2BD7"/>
    <w:rsid w:val="FBD3314C"/>
    <w:rsid w:val="FBDFAE81"/>
    <w:rsid w:val="FBE7250D"/>
    <w:rsid w:val="FBFD413F"/>
    <w:rsid w:val="FBFE3BC8"/>
    <w:rsid w:val="FBFF70C5"/>
    <w:rsid w:val="FC6FA625"/>
    <w:rsid w:val="FC9A1EE1"/>
    <w:rsid w:val="FCF8658B"/>
    <w:rsid w:val="FCFD6BBE"/>
    <w:rsid w:val="FD2F47CF"/>
    <w:rsid w:val="FD473AA7"/>
    <w:rsid w:val="FD5F286C"/>
    <w:rsid w:val="FD97700A"/>
    <w:rsid w:val="FDA44272"/>
    <w:rsid w:val="FDAFDCF3"/>
    <w:rsid w:val="FDB957B4"/>
    <w:rsid w:val="FDBA691B"/>
    <w:rsid w:val="FDBF5809"/>
    <w:rsid w:val="FDCF40B9"/>
    <w:rsid w:val="FDDD79D7"/>
    <w:rsid w:val="FDDDAB81"/>
    <w:rsid w:val="FDE536E2"/>
    <w:rsid w:val="FDEBC40B"/>
    <w:rsid w:val="FDEF55BE"/>
    <w:rsid w:val="FDEF5D5C"/>
    <w:rsid w:val="FDF7BEB4"/>
    <w:rsid w:val="FDFDA500"/>
    <w:rsid w:val="FDFF2397"/>
    <w:rsid w:val="FDFF2478"/>
    <w:rsid w:val="FDFF78BC"/>
    <w:rsid w:val="FE5732B8"/>
    <w:rsid w:val="FE73EFB7"/>
    <w:rsid w:val="FE7B4747"/>
    <w:rsid w:val="FE7E0B84"/>
    <w:rsid w:val="FE7F7027"/>
    <w:rsid w:val="FEAEA7DF"/>
    <w:rsid w:val="FEB796E8"/>
    <w:rsid w:val="FEBD3FA4"/>
    <w:rsid w:val="FEDBA7B9"/>
    <w:rsid w:val="FEDE9165"/>
    <w:rsid w:val="FEDF1B97"/>
    <w:rsid w:val="FEE3B75E"/>
    <w:rsid w:val="FEE555A5"/>
    <w:rsid w:val="FEEF21B6"/>
    <w:rsid w:val="FEFCC9F4"/>
    <w:rsid w:val="FF0F9DC0"/>
    <w:rsid w:val="FF34A8FA"/>
    <w:rsid w:val="FF3F0ED8"/>
    <w:rsid w:val="FF4CA6D7"/>
    <w:rsid w:val="FF4F528C"/>
    <w:rsid w:val="FF4FC39D"/>
    <w:rsid w:val="FF670D3C"/>
    <w:rsid w:val="FF7263BA"/>
    <w:rsid w:val="FF775D1A"/>
    <w:rsid w:val="FF7D5C4D"/>
    <w:rsid w:val="FF7F5D0B"/>
    <w:rsid w:val="FF7F9270"/>
    <w:rsid w:val="FF7FE5C2"/>
    <w:rsid w:val="FF9F7173"/>
    <w:rsid w:val="FF9FBDD8"/>
    <w:rsid w:val="FF9FC45F"/>
    <w:rsid w:val="FFA78F7F"/>
    <w:rsid w:val="FFB7C3A7"/>
    <w:rsid w:val="FFBD6588"/>
    <w:rsid w:val="FFBD7506"/>
    <w:rsid w:val="FFBE7EB5"/>
    <w:rsid w:val="FFBF2635"/>
    <w:rsid w:val="FFBF65C3"/>
    <w:rsid w:val="FFBFAF4D"/>
    <w:rsid w:val="FFBFB853"/>
    <w:rsid w:val="FFBFDC7F"/>
    <w:rsid w:val="FFBFF166"/>
    <w:rsid w:val="FFCADF1C"/>
    <w:rsid w:val="FFCF7B09"/>
    <w:rsid w:val="FFD4448F"/>
    <w:rsid w:val="FFD8897B"/>
    <w:rsid w:val="FFDA22D0"/>
    <w:rsid w:val="FFDD8BCC"/>
    <w:rsid w:val="FFE0A6DE"/>
    <w:rsid w:val="FFE6444B"/>
    <w:rsid w:val="FFE9FFC6"/>
    <w:rsid w:val="FFEE2ACA"/>
    <w:rsid w:val="FFEFBAE8"/>
    <w:rsid w:val="FFF2D30D"/>
    <w:rsid w:val="FFF36152"/>
    <w:rsid w:val="FFF36C91"/>
    <w:rsid w:val="FFF709AC"/>
    <w:rsid w:val="FFF7BBF3"/>
    <w:rsid w:val="FFF7CCCB"/>
    <w:rsid w:val="FFF84CFB"/>
    <w:rsid w:val="FFF87498"/>
    <w:rsid w:val="FFF9AD82"/>
    <w:rsid w:val="FFFB7AE6"/>
    <w:rsid w:val="FFFD0F07"/>
    <w:rsid w:val="FFFD8D4C"/>
    <w:rsid w:val="FFFDE2F9"/>
    <w:rsid w:val="FFFF2640"/>
    <w:rsid w:val="FFFF9AC7"/>
    <w:rsid w:val="FFFFDF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widowControl/>
      <w:spacing w:afterLines="100" w:line="360" w:lineRule="auto"/>
      <w:ind w:left="200" w:firstLine="210" w:firstLineChars="200"/>
      <w:jc w:val="left"/>
    </w:pPr>
    <w:rPr>
      <w:kern w:val="28"/>
      <w:sz w:val="24"/>
      <w:lang w:val="zh-CN"/>
    </w:rPr>
  </w:style>
  <w:style w:type="paragraph" w:styleId="3">
    <w:name w:val="Body Text Indent"/>
    <w:basedOn w:val="1"/>
    <w:qFormat/>
    <w:uiPriority w:val="0"/>
    <w:pPr>
      <w:spacing w:after="120"/>
      <w:ind w:left="420" w:leftChars="200"/>
    </w:pPr>
  </w:style>
  <w:style w:type="paragraph" w:styleId="6">
    <w:name w:val="index 5"/>
    <w:basedOn w:val="1"/>
    <w:next w:val="1"/>
    <w:qFormat/>
    <w:uiPriority w:val="0"/>
    <w:pPr>
      <w:ind w:left="1680"/>
    </w:pPr>
  </w:style>
  <w:style w:type="paragraph" w:styleId="7">
    <w:name w:val="annotation text"/>
    <w:basedOn w:val="1"/>
    <w:qFormat/>
    <w:uiPriority w:val="0"/>
    <w:pPr>
      <w:jc w:val="left"/>
    </w:pPr>
  </w:style>
  <w:style w:type="paragraph" w:styleId="8">
    <w:name w:val="footer"/>
    <w:basedOn w:val="1"/>
    <w:next w:val="6"/>
    <w:qFormat/>
    <w:uiPriority w:val="0"/>
    <w:pPr>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Normal (Web)"/>
    <w:basedOn w:val="1"/>
    <w:qFormat/>
    <w:uiPriority w:val="0"/>
    <w:rPr>
      <w:sz w:val="24"/>
    </w:rPr>
  </w:style>
  <w:style w:type="character" w:styleId="14">
    <w:name w:val="Strong"/>
    <w:basedOn w:val="1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4326</Words>
  <Characters>4451</Characters>
  <Lines>0</Lines>
  <Paragraphs>0</Paragraphs>
  <TotalTime>6</TotalTime>
  <ScaleCrop>false</ScaleCrop>
  <LinksUpToDate>false</LinksUpToDate>
  <CharactersWithSpaces>4542</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2018-07-31T23:11:00Z</dcterms:created>
  <dc:creator>d</dc:creator>
  <cp:lastModifiedBy>kylin</cp:lastModifiedBy>
  <cp:lastPrinted>2026-05-28T16:31:00Z</cp:lastPrinted>
  <dcterms:modified xsi:type="dcterms:W3CDTF">2026-10-16T15:24:42Z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KSOTemplateDocerSaveRecord">
    <vt:lpwstr>eyJoZGlkIjoiNGM0OTRmMTQ5NmEyOTRmMGEyMjJjZGU3ZTU0OWUwMmUiLCJ1c2VySWQiOiI3MzgwMzU5OTcifQ==</vt:lpwstr>
  </property>
  <property fmtid="{D5CDD505-2E9C-101B-9397-08002B2CF9AE}" pid="4" name="ICV">
    <vt:lpwstr>3838A0507ABB492CAF6F526F3EF041D7_13</vt:lpwstr>
  </property>
</Properties>
</file>