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w:t>
      </w:r>
      <w:r>
        <w:rPr>
          <w:rFonts w:hint="default" w:ascii="黑体" w:hAnsi="黑体" w:eastAsia="黑体" w:cs="黑体"/>
          <w:b/>
          <w:bCs/>
          <w:sz w:val="44"/>
          <w:szCs w:val="44"/>
          <w:lang w:eastAsia="zh-CN"/>
        </w:rPr>
        <w:t>1</w:t>
      </w:r>
      <w:r>
        <w:rPr>
          <w:rFonts w:hint="eastAsia" w:ascii="黑体" w:hAnsi="黑体" w:eastAsia="黑体" w:cs="黑体"/>
          <w:b/>
          <w:bCs/>
          <w:sz w:val="44"/>
          <w:szCs w:val="44"/>
          <w:lang w:val="en-US" w:eastAsia="zh-CN"/>
        </w:rPr>
        <w:t>年应急管理局整体支出绩效自评报告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w:t>
      </w:r>
      <w:r>
        <w:rPr>
          <w:rFonts w:hint="default" w:ascii="仿宋" w:hAnsi="仿宋" w:eastAsia="仿宋" w:cs="仿宋"/>
          <w:color w:val="000000"/>
          <w:kern w:val="0"/>
          <w:sz w:val="32"/>
          <w:szCs w:val="32"/>
        </w:rPr>
        <w:t>怀化市</w:t>
      </w:r>
      <w:r>
        <w:rPr>
          <w:rFonts w:hint="eastAsia" w:ascii="仿宋" w:hAnsi="仿宋" w:eastAsia="仿宋" w:cs="仿宋"/>
          <w:color w:val="000000"/>
          <w:kern w:val="0"/>
          <w:sz w:val="32"/>
          <w:szCs w:val="32"/>
        </w:rPr>
        <w:t>财政局关于</w:t>
      </w:r>
      <w:r>
        <w:rPr>
          <w:rFonts w:hint="default" w:ascii="仿宋" w:hAnsi="仿宋" w:eastAsia="仿宋" w:cs="仿宋"/>
          <w:color w:val="000000"/>
          <w:kern w:val="0"/>
          <w:sz w:val="32"/>
          <w:szCs w:val="32"/>
        </w:rPr>
        <w:t>开展</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年度部门（单位）</w:t>
      </w:r>
      <w:r>
        <w:rPr>
          <w:rFonts w:hint="default" w:ascii="仿宋" w:hAnsi="仿宋" w:eastAsia="仿宋" w:cs="仿宋"/>
          <w:color w:val="000000"/>
          <w:kern w:val="0"/>
          <w:sz w:val="32"/>
          <w:szCs w:val="32"/>
        </w:rPr>
        <w:t>整体支出 专项资金绩效自评工作的通知</w:t>
      </w:r>
      <w:r>
        <w:rPr>
          <w:rFonts w:hint="eastAsia" w:ascii="仿宋" w:hAnsi="仿宋" w:eastAsia="仿宋" w:cs="仿宋"/>
          <w:color w:val="000000"/>
          <w:kern w:val="0"/>
          <w:sz w:val="32"/>
          <w:szCs w:val="32"/>
        </w:rPr>
        <w:t>》（</w:t>
      </w:r>
      <w:r>
        <w:rPr>
          <w:rFonts w:hint="default" w:ascii="仿宋" w:hAnsi="仿宋" w:eastAsia="仿宋" w:cs="仿宋"/>
          <w:color w:val="000000"/>
          <w:kern w:val="0"/>
          <w:sz w:val="32"/>
          <w:szCs w:val="32"/>
        </w:rPr>
        <w:t>怀</w:t>
      </w:r>
      <w:r>
        <w:rPr>
          <w:rFonts w:hint="eastAsia" w:ascii="仿宋" w:hAnsi="仿宋" w:eastAsia="仿宋" w:cs="仿宋"/>
          <w:color w:val="000000"/>
          <w:kern w:val="0"/>
          <w:sz w:val="32"/>
          <w:szCs w:val="32"/>
        </w:rPr>
        <w:t>财绩〔202</w:t>
      </w:r>
      <w:r>
        <w:rPr>
          <w:rFonts w:hint="default" w:ascii="仿宋" w:hAnsi="仿宋" w:eastAsia="仿宋" w:cs="仿宋"/>
          <w:color w:val="000000"/>
          <w:kern w:val="0"/>
          <w:sz w:val="32"/>
          <w:szCs w:val="32"/>
          <w:lang w:eastAsia="zh-CN"/>
        </w:rPr>
        <w:t>2</w:t>
      </w:r>
      <w:r>
        <w:rPr>
          <w:rFonts w:hint="eastAsia" w:ascii="仿宋" w:hAnsi="仿宋" w:eastAsia="仿宋" w:cs="仿宋"/>
          <w:color w:val="000000"/>
          <w:kern w:val="0"/>
          <w:sz w:val="32"/>
          <w:szCs w:val="32"/>
        </w:rPr>
        <w:t>〕</w:t>
      </w:r>
      <w:r>
        <w:rPr>
          <w:rFonts w:hint="default" w:ascii="仿宋" w:hAnsi="仿宋" w:eastAsia="仿宋" w:cs="仿宋"/>
          <w:color w:val="000000"/>
          <w:kern w:val="0"/>
          <w:sz w:val="32"/>
          <w:szCs w:val="32"/>
        </w:rPr>
        <w:t>51</w:t>
      </w:r>
      <w:r>
        <w:rPr>
          <w:rFonts w:hint="eastAsia" w:ascii="仿宋" w:hAnsi="仿宋" w:eastAsia="仿宋" w:cs="仿宋"/>
          <w:color w:val="000000"/>
          <w:kern w:val="0"/>
          <w:sz w:val="32"/>
          <w:szCs w:val="32"/>
        </w:rPr>
        <w:t>号）要求，我</w:t>
      </w:r>
      <w:r>
        <w:rPr>
          <w:rFonts w:hint="eastAsia" w:ascii="仿宋" w:hAnsi="仿宋" w:eastAsia="仿宋" w:cs="仿宋"/>
          <w:color w:val="000000"/>
          <w:kern w:val="0"/>
          <w:sz w:val="32"/>
          <w:szCs w:val="32"/>
          <w:lang w:val="en-US" w:eastAsia="zh-CN"/>
        </w:rPr>
        <w:t>单位</w:t>
      </w:r>
      <w:r>
        <w:rPr>
          <w:rFonts w:hint="eastAsia" w:ascii="仿宋" w:hAnsi="仿宋" w:eastAsia="仿宋" w:cs="仿宋"/>
          <w:color w:val="000000"/>
          <w:kern w:val="0"/>
          <w:sz w:val="32"/>
          <w:szCs w:val="32"/>
        </w:rPr>
        <w:t>对</w:t>
      </w:r>
      <w:r>
        <w:rPr>
          <w:rFonts w:hint="eastAsia" w:ascii="仿宋" w:hAnsi="仿宋" w:eastAsia="仿宋" w:cs="仿宋"/>
          <w:color w:val="000000"/>
          <w:kern w:val="0"/>
          <w:sz w:val="32"/>
          <w:szCs w:val="32"/>
          <w:lang w:val="en-US" w:eastAsia="zh-CN"/>
        </w:rPr>
        <w:t>202</w:t>
      </w:r>
      <w:r>
        <w:rPr>
          <w:rFonts w:hint="default" w:ascii="仿宋" w:hAnsi="仿宋" w:eastAsia="仿宋" w:cs="仿宋"/>
          <w:color w:val="000000"/>
          <w:kern w:val="0"/>
          <w:sz w:val="32"/>
          <w:szCs w:val="32"/>
          <w:lang w:eastAsia="zh-CN"/>
        </w:rPr>
        <w:t>1</w:t>
      </w:r>
      <w:r>
        <w:rPr>
          <w:rFonts w:hint="eastAsia" w:ascii="仿宋" w:hAnsi="仿宋" w:eastAsia="仿宋" w:cs="仿宋"/>
          <w:color w:val="000000"/>
          <w:kern w:val="0"/>
          <w:sz w:val="32"/>
          <w:szCs w:val="32"/>
        </w:rPr>
        <w:t>年部门整体支出进行了绩效自评，现报告如下：</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一、部门基本概况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（一）职能职责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default" w:ascii="仿宋" w:hAnsi="仿宋" w:eastAsia="仿宋" w:cs="仿宋"/>
          <w:color w:val="000000"/>
          <w:sz w:val="32"/>
          <w:szCs w:val="32"/>
        </w:rPr>
        <w:t>怀化市</w:t>
      </w:r>
      <w:r>
        <w:rPr>
          <w:rFonts w:hint="eastAsia" w:ascii="仿宋" w:hAnsi="仿宋" w:eastAsia="仿宋" w:cs="仿宋"/>
          <w:color w:val="000000"/>
          <w:sz w:val="32"/>
          <w:szCs w:val="32"/>
        </w:rPr>
        <w:t>应急管理局是</w:t>
      </w:r>
      <w:r>
        <w:rPr>
          <w:rFonts w:hint="default" w:ascii="仿宋" w:hAnsi="仿宋" w:eastAsia="仿宋" w:cs="仿宋"/>
          <w:color w:val="000000"/>
          <w:sz w:val="32"/>
          <w:szCs w:val="32"/>
        </w:rPr>
        <w:t>市</w:t>
      </w:r>
      <w:r>
        <w:rPr>
          <w:rFonts w:hint="eastAsia" w:ascii="仿宋" w:hAnsi="仿宋" w:eastAsia="仿宋" w:cs="仿宋"/>
          <w:color w:val="000000"/>
          <w:sz w:val="32"/>
          <w:szCs w:val="32"/>
        </w:rPr>
        <w:t>政府工作部门，为正</w:t>
      </w:r>
      <w:r>
        <w:rPr>
          <w:rFonts w:hint="default" w:ascii="仿宋" w:hAnsi="仿宋" w:eastAsia="仿宋" w:cs="仿宋"/>
          <w:color w:val="000000"/>
          <w:sz w:val="32"/>
          <w:szCs w:val="32"/>
        </w:rPr>
        <w:t>处</w:t>
      </w:r>
      <w:r>
        <w:rPr>
          <w:rFonts w:hint="eastAsia" w:ascii="仿宋" w:hAnsi="仿宋" w:eastAsia="仿宋" w:cs="仿宋"/>
          <w:color w:val="000000"/>
          <w:sz w:val="32"/>
          <w:szCs w:val="32"/>
        </w:rPr>
        <w:t>级，加挂</w:t>
      </w:r>
      <w:r>
        <w:rPr>
          <w:rFonts w:hint="default" w:ascii="仿宋" w:hAnsi="仿宋" w:eastAsia="仿宋" w:cs="仿宋"/>
          <w:color w:val="000000"/>
          <w:sz w:val="32"/>
          <w:szCs w:val="32"/>
        </w:rPr>
        <w:t>怀化市</w:t>
      </w:r>
      <w:r>
        <w:rPr>
          <w:rFonts w:hint="eastAsia" w:ascii="仿宋" w:hAnsi="仿宋" w:eastAsia="仿宋" w:cs="仿宋"/>
          <w:color w:val="000000"/>
          <w:sz w:val="32"/>
          <w:szCs w:val="32"/>
        </w:rPr>
        <w:t>防汛抗旱指挥部办公室牌子。</w:t>
      </w:r>
      <w:r>
        <w:rPr>
          <w:rFonts w:hint="eastAsia" w:ascii="仿宋" w:hAnsi="仿宋" w:eastAsia="仿宋" w:cs="仿宋"/>
          <w:color w:val="000000"/>
          <w:sz w:val="32"/>
          <w:szCs w:val="32"/>
          <w:lang w:eastAsia="zh-CN"/>
        </w:rPr>
        <w:t>主要职能包括</w:t>
      </w:r>
      <w:r>
        <w:rPr>
          <w:rFonts w:hint="eastAsia" w:ascii="仿宋" w:hAnsi="仿宋" w:eastAsia="仿宋" w:cs="仿宋"/>
          <w:color w:val="000000"/>
          <w:sz w:val="32"/>
          <w:szCs w:val="32"/>
        </w:rPr>
        <w:t>负责应急管理工作，指导全</w:t>
      </w:r>
      <w:r>
        <w:rPr>
          <w:rFonts w:hint="default" w:ascii="仿宋" w:hAnsi="仿宋" w:eastAsia="仿宋" w:cs="仿宋"/>
          <w:color w:val="000000"/>
          <w:sz w:val="32"/>
          <w:szCs w:val="32"/>
        </w:rPr>
        <w:t>市</w:t>
      </w:r>
      <w:r>
        <w:rPr>
          <w:rFonts w:hint="eastAsia" w:ascii="仿宋" w:hAnsi="仿宋" w:eastAsia="仿宋" w:cs="仿宋"/>
          <w:color w:val="000000"/>
          <w:sz w:val="32"/>
          <w:szCs w:val="32"/>
        </w:rPr>
        <w:t>各部门应对安全生产类、自然灾害类等突发事件和综合防灾减灾救灾工作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贯彻实施相关法律法规、部门规章、规程和标准，组织编制全</w:t>
      </w:r>
      <w:r>
        <w:rPr>
          <w:rFonts w:hint="default" w:ascii="仿宋" w:hAnsi="仿宋" w:eastAsia="仿宋" w:cs="仿宋"/>
          <w:color w:val="000000"/>
          <w:sz w:val="32"/>
          <w:szCs w:val="32"/>
        </w:rPr>
        <w:t>市</w:t>
      </w:r>
      <w:r>
        <w:rPr>
          <w:rFonts w:hint="eastAsia" w:ascii="仿宋" w:hAnsi="仿宋" w:eastAsia="仿宋" w:cs="仿宋"/>
          <w:color w:val="000000"/>
          <w:sz w:val="32"/>
          <w:szCs w:val="32"/>
        </w:rPr>
        <w:t>应急体系建设、安全生产和综合防灾减灾规划</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指导应急预案体系建设，建立完善事故灾难和自然灾害分级应对制度，组织编制全</w:t>
      </w:r>
      <w:r>
        <w:rPr>
          <w:rFonts w:hint="default" w:ascii="仿宋" w:hAnsi="仿宋" w:eastAsia="仿宋" w:cs="仿宋"/>
          <w:color w:val="000000"/>
          <w:sz w:val="32"/>
          <w:szCs w:val="32"/>
        </w:rPr>
        <w:t>市</w:t>
      </w:r>
      <w:r>
        <w:rPr>
          <w:rFonts w:hint="eastAsia" w:ascii="仿宋" w:hAnsi="仿宋" w:eastAsia="仿宋" w:cs="仿宋"/>
          <w:color w:val="000000"/>
          <w:sz w:val="32"/>
          <w:szCs w:val="32"/>
        </w:rPr>
        <w:t>总体应急预案和安全生产类、自然灾害类专项预案，综合协调应急预案衔接工作，组织开展预案演练，推动应急避难设施建设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牵头推进全</w:t>
      </w:r>
      <w:r>
        <w:rPr>
          <w:rFonts w:hint="default" w:ascii="仿宋" w:hAnsi="仿宋" w:eastAsia="仿宋" w:cs="仿宋"/>
          <w:color w:val="000000"/>
          <w:sz w:val="32"/>
          <w:szCs w:val="32"/>
        </w:rPr>
        <w:t>市</w:t>
      </w:r>
      <w:r>
        <w:rPr>
          <w:rFonts w:hint="eastAsia" w:ascii="仿宋" w:hAnsi="仿宋" w:eastAsia="仿宋" w:cs="仿宋"/>
          <w:color w:val="000000"/>
          <w:sz w:val="32"/>
          <w:szCs w:val="32"/>
        </w:rPr>
        <w:t>统一的应急管理信息系统建设，负责信息传输渠道的规划和布局，建立监测预警和灾情报告制度，健全自然灾害信息资源获取和共享机制，依法统一发布灾情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组织指导协调安全生产类、自然灾害类等突发事件应急救援，承担</w:t>
      </w:r>
      <w:r>
        <w:rPr>
          <w:rFonts w:hint="default" w:ascii="仿宋" w:hAnsi="仿宋" w:eastAsia="仿宋" w:cs="仿宋"/>
          <w:color w:val="000000"/>
          <w:sz w:val="32"/>
          <w:szCs w:val="32"/>
        </w:rPr>
        <w:t>市</w:t>
      </w:r>
      <w:r>
        <w:rPr>
          <w:rFonts w:hint="eastAsia" w:ascii="仿宋" w:hAnsi="仿宋" w:eastAsia="仿宋" w:cs="仿宋"/>
          <w:color w:val="000000"/>
          <w:sz w:val="32"/>
          <w:szCs w:val="32"/>
        </w:rPr>
        <w:t>应对较大灾害指挥部工作，综合研判突发事件发展态势并提出应对建议，协助</w:t>
      </w:r>
      <w:r>
        <w:rPr>
          <w:rFonts w:hint="default" w:ascii="仿宋" w:hAnsi="仿宋" w:eastAsia="仿宋" w:cs="仿宋"/>
          <w:color w:val="000000"/>
          <w:sz w:val="32"/>
          <w:szCs w:val="32"/>
        </w:rPr>
        <w:t>市</w:t>
      </w:r>
      <w:r>
        <w:rPr>
          <w:rFonts w:hint="eastAsia" w:ascii="仿宋" w:hAnsi="仿宋" w:eastAsia="仿宋" w:cs="仿宋"/>
          <w:color w:val="000000"/>
          <w:sz w:val="32"/>
          <w:szCs w:val="32"/>
        </w:rPr>
        <w:t>委、</w:t>
      </w:r>
      <w:r>
        <w:rPr>
          <w:rFonts w:hint="default" w:ascii="仿宋" w:hAnsi="仿宋" w:eastAsia="仿宋" w:cs="仿宋"/>
          <w:color w:val="000000"/>
          <w:sz w:val="32"/>
          <w:szCs w:val="32"/>
        </w:rPr>
        <w:t>市</w:t>
      </w:r>
      <w:r>
        <w:rPr>
          <w:rFonts w:hint="eastAsia" w:ascii="仿宋" w:hAnsi="仿宋" w:eastAsia="仿宋" w:cs="仿宋"/>
          <w:color w:val="000000"/>
          <w:sz w:val="32"/>
          <w:szCs w:val="32"/>
        </w:rPr>
        <w:t>政府指定的负责同志组织较大及以上灾害应急处置工作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统一协调指挥各类应急专业队伍，建立应急协调联动机制，推进指挥平台对接，统筹全</w:t>
      </w:r>
      <w:r>
        <w:rPr>
          <w:rFonts w:hint="default" w:ascii="仿宋" w:hAnsi="仿宋" w:eastAsia="仿宋" w:cs="仿宋"/>
          <w:color w:val="000000"/>
          <w:sz w:val="32"/>
          <w:szCs w:val="32"/>
        </w:rPr>
        <w:t>市</w:t>
      </w:r>
      <w:r>
        <w:rPr>
          <w:rFonts w:hint="eastAsia" w:ascii="仿宋" w:hAnsi="仿宋" w:eastAsia="仿宋" w:cs="仿宋"/>
          <w:color w:val="000000"/>
          <w:sz w:val="32"/>
          <w:szCs w:val="32"/>
        </w:rPr>
        <w:t>应急救援力量建设，负责消防、森林火灾扑救、抗洪抢险、地震和地质灾害救援、生产安全事故救援等专业应急救援力量建设，依权限做好驻</w:t>
      </w:r>
      <w:r>
        <w:rPr>
          <w:rFonts w:hint="default" w:ascii="仿宋" w:hAnsi="仿宋" w:eastAsia="仿宋" w:cs="仿宋"/>
          <w:color w:val="000000"/>
          <w:sz w:val="32"/>
          <w:szCs w:val="32"/>
        </w:rPr>
        <w:t>怀</w:t>
      </w:r>
      <w:r>
        <w:rPr>
          <w:rFonts w:hint="eastAsia" w:ascii="仿宋" w:hAnsi="仿宋" w:eastAsia="仿宋" w:cs="仿宋"/>
          <w:color w:val="000000"/>
          <w:sz w:val="32"/>
          <w:szCs w:val="32"/>
        </w:rPr>
        <w:t>国家综合性应急救援队伍建设的相关工作，指导社会应急救援力量建设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负责全</w:t>
      </w:r>
      <w:r>
        <w:rPr>
          <w:rFonts w:hint="default" w:ascii="仿宋" w:hAnsi="仿宋" w:eastAsia="仿宋" w:cs="仿宋"/>
          <w:color w:val="000000"/>
          <w:sz w:val="32"/>
          <w:szCs w:val="32"/>
        </w:rPr>
        <w:t>市</w:t>
      </w:r>
      <w:r>
        <w:rPr>
          <w:rFonts w:hint="eastAsia" w:ascii="仿宋" w:hAnsi="仿宋" w:eastAsia="仿宋" w:cs="仿宋"/>
          <w:color w:val="000000"/>
          <w:sz w:val="32"/>
          <w:szCs w:val="32"/>
        </w:rPr>
        <w:t>消防管理有关工作，指导全</w:t>
      </w:r>
      <w:r>
        <w:rPr>
          <w:rFonts w:hint="default" w:ascii="仿宋" w:hAnsi="仿宋" w:eastAsia="仿宋" w:cs="仿宋"/>
          <w:color w:val="000000"/>
          <w:sz w:val="32"/>
          <w:szCs w:val="32"/>
        </w:rPr>
        <w:t>市</w:t>
      </w:r>
      <w:r>
        <w:rPr>
          <w:rFonts w:hint="eastAsia" w:ascii="仿宋" w:hAnsi="仿宋" w:eastAsia="仿宋" w:cs="仿宋"/>
          <w:color w:val="000000"/>
          <w:sz w:val="32"/>
          <w:szCs w:val="32"/>
        </w:rPr>
        <w:t>消防监督、火灾预防、火灾扑救等工作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指导协调全</w:t>
      </w:r>
      <w:r>
        <w:rPr>
          <w:rFonts w:hint="default" w:ascii="仿宋" w:hAnsi="仿宋" w:eastAsia="仿宋" w:cs="仿宋"/>
          <w:color w:val="000000"/>
          <w:sz w:val="32"/>
          <w:szCs w:val="32"/>
        </w:rPr>
        <w:t>市</w:t>
      </w:r>
      <w:r>
        <w:rPr>
          <w:rFonts w:hint="eastAsia" w:ascii="仿宋" w:hAnsi="仿宋" w:eastAsia="仿宋" w:cs="仿宋"/>
          <w:color w:val="000000"/>
          <w:sz w:val="32"/>
          <w:szCs w:val="32"/>
        </w:rPr>
        <w:t>森林火灾、水旱灾害、地震和地质灾害等防治工作，负责自然灾害综合监测预警工作，指导开展自然灾害综合风险评估工作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组织协调灾害救助工作，组织指导灾情核查、损失评估、救灾捐赠工作，按权限管理、分配中央及省市下达和</w:t>
      </w:r>
      <w:r>
        <w:rPr>
          <w:rFonts w:hint="default" w:ascii="仿宋" w:hAnsi="仿宋" w:eastAsia="仿宋" w:cs="仿宋"/>
          <w:color w:val="000000"/>
          <w:sz w:val="32"/>
          <w:szCs w:val="32"/>
        </w:rPr>
        <w:t>市</w:t>
      </w:r>
      <w:r>
        <w:rPr>
          <w:rFonts w:hint="eastAsia" w:ascii="仿宋" w:hAnsi="仿宋" w:eastAsia="仿宋" w:cs="仿宋"/>
          <w:color w:val="000000"/>
          <w:sz w:val="32"/>
          <w:szCs w:val="32"/>
        </w:rPr>
        <w:t>级救灾款物并监督使用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依法行使安全生产综合监督管理职权，指导协调、监督检查</w:t>
      </w:r>
      <w:r>
        <w:rPr>
          <w:rFonts w:hint="default" w:ascii="仿宋" w:hAnsi="仿宋" w:eastAsia="仿宋" w:cs="仿宋"/>
          <w:color w:val="000000"/>
          <w:sz w:val="32"/>
          <w:szCs w:val="32"/>
        </w:rPr>
        <w:t>市</w:t>
      </w:r>
      <w:r>
        <w:rPr>
          <w:rFonts w:hint="eastAsia" w:ascii="仿宋" w:hAnsi="仿宋" w:eastAsia="仿宋" w:cs="仿宋"/>
          <w:color w:val="000000"/>
          <w:sz w:val="32"/>
          <w:szCs w:val="32"/>
        </w:rPr>
        <w:t>有关部门和各乡镇政府安全生产工作，组织开展安全生产巡查、考核工作。承担</w:t>
      </w:r>
      <w:r>
        <w:rPr>
          <w:rFonts w:hint="default" w:ascii="仿宋" w:hAnsi="仿宋" w:eastAsia="仿宋" w:cs="仿宋"/>
          <w:color w:val="000000"/>
          <w:sz w:val="32"/>
          <w:szCs w:val="32"/>
        </w:rPr>
        <w:t>市</w:t>
      </w:r>
      <w:r>
        <w:rPr>
          <w:rFonts w:hint="eastAsia" w:ascii="仿宋" w:hAnsi="仿宋" w:eastAsia="仿宋" w:cs="仿宋"/>
          <w:color w:val="000000"/>
          <w:sz w:val="32"/>
          <w:szCs w:val="32"/>
        </w:rPr>
        <w:t>安全生产委员会办公室日常工作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矿山、危险化学品和烟花爆竹（特种设备除外）安全生产监督管理工作。负责冶金、有色、建材、机械、轻工、纺织、烟草、商贸等行业安全生产综合监督管理工作。依法组织并指导监督实施安全生产准入制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依法组织开展生产安全事故调查处理，监督事故查处和责任追究落实情况。组织开展自然灾害类突发事件的调查评估工作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开展应急管理对外交流与合作，组织参与安全生产类、自然灾害类等突发事件的对外救援工作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制定全</w:t>
      </w:r>
      <w:r>
        <w:rPr>
          <w:rFonts w:hint="default" w:ascii="仿宋" w:hAnsi="仿宋" w:eastAsia="仿宋" w:cs="仿宋"/>
          <w:color w:val="000000"/>
          <w:sz w:val="32"/>
          <w:szCs w:val="32"/>
        </w:rPr>
        <w:t>市</w:t>
      </w:r>
      <w:r>
        <w:rPr>
          <w:rFonts w:hint="eastAsia" w:ascii="仿宋" w:hAnsi="仿宋" w:eastAsia="仿宋" w:cs="仿宋"/>
          <w:color w:val="000000"/>
          <w:sz w:val="32"/>
          <w:szCs w:val="32"/>
        </w:rPr>
        <w:t>应急物资储备和应急救援装备规划并组织实施，会同</w:t>
      </w:r>
      <w:r>
        <w:rPr>
          <w:rFonts w:hint="default" w:ascii="仿宋" w:hAnsi="仿宋" w:eastAsia="仿宋" w:cs="仿宋"/>
          <w:color w:val="000000"/>
          <w:sz w:val="32"/>
          <w:szCs w:val="32"/>
        </w:rPr>
        <w:t>市</w:t>
      </w:r>
      <w:r>
        <w:rPr>
          <w:rFonts w:hint="eastAsia" w:ascii="仿宋" w:hAnsi="仿宋" w:eastAsia="仿宋" w:cs="仿宋"/>
          <w:color w:val="000000"/>
          <w:sz w:val="32"/>
          <w:szCs w:val="32"/>
        </w:rPr>
        <w:t>发改局等部门建立健全应急物资信息平台和调拨制度，在救灾时统一调度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负责应急管理、安全生产宣传教育和培训工作，组织指导应急管理、安全生产的科学技术推广应用和信息化建设工作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承担</w:t>
      </w:r>
      <w:r>
        <w:rPr>
          <w:rFonts w:hint="default" w:ascii="仿宋" w:hAnsi="仿宋" w:eastAsia="仿宋" w:cs="仿宋"/>
          <w:color w:val="000000"/>
          <w:sz w:val="32"/>
          <w:szCs w:val="32"/>
        </w:rPr>
        <w:t>市</w:t>
      </w:r>
      <w:r>
        <w:rPr>
          <w:rFonts w:hint="eastAsia" w:ascii="仿宋" w:hAnsi="仿宋" w:eastAsia="仿宋" w:cs="仿宋"/>
          <w:color w:val="000000"/>
          <w:sz w:val="32"/>
          <w:szCs w:val="32"/>
        </w:rPr>
        <w:t>防汛抗旱指挥部日常工作，协调</w:t>
      </w:r>
      <w:r>
        <w:rPr>
          <w:rFonts w:hint="default" w:ascii="仿宋" w:hAnsi="仿宋" w:eastAsia="仿宋" w:cs="仿宋"/>
          <w:color w:val="000000"/>
          <w:sz w:val="32"/>
          <w:szCs w:val="32"/>
        </w:rPr>
        <w:t>市</w:t>
      </w:r>
      <w:r>
        <w:rPr>
          <w:rFonts w:hint="eastAsia" w:ascii="仿宋" w:hAnsi="仿宋" w:eastAsia="仿宋" w:cs="仿宋"/>
          <w:color w:val="000000"/>
          <w:sz w:val="32"/>
          <w:szCs w:val="32"/>
        </w:rPr>
        <w:t>防汛抗旱指挥部成员单位的相关工作，组织执行国家防汛抗旱总指挥部、相关流域防汛抗旱指挥机构和省、市、</w:t>
      </w:r>
      <w:r>
        <w:rPr>
          <w:rFonts w:hint="default" w:ascii="仿宋" w:hAnsi="仿宋" w:eastAsia="仿宋" w:cs="仿宋"/>
          <w:color w:val="000000"/>
          <w:sz w:val="32"/>
          <w:szCs w:val="32"/>
        </w:rPr>
        <w:t>市</w:t>
      </w:r>
      <w:r>
        <w:rPr>
          <w:rFonts w:hint="eastAsia" w:ascii="仿宋" w:hAnsi="仿宋" w:eastAsia="仿宋" w:cs="仿宋"/>
          <w:color w:val="000000"/>
          <w:sz w:val="32"/>
          <w:szCs w:val="32"/>
        </w:rPr>
        <w:t>防汛抗旱指挥部的指示、命令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监督管理安全生产社会中介机构的安全评价工作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负责职责范围内应急管理行业安全生产工作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完成</w:t>
      </w:r>
      <w:r>
        <w:rPr>
          <w:rFonts w:hint="default" w:ascii="仿宋" w:hAnsi="仿宋" w:eastAsia="仿宋" w:cs="仿宋"/>
          <w:color w:val="000000"/>
          <w:sz w:val="32"/>
          <w:szCs w:val="32"/>
        </w:rPr>
        <w:t>市</w:t>
      </w:r>
      <w:r>
        <w:rPr>
          <w:rFonts w:hint="eastAsia" w:ascii="仿宋" w:hAnsi="仿宋" w:eastAsia="仿宋" w:cs="仿宋"/>
          <w:color w:val="000000"/>
          <w:sz w:val="32"/>
          <w:szCs w:val="32"/>
        </w:rPr>
        <w:t>委、</w:t>
      </w:r>
      <w:r>
        <w:rPr>
          <w:rFonts w:hint="default" w:ascii="仿宋" w:hAnsi="仿宋" w:eastAsia="仿宋" w:cs="仿宋"/>
          <w:color w:val="000000"/>
          <w:sz w:val="32"/>
          <w:szCs w:val="32"/>
        </w:rPr>
        <w:t>市</w:t>
      </w:r>
      <w:r>
        <w:rPr>
          <w:rFonts w:hint="eastAsia" w:ascii="仿宋" w:hAnsi="仿宋" w:eastAsia="仿宋" w:cs="仿宋"/>
          <w:color w:val="000000"/>
          <w:sz w:val="32"/>
          <w:szCs w:val="32"/>
        </w:rPr>
        <w:t>政府交办的其他任务。</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我单位</w:t>
      </w:r>
      <w:r>
        <w:rPr>
          <w:rFonts w:hint="eastAsia" w:ascii="仿宋" w:hAnsi="仿宋" w:eastAsia="仿宋" w:cs="仿宋"/>
          <w:color w:val="000000"/>
          <w:sz w:val="32"/>
          <w:szCs w:val="32"/>
          <w:lang w:eastAsia="zh-CN"/>
        </w:rPr>
        <w:t>内设</w:t>
      </w:r>
      <w:r>
        <w:rPr>
          <w:rFonts w:hint="eastAsia" w:ascii="仿宋" w:hAnsi="仿宋" w:eastAsia="仿宋" w:cs="仿宋"/>
          <w:color w:val="000000"/>
          <w:sz w:val="32"/>
          <w:szCs w:val="32"/>
        </w:rPr>
        <w:t>机构</w:t>
      </w:r>
      <w:r>
        <w:rPr>
          <w:rFonts w:hint="eastAsia" w:ascii="仿宋" w:hAnsi="仿宋" w:eastAsia="仿宋" w:cs="仿宋"/>
          <w:color w:val="000000"/>
          <w:sz w:val="32"/>
          <w:szCs w:val="32"/>
          <w:lang w:eastAsia="zh-CN"/>
        </w:rPr>
        <w:t>包括：</w:t>
      </w:r>
      <w:r>
        <w:rPr>
          <w:rFonts w:hint="eastAsia" w:ascii="仿宋" w:hAnsi="仿宋" w:eastAsia="仿宋" w:cs="仿宋"/>
          <w:color w:val="000000"/>
          <w:sz w:val="32"/>
          <w:szCs w:val="32"/>
        </w:rPr>
        <w:t>办公室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人事</w:t>
      </w:r>
      <w:r>
        <w:rPr>
          <w:rFonts w:hint="default" w:ascii="仿宋" w:hAnsi="仿宋" w:eastAsia="仿宋" w:cs="仿宋"/>
          <w:color w:val="000000"/>
          <w:sz w:val="32"/>
          <w:szCs w:val="32"/>
        </w:rPr>
        <w:t>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应急指挥中心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风险监测和综合减灾</w:t>
      </w:r>
      <w:r>
        <w:rPr>
          <w:rFonts w:hint="default" w:ascii="仿宋" w:hAnsi="仿宋" w:eastAsia="仿宋" w:cs="仿宋"/>
          <w:color w:val="000000"/>
          <w:sz w:val="32"/>
          <w:szCs w:val="32"/>
        </w:rPr>
        <w:t>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调查评估和统计</w:t>
      </w:r>
      <w:r>
        <w:rPr>
          <w:rFonts w:hint="default" w:ascii="仿宋" w:hAnsi="仿宋" w:eastAsia="仿宋" w:cs="仿宋"/>
          <w:color w:val="000000"/>
          <w:sz w:val="32"/>
          <w:szCs w:val="32"/>
        </w:rPr>
        <w:t>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救援协调和预案管理</w:t>
      </w:r>
      <w:r>
        <w:rPr>
          <w:rFonts w:hint="default" w:ascii="仿宋" w:hAnsi="仿宋" w:eastAsia="仿宋" w:cs="仿宋"/>
          <w:color w:val="000000"/>
          <w:sz w:val="32"/>
          <w:szCs w:val="32"/>
        </w:rPr>
        <w:t>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救灾和物资保障</w:t>
      </w:r>
      <w:r>
        <w:rPr>
          <w:rFonts w:hint="default" w:ascii="仿宋" w:hAnsi="仿宋" w:eastAsia="仿宋" w:cs="仿宋"/>
          <w:color w:val="000000"/>
          <w:sz w:val="32"/>
          <w:szCs w:val="32"/>
        </w:rPr>
        <w:t>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火灾防治管理</w:t>
      </w:r>
      <w:r>
        <w:rPr>
          <w:rFonts w:hint="default" w:ascii="仿宋" w:hAnsi="仿宋" w:eastAsia="仿宋" w:cs="仿宋"/>
          <w:color w:val="000000"/>
          <w:sz w:val="32"/>
          <w:szCs w:val="32"/>
        </w:rPr>
        <w:t>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防汛抗旱</w:t>
      </w:r>
      <w:r>
        <w:rPr>
          <w:rFonts w:hint="default" w:ascii="仿宋" w:hAnsi="仿宋" w:eastAsia="仿宋" w:cs="仿宋"/>
          <w:color w:val="000000"/>
          <w:sz w:val="32"/>
          <w:szCs w:val="32"/>
        </w:rPr>
        <w:t>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工贸行业综合监督管理</w:t>
      </w:r>
      <w:r>
        <w:rPr>
          <w:rFonts w:hint="default" w:ascii="仿宋" w:hAnsi="仿宋" w:eastAsia="仿宋" w:cs="仿宋"/>
          <w:color w:val="000000"/>
          <w:sz w:val="32"/>
          <w:szCs w:val="32"/>
        </w:rPr>
        <w:t>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矿山安全监督管理</w:t>
      </w:r>
      <w:r>
        <w:rPr>
          <w:rFonts w:hint="default" w:ascii="仿宋" w:hAnsi="仿宋" w:eastAsia="仿宋" w:cs="仿宋"/>
          <w:color w:val="000000"/>
          <w:sz w:val="32"/>
          <w:szCs w:val="32"/>
        </w:rPr>
        <w:t>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危险化学品</w:t>
      </w:r>
      <w:r>
        <w:rPr>
          <w:rFonts w:hint="eastAsia" w:ascii="仿宋" w:hAnsi="仿宋" w:eastAsia="仿宋" w:cs="仿宋"/>
          <w:color w:val="000000"/>
          <w:sz w:val="32"/>
          <w:szCs w:val="32"/>
          <w:lang w:eastAsia="zh-CN"/>
        </w:rPr>
        <w:t>和烟花爆竹</w:t>
      </w:r>
      <w:r>
        <w:rPr>
          <w:rFonts w:hint="eastAsia" w:ascii="仿宋" w:hAnsi="仿宋" w:eastAsia="仿宋" w:cs="仿宋"/>
          <w:color w:val="000000"/>
          <w:sz w:val="32"/>
          <w:szCs w:val="32"/>
        </w:rPr>
        <w:t>安全监督管理</w:t>
      </w:r>
      <w:r>
        <w:rPr>
          <w:rFonts w:hint="default" w:ascii="仿宋" w:hAnsi="仿宋" w:eastAsia="仿宋" w:cs="仿宋"/>
          <w:color w:val="000000"/>
          <w:sz w:val="32"/>
          <w:szCs w:val="32"/>
        </w:rPr>
        <w:t>科</w:t>
      </w:r>
      <w:r>
        <w:rPr>
          <w:rFonts w:hint="eastAsia" w:ascii="仿宋" w:hAnsi="仿宋" w:eastAsia="仿宋" w:cs="仿宋"/>
          <w:color w:val="000000"/>
          <w:sz w:val="32"/>
          <w:szCs w:val="32"/>
          <w:lang w:eastAsia="zh-CN"/>
        </w:rPr>
        <w:t>、</w:t>
      </w:r>
      <w:r>
        <w:rPr>
          <w:rFonts w:hint="default" w:ascii="仿宋" w:hAnsi="仿宋" w:eastAsia="仿宋" w:cs="仿宋"/>
          <w:color w:val="000000"/>
          <w:sz w:val="32"/>
          <w:szCs w:val="32"/>
          <w:lang w:eastAsia="zh-CN"/>
        </w:rPr>
        <w:t>规</w:t>
      </w:r>
      <w:r>
        <w:rPr>
          <w:rFonts w:hint="eastAsia" w:ascii="仿宋" w:hAnsi="仿宋" w:eastAsia="仿宋" w:cs="仿宋"/>
          <w:color w:val="000000"/>
          <w:sz w:val="32"/>
          <w:szCs w:val="32"/>
          <w:lang w:eastAsia="zh-CN"/>
        </w:rPr>
        <w:t>划财务</w:t>
      </w:r>
      <w:r>
        <w:rPr>
          <w:rFonts w:hint="default" w:ascii="仿宋" w:hAnsi="仿宋" w:eastAsia="仿宋" w:cs="仿宋"/>
          <w:color w:val="000000"/>
          <w:sz w:val="32"/>
          <w:szCs w:val="32"/>
          <w:lang w:eastAsia="zh-CN"/>
        </w:rPr>
        <w:t>科、</w:t>
      </w:r>
      <w:r>
        <w:rPr>
          <w:rFonts w:hint="eastAsia" w:ascii="仿宋" w:hAnsi="仿宋" w:eastAsia="仿宋" w:cs="仿宋"/>
          <w:color w:val="000000"/>
          <w:sz w:val="32"/>
          <w:szCs w:val="32"/>
        </w:rPr>
        <w:t>安全生产综合协调</w:t>
      </w:r>
      <w:r>
        <w:rPr>
          <w:rFonts w:hint="default" w:ascii="仿宋" w:hAnsi="仿宋" w:eastAsia="仿宋" w:cs="仿宋"/>
          <w:color w:val="000000"/>
          <w:sz w:val="32"/>
          <w:szCs w:val="32"/>
        </w:rPr>
        <w:t>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政策法规和行政审批</w:t>
      </w:r>
      <w:r>
        <w:rPr>
          <w:rFonts w:hint="default" w:ascii="仿宋" w:hAnsi="仿宋" w:eastAsia="仿宋" w:cs="仿宋"/>
          <w:color w:val="000000"/>
          <w:sz w:val="32"/>
          <w:szCs w:val="32"/>
        </w:rPr>
        <w:t>科</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sz w:val="32"/>
          <w:szCs w:val="32"/>
          <w:lang w:eastAsia="zh-CN"/>
        </w:rPr>
      </w:pPr>
      <w:r>
        <w:rPr>
          <w:rFonts w:hint="eastAsia" w:ascii="黑体" w:hAnsi="黑体" w:eastAsia="黑体" w:cs="黑体"/>
          <w:color w:val="000000"/>
          <w:kern w:val="0"/>
          <w:sz w:val="32"/>
          <w:szCs w:val="32"/>
          <w:lang w:eastAsia="zh-CN"/>
        </w:rPr>
        <w:t>（三）</w:t>
      </w:r>
      <w:r>
        <w:rPr>
          <w:rFonts w:hint="default" w:ascii="黑体" w:hAnsi="黑体" w:eastAsia="黑体" w:cs="黑体"/>
          <w:color w:val="000000"/>
          <w:kern w:val="0"/>
          <w:sz w:val="32"/>
          <w:szCs w:val="32"/>
          <w:lang w:eastAsia="zh-CN"/>
        </w:rPr>
        <w:t>2021年度财政收支和年末固定资产状况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202</w:t>
      </w:r>
      <w:r>
        <w:rPr>
          <w:rFonts w:hint="default" w:ascii="仿宋" w:hAnsi="仿宋" w:eastAsia="仿宋" w:cs="仿宋"/>
          <w:color w:val="auto"/>
          <w:kern w:val="0"/>
          <w:sz w:val="32"/>
          <w:szCs w:val="32"/>
          <w:lang w:eastAsia="zh-CN"/>
        </w:rPr>
        <w:t>1</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eastAsia="zh-CN"/>
        </w:rPr>
        <w:t>本年</w:t>
      </w:r>
      <w:r>
        <w:rPr>
          <w:rFonts w:hint="eastAsia" w:ascii="仿宋" w:hAnsi="仿宋" w:eastAsia="仿宋" w:cs="仿宋"/>
          <w:color w:val="auto"/>
          <w:kern w:val="0"/>
          <w:sz w:val="32"/>
          <w:szCs w:val="32"/>
        </w:rPr>
        <w:t>收入</w:t>
      </w:r>
      <w:r>
        <w:rPr>
          <w:rFonts w:hint="default" w:ascii="仿宋" w:hAnsi="仿宋" w:eastAsia="仿宋" w:cs="仿宋"/>
          <w:color w:val="auto"/>
          <w:kern w:val="0"/>
          <w:sz w:val="32"/>
          <w:szCs w:val="32"/>
          <w:lang w:eastAsia="zh-CN"/>
        </w:rPr>
        <w:t>6708.57</w:t>
      </w:r>
      <w:r>
        <w:rPr>
          <w:rFonts w:hint="eastAsia" w:ascii="仿宋" w:hAnsi="仿宋" w:eastAsia="仿宋" w:cs="仿宋"/>
          <w:color w:val="auto"/>
          <w:kern w:val="0"/>
          <w:sz w:val="32"/>
          <w:szCs w:val="32"/>
        </w:rPr>
        <w:t>万元，</w:t>
      </w:r>
      <w:r>
        <w:rPr>
          <w:rFonts w:hint="default" w:ascii="仿宋" w:hAnsi="仿宋" w:eastAsia="仿宋" w:cs="仿宋"/>
          <w:color w:val="auto"/>
          <w:kern w:val="0"/>
          <w:sz w:val="32"/>
          <w:szCs w:val="32"/>
        </w:rPr>
        <w:t>上年结转结余3885.16万元，</w:t>
      </w:r>
      <w:r>
        <w:rPr>
          <w:rFonts w:hint="eastAsia" w:ascii="仿宋" w:hAnsi="仿宋" w:eastAsia="仿宋" w:cs="仿宋"/>
          <w:color w:val="auto"/>
          <w:kern w:val="0"/>
          <w:sz w:val="32"/>
          <w:szCs w:val="32"/>
          <w:lang w:eastAsia="zh-CN"/>
        </w:rPr>
        <w:t>本年</w:t>
      </w:r>
      <w:r>
        <w:rPr>
          <w:rFonts w:hint="eastAsia" w:ascii="仿宋" w:hAnsi="仿宋" w:eastAsia="仿宋" w:cs="仿宋"/>
          <w:color w:val="auto"/>
          <w:kern w:val="0"/>
          <w:sz w:val="32"/>
          <w:szCs w:val="32"/>
        </w:rPr>
        <w:t>支出</w:t>
      </w:r>
      <w:r>
        <w:rPr>
          <w:rFonts w:hint="default" w:ascii="仿宋" w:hAnsi="仿宋" w:eastAsia="仿宋" w:cs="仿宋"/>
          <w:color w:val="auto"/>
          <w:kern w:val="0"/>
          <w:sz w:val="32"/>
          <w:szCs w:val="32"/>
          <w:lang w:eastAsia="zh-CN"/>
        </w:rPr>
        <w:t>10593.73</w:t>
      </w:r>
      <w:r>
        <w:rPr>
          <w:rFonts w:hint="eastAsia" w:ascii="仿宋" w:hAnsi="仿宋" w:eastAsia="仿宋" w:cs="仿宋"/>
          <w:color w:val="auto"/>
          <w:kern w:val="0"/>
          <w:sz w:val="32"/>
          <w:szCs w:val="32"/>
        </w:rPr>
        <w:t>万元，年末</w:t>
      </w:r>
      <w:r>
        <w:rPr>
          <w:rFonts w:hint="eastAsia" w:ascii="仿宋" w:hAnsi="仿宋" w:eastAsia="仿宋" w:cs="仿宋"/>
          <w:color w:val="auto"/>
          <w:kern w:val="0"/>
          <w:sz w:val="32"/>
          <w:szCs w:val="32"/>
          <w:lang w:eastAsia="zh-CN"/>
        </w:rPr>
        <w:t>结转</w:t>
      </w:r>
      <w:r>
        <w:rPr>
          <w:rFonts w:hint="eastAsia" w:ascii="仿宋" w:hAnsi="仿宋" w:eastAsia="仿宋" w:cs="仿宋"/>
          <w:color w:val="auto"/>
          <w:kern w:val="0"/>
          <w:sz w:val="32"/>
          <w:szCs w:val="32"/>
        </w:rPr>
        <w:t>结余</w:t>
      </w:r>
      <w:r>
        <w:rPr>
          <w:rFonts w:hint="default" w:ascii="仿宋" w:hAnsi="仿宋" w:eastAsia="仿宋" w:cs="仿宋"/>
          <w:color w:val="auto"/>
          <w:kern w:val="0"/>
          <w:sz w:val="32"/>
          <w:szCs w:val="32"/>
          <w:lang w:eastAsia="zh-CN"/>
        </w:rPr>
        <w:t>0</w:t>
      </w:r>
      <w:r>
        <w:rPr>
          <w:rFonts w:hint="eastAsia" w:ascii="仿宋" w:hAnsi="仿宋" w:eastAsia="仿宋" w:cs="仿宋"/>
          <w:color w:val="auto"/>
          <w:kern w:val="0"/>
          <w:sz w:val="32"/>
          <w:szCs w:val="32"/>
        </w:rPr>
        <w:t>万元。</w:t>
      </w:r>
      <w:r>
        <w:rPr>
          <w:rFonts w:hint="default" w:ascii="仿宋" w:hAnsi="仿宋" w:eastAsia="仿宋" w:cs="仿宋"/>
          <w:color w:val="auto"/>
          <w:kern w:val="0"/>
          <w:sz w:val="32"/>
          <w:szCs w:val="32"/>
        </w:rPr>
        <w:t>年初预算1133.75万元。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2021年本年支出10593.73万元，决算支出中，基本支出1172.61万元，项目支出9421.12万元,。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决算总支出中10593.73万元，一般公共服务支出4.8万元，社会保障和就业支出176.22万元，卫生健康支出1292.58万元，农林水支出41.94万元，灾害防治及应急管理支出9058.54万元，其他支出19.66万元。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 xml:space="preserve">决算支出中，基本支出1172.61万元，项目支出9421.12万元。基本支出包括工资福利支出728.98万元，商品服务支出255.25万元，对个人和家庭的补助187.74万元，资本性支出0.64万元。项目支出包括人才资源开发专项4.8万元，医疗应急物资仓库2751.79万元，防汛抗旱专项经费71.94万元，安全生产专项经费42万元，专家库专项经费28.61万元，救援预案及演练专项经费126.9万元，安委会工作经费29.96万元，安全生产预防及应急专项（省拨）277.12万元，安全生产整治三年行动工作经费36.18万元，指挥中心运维经费180.68万元，防汛演练经费105.02万元，安全知识宣传专项50万元，自然灾害责任商业保险专项458.76万元，防火及突发地质灾害应急救援专项经费48万元，全国自然灾害风险普查5.47万元，中央自然灾害救灾资金50万元，救灾物资保障储备78.03万元，区应急救援怀化中心4645.35万元，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严格控制“三公”经费支出。2021年公车平台托管到本单位的公务用车6辆，“三公”经费预算60.49万元，其中：公务用车运行维护费55.49万元，公务接待费5万元，其余没有预算支出；2021年“三公”经费支出实际支出53.8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截止2021年12月31日，本单位固定资产年末原值186.22万元，均为在用的固定资产；本单位共有公车平台托管车辆0辆，其中，领导干部用车0辆，机要通信车0量、辆、应急保障用车1辆、其他用车5辆。单位价值50万元以上通用设备0台（套）；单位价值100万元以上专用设备0台（套）。</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200" w:firstLine="160" w:firstLineChars="50"/>
        <w:textAlignment w:val="auto"/>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（四）财政财务管理制度及执行情况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我单位根据上级要求，制定了《</w:t>
      </w:r>
      <w:r>
        <w:rPr>
          <w:rFonts w:hint="eastAsia" w:ascii="仿宋" w:hAnsi="仿宋" w:eastAsia="仿宋" w:cs="仿宋"/>
          <w:color w:val="000000"/>
          <w:kern w:val="0"/>
          <w:sz w:val="32"/>
          <w:szCs w:val="32"/>
          <w:lang w:val="en-US" w:eastAsia="zh-CN"/>
        </w:rPr>
        <w:t>应急管理局</w:t>
      </w:r>
      <w:r>
        <w:rPr>
          <w:rFonts w:hint="eastAsia" w:ascii="仿宋" w:hAnsi="仿宋" w:eastAsia="仿宋" w:cs="仿宋"/>
          <w:color w:val="000000"/>
          <w:kern w:val="0"/>
          <w:sz w:val="32"/>
          <w:szCs w:val="32"/>
        </w:rPr>
        <w:t>财务管理制度》、《</w:t>
      </w:r>
      <w:r>
        <w:rPr>
          <w:rFonts w:hint="eastAsia" w:ascii="仿宋" w:hAnsi="仿宋" w:eastAsia="仿宋" w:cs="仿宋"/>
          <w:color w:val="000000"/>
          <w:kern w:val="0"/>
          <w:sz w:val="32"/>
          <w:szCs w:val="32"/>
          <w:lang w:val="en-US" w:eastAsia="zh-CN"/>
        </w:rPr>
        <w:t>应急管理局</w:t>
      </w:r>
      <w:r>
        <w:rPr>
          <w:rFonts w:hint="eastAsia" w:ascii="仿宋" w:hAnsi="仿宋" w:eastAsia="仿宋" w:cs="仿宋"/>
          <w:color w:val="000000"/>
          <w:kern w:val="0"/>
          <w:sz w:val="32"/>
          <w:szCs w:val="32"/>
        </w:rPr>
        <w:t>内部控制制度汇编》、《</w:t>
      </w:r>
      <w:r>
        <w:rPr>
          <w:rFonts w:hint="eastAsia" w:ascii="仿宋" w:hAnsi="仿宋" w:eastAsia="仿宋" w:cs="仿宋"/>
          <w:color w:val="000000"/>
          <w:kern w:val="0"/>
          <w:sz w:val="32"/>
          <w:szCs w:val="32"/>
          <w:lang w:val="en-US" w:eastAsia="zh-CN"/>
        </w:rPr>
        <w:t>应急管理局</w:t>
      </w:r>
      <w:r>
        <w:rPr>
          <w:rFonts w:hint="eastAsia" w:ascii="仿宋" w:hAnsi="仿宋" w:eastAsia="仿宋" w:cs="仿宋"/>
          <w:color w:val="000000"/>
          <w:kern w:val="0"/>
          <w:sz w:val="32"/>
          <w:szCs w:val="32"/>
        </w:rPr>
        <w:t>内部控制手册》等财务管理制度并严格执行。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15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二、部门整体支出绩效情况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根据《部门整体支出绩效评价指标》评分表，自评得分</w:t>
      </w:r>
      <w:r>
        <w:rPr>
          <w:rFonts w:hint="default" w:ascii="仿宋" w:hAnsi="仿宋" w:eastAsia="仿宋" w:cs="仿宋"/>
          <w:color w:val="000000"/>
          <w:kern w:val="0"/>
          <w:sz w:val="32"/>
          <w:szCs w:val="32"/>
          <w:lang w:eastAsia="zh-CN"/>
        </w:rPr>
        <w:t>92</w:t>
      </w:r>
      <w:r>
        <w:rPr>
          <w:rFonts w:hint="eastAsia" w:ascii="仿宋" w:hAnsi="仿宋" w:eastAsia="仿宋" w:cs="仿宋"/>
          <w:color w:val="000000"/>
          <w:kern w:val="0"/>
          <w:sz w:val="32"/>
          <w:szCs w:val="32"/>
          <w:lang w:eastAsia="zh-CN"/>
        </w:rPr>
        <w:t>分，整体支出绩效为“良好”。主要绩效如下：</w:t>
      </w:r>
      <w:r>
        <w:rPr>
          <w:rFonts w:hint="eastAsia" w:ascii="仿宋" w:hAnsi="仿宋" w:eastAsia="仿宋" w:cs="仿宋"/>
          <w:color w:val="000000"/>
          <w:kern w:val="0"/>
          <w:sz w:val="32"/>
          <w:szCs w:val="32"/>
          <w:lang w:val="en-US" w:eastAsia="zh-CN"/>
        </w:rPr>
        <w:t>202</w:t>
      </w:r>
      <w:r>
        <w:rPr>
          <w:rFonts w:hint="default" w:ascii="仿宋" w:hAnsi="仿宋" w:eastAsia="仿宋" w:cs="仿宋"/>
          <w:color w:val="000000"/>
          <w:kern w:val="0"/>
          <w:sz w:val="32"/>
          <w:szCs w:val="32"/>
          <w:lang w:eastAsia="zh-CN"/>
        </w:rPr>
        <w:t>1</w:t>
      </w:r>
      <w:r>
        <w:rPr>
          <w:rFonts w:hint="eastAsia" w:ascii="仿宋" w:hAnsi="仿宋" w:eastAsia="仿宋" w:cs="仿宋"/>
          <w:color w:val="000000"/>
          <w:kern w:val="0"/>
          <w:sz w:val="32"/>
          <w:szCs w:val="32"/>
          <w:lang w:eastAsia="zh-CN"/>
        </w:rPr>
        <w:t>年，</w:t>
      </w:r>
      <w:r>
        <w:rPr>
          <w:rFonts w:hint="eastAsia" w:ascii="仿宋" w:hAnsi="仿宋" w:eastAsia="仿宋" w:cs="仿宋"/>
          <w:color w:val="000000"/>
          <w:kern w:val="0"/>
          <w:sz w:val="32"/>
          <w:szCs w:val="32"/>
          <w:lang w:val="en-US" w:eastAsia="zh-CN"/>
        </w:rPr>
        <w:t>我单位</w:t>
      </w:r>
      <w:r>
        <w:rPr>
          <w:rFonts w:hint="eastAsia" w:ascii="仿宋" w:hAnsi="仿宋" w:eastAsia="仿宋" w:cs="仿宋"/>
          <w:color w:val="000000"/>
          <w:kern w:val="0"/>
          <w:sz w:val="32"/>
          <w:szCs w:val="32"/>
          <w:lang w:eastAsia="zh-CN"/>
        </w:rPr>
        <w:t>坚持以习近平新时代中国特色社会主义思想为指导，在上级政府的坚强领导下，牢固“四个意识”，践行“两个维护”。全面贯彻落实党的十九大精神，坚持党的领导、人民当家作主、依法治国有机统一，在</w:t>
      </w:r>
      <w:r>
        <w:rPr>
          <w:rFonts w:hint="default" w:ascii="仿宋" w:hAnsi="仿宋" w:eastAsia="仿宋" w:cs="仿宋"/>
          <w:color w:val="000000"/>
          <w:kern w:val="0"/>
          <w:sz w:val="32"/>
          <w:szCs w:val="32"/>
          <w:lang w:eastAsia="zh-CN"/>
        </w:rPr>
        <w:t>市</w:t>
      </w:r>
      <w:r>
        <w:rPr>
          <w:rFonts w:hint="eastAsia" w:ascii="仿宋" w:hAnsi="仿宋" w:eastAsia="仿宋" w:cs="仿宋"/>
          <w:color w:val="000000"/>
          <w:kern w:val="0"/>
          <w:sz w:val="32"/>
          <w:szCs w:val="32"/>
          <w:lang w:eastAsia="zh-CN"/>
        </w:rPr>
        <w:t>委、</w:t>
      </w:r>
      <w:r>
        <w:rPr>
          <w:rFonts w:hint="default" w:ascii="仿宋" w:hAnsi="仿宋" w:eastAsia="仿宋" w:cs="仿宋"/>
          <w:color w:val="000000"/>
          <w:kern w:val="0"/>
          <w:sz w:val="32"/>
          <w:szCs w:val="32"/>
          <w:lang w:eastAsia="zh-CN"/>
        </w:rPr>
        <w:t>市</w:t>
      </w:r>
      <w:r>
        <w:rPr>
          <w:rFonts w:hint="eastAsia" w:ascii="仿宋" w:hAnsi="仿宋" w:eastAsia="仿宋" w:cs="仿宋"/>
          <w:color w:val="000000"/>
          <w:kern w:val="0"/>
          <w:sz w:val="32"/>
          <w:szCs w:val="32"/>
          <w:lang w:eastAsia="zh-CN"/>
        </w:rPr>
        <w:t>政府领导下，严格依法履职，积极主动作为，较好完成了</w:t>
      </w:r>
      <w:r>
        <w:rPr>
          <w:rFonts w:hint="default" w:ascii="仿宋" w:hAnsi="仿宋" w:eastAsia="仿宋" w:cs="仿宋"/>
          <w:color w:val="000000"/>
          <w:kern w:val="0"/>
          <w:sz w:val="32"/>
          <w:szCs w:val="32"/>
          <w:lang w:eastAsia="zh-CN"/>
        </w:rPr>
        <w:t>市</w:t>
      </w:r>
      <w:r>
        <w:rPr>
          <w:rFonts w:hint="eastAsia" w:ascii="仿宋" w:hAnsi="仿宋" w:eastAsia="仿宋" w:cs="仿宋"/>
          <w:color w:val="000000"/>
          <w:kern w:val="0"/>
          <w:sz w:val="32"/>
          <w:szCs w:val="32"/>
          <w:lang w:eastAsia="zh-CN"/>
        </w:rPr>
        <w:t>里交办的各项目标任务，各项工作取得新进展、新成效，为全</w:t>
      </w:r>
      <w:r>
        <w:rPr>
          <w:rFonts w:hint="default" w:ascii="仿宋" w:hAnsi="仿宋" w:eastAsia="仿宋" w:cs="仿宋"/>
          <w:color w:val="000000"/>
          <w:kern w:val="0"/>
          <w:sz w:val="32"/>
          <w:szCs w:val="32"/>
          <w:lang w:eastAsia="zh-CN"/>
        </w:rPr>
        <w:t>市</w:t>
      </w:r>
      <w:r>
        <w:rPr>
          <w:rFonts w:hint="eastAsia" w:ascii="仿宋" w:hAnsi="仿宋" w:eastAsia="仿宋" w:cs="仿宋"/>
          <w:color w:val="000000"/>
          <w:kern w:val="0"/>
          <w:sz w:val="32"/>
          <w:szCs w:val="32"/>
          <w:lang w:eastAsia="zh-CN"/>
        </w:rPr>
        <w:t>经济健康发展和社会稳定提供了坚实的</w:t>
      </w:r>
      <w:r>
        <w:rPr>
          <w:rFonts w:hint="eastAsia" w:ascii="仿宋" w:hAnsi="仿宋" w:eastAsia="仿宋" w:cs="仿宋"/>
          <w:color w:val="000000"/>
          <w:kern w:val="0"/>
          <w:sz w:val="32"/>
          <w:szCs w:val="32"/>
          <w:lang w:val="en-US" w:eastAsia="zh-CN"/>
        </w:rPr>
        <w:t>安全保障</w:t>
      </w:r>
      <w:r>
        <w:rPr>
          <w:rFonts w:hint="eastAsia" w:ascii="仿宋" w:hAnsi="仿宋" w:eastAsia="仿宋" w:cs="仿宋"/>
          <w:color w:val="000000"/>
          <w:kern w:val="0"/>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应急保障体系建设</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县（市、区）乡（镇）</w:t>
      </w:r>
      <w:r>
        <w:rPr>
          <w:rFonts w:hint="default" w:ascii="仿宋" w:hAnsi="仿宋" w:eastAsia="仿宋" w:cs="仿宋"/>
          <w:color w:val="000000"/>
          <w:kern w:val="0"/>
          <w:sz w:val="32"/>
          <w:szCs w:val="32"/>
          <w:lang w:eastAsia="zh-CN"/>
        </w:rPr>
        <w:t>应急办人员已全部到岗，乡镇换届后第一时间明确应急管理相关负责人，全员到位并正常开展工作。应急能力建设专项预算资金已纳入各</w:t>
      </w:r>
      <w:r>
        <w:rPr>
          <w:rFonts w:hint="eastAsia" w:ascii="仿宋" w:hAnsi="仿宋" w:eastAsia="仿宋" w:cs="仿宋"/>
          <w:color w:val="000000"/>
          <w:kern w:val="0"/>
          <w:sz w:val="32"/>
          <w:szCs w:val="32"/>
          <w:lang w:eastAsia="zh-CN"/>
        </w:rPr>
        <w:t>县（市、区）</w:t>
      </w:r>
      <w:r>
        <w:rPr>
          <w:rFonts w:hint="default" w:ascii="仿宋" w:hAnsi="仿宋" w:eastAsia="仿宋" w:cs="仿宋"/>
          <w:color w:val="000000"/>
          <w:kern w:val="0"/>
          <w:sz w:val="32"/>
          <w:szCs w:val="32"/>
          <w:lang w:eastAsia="zh-CN"/>
        </w:rPr>
        <w:t>的全年专项经费列支。</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结合实际工作，认真梳理，明确了</w:t>
      </w:r>
      <w:r>
        <w:rPr>
          <w:rFonts w:hint="eastAsia" w:ascii="仿宋" w:hAnsi="仿宋" w:eastAsia="仿宋" w:cs="仿宋"/>
          <w:color w:val="000000"/>
          <w:kern w:val="0"/>
          <w:sz w:val="32"/>
          <w:szCs w:val="32"/>
          <w:lang w:eastAsia="zh-CN"/>
        </w:rPr>
        <w:t>县级</w:t>
      </w:r>
      <w:bookmarkStart w:id="0" w:name="_GoBack"/>
      <w:bookmarkEnd w:id="0"/>
      <w:r>
        <w:rPr>
          <w:rFonts w:hint="default" w:ascii="仿宋" w:hAnsi="仿宋" w:eastAsia="仿宋" w:cs="仿宋"/>
          <w:color w:val="000000"/>
          <w:kern w:val="0"/>
          <w:sz w:val="32"/>
          <w:szCs w:val="32"/>
          <w:lang w:eastAsia="zh-CN"/>
        </w:rPr>
        <w:t>应急工作台账及档册管理内容，加强了基础资料，基础数据、基本制度建设。加强各乡镇个社区应急人员的培训，及时收集意见，宣传相关救灾防灾政策，解答工作中存在的问题，全面形成自上而下，联动推进工作格局。</w:t>
      </w:r>
    </w:p>
    <w:p>
      <w:pPr>
        <w:keepNext w:val="0"/>
        <w:keepLines w:val="0"/>
        <w:pageBreakBefore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扎实最好安全生产及救灾防灾工作</w:t>
      </w:r>
    </w:p>
    <w:p>
      <w:pPr>
        <w:keepNext w:val="0"/>
        <w:keepLines w:val="0"/>
        <w:pageBreakBefore w:val="0"/>
        <w:numPr>
          <w:ilvl w:val="0"/>
          <w:numId w:val="3"/>
        </w:numPr>
        <w:kinsoku/>
        <w:wordWrap/>
        <w:overflowPunct/>
        <w:topLinePunct w:val="0"/>
        <w:autoSpaceDE/>
        <w:autoSpaceDN/>
        <w:bidi w:val="0"/>
        <w:adjustRightInd/>
        <w:snapToGrid/>
        <w:spacing w:line="520" w:lineRule="exact"/>
        <w:ind w:left="800" w:leftChars="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安全生产监督检查及指导工作</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 xml:space="preserve">     一是各科室牵头，按行业类别，不定期对各生产进行安全生产检查。2021年度，我单位组织安全生产专项检查共5次，对问题企业，责令整改，2021年我市安全事故发生率0%。二是实行安全生产举报奖励制度，对于举报安全生产隐患问题，成立小组经行严格调查，确有安全隐患的问题的，责令整改，对举报人员实行奖励机制，鼓励群众监督。2021年，我单位通过群众举报，整改安全生产隐患问题企业共3家。三是开展各行业安全生产专项培训会10次，定期组织当地企业安全员培训，加强安生生产的预防意识。</w:t>
      </w:r>
    </w:p>
    <w:p>
      <w:pPr>
        <w:keepNext w:val="0"/>
        <w:keepLines w:val="0"/>
        <w:pageBreakBefore w:val="0"/>
        <w:numPr>
          <w:ilvl w:val="0"/>
          <w:numId w:val="3"/>
        </w:numPr>
        <w:kinsoku/>
        <w:wordWrap/>
        <w:overflowPunct/>
        <w:topLinePunct w:val="0"/>
        <w:autoSpaceDE/>
        <w:autoSpaceDN/>
        <w:bidi w:val="0"/>
        <w:adjustRightInd/>
        <w:snapToGrid/>
        <w:spacing w:line="520" w:lineRule="exact"/>
        <w:ind w:left="800" w:leftChars="0" w:firstLine="0" w:firstLineChars="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救灾防灾提高综合提高各级政府减灾能力</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2021年，我单位共发起森林防火专项宣传活动共2次，通过手机推送及上门宣传等方式相结合，加强群众的森林防火意识。我单位举办防汛演练1次，参加救援演练人员85人，包括消防队、武装部、民间救护队及自愿者，一定程度上提高我市在汛期的救灾能力，通过气象监测平台及水文平台数据，做好全市汛期的实时监测，发布汛期推送信息共2万条以上，并在全年执行24小时值班值守制度，全天进行动态监测。</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三、存在的问题及原因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我单位财政资金紧张，资金缺口过大，特别是部门公用经费尤其紧张。公用经费实行定额标准管理，预算标准与实际执行脱节，在很大程度上影响了资金的使用效率。各种矛盾凸显，导致我单位基本保障面临巨大的压力。</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四、提高财政资金绩效的措施与建议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1.科学合理编制预算，严格执行预算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　　加强预算编制的前瞻性，按照新《预算法》及其实施条例的相关规定，按政策规定及本部门的发展规划，结合上一年度预算执行情况和本年度预算收支变化，科学、合理地编制本年预算草案，避免项目支出与基本支出划分不准或预算支出与实际执行出现较大偏差的情况，执行中确需调剂预算的，按规定程序报经批准。</w:t>
      </w:r>
      <w:r>
        <w:rPr>
          <w:rFonts w:hint="default" w:ascii="仿宋" w:hAnsi="仿宋" w:eastAsia="仿宋" w:cs="仿宋"/>
          <w:color w:val="000000"/>
          <w:kern w:val="0"/>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2.完善管理制度，进一步加强资产管理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3.加强法制教育，严肃财经法规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强化法律意识，高度重视财务管理工作，进一步提高有关工作人员的专业知识水平和业务工作能力，不断完善内部控制，努力提高财务管理水平，规范预算执行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4.不断提高财政资金的使用效益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积极探索、建立财政预算的绩效评价体系和考核制度，加强预算执行分析，强化决算管理。建立预算执行追踪问效制度，有效控制公用经费的支出，提高预算资金的使用效益。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5.加强新会计制度和新预算法学习培训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加强新《预算法》、《政府会计制度》等学习培训，规范部门预算收支核算。一是加强财务人员培训，提高财务人员专业水平；二是制定和完善基本支出、项目支出等各项支出标准，严格按项目和进度执行预算，增强预算的约束力和严肃性；三是落实预算执行分析，及时了解预算执行差异，合理调整、纠正预算执行偏差，切实提高部门预算收支管理水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kern w:val="0"/>
          <w:sz w:val="32"/>
          <w:szCs w:val="32"/>
          <w:lang w:eastAsia="zh-CN"/>
        </w:rPr>
      </w:pP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eastAsia="zh-CN"/>
        </w:rPr>
        <w:t>怀化市</w:t>
      </w:r>
      <w:r>
        <w:rPr>
          <w:rFonts w:hint="eastAsia" w:ascii="仿宋" w:hAnsi="仿宋" w:eastAsia="仿宋" w:cs="仿宋"/>
          <w:color w:val="000000"/>
          <w:kern w:val="0"/>
          <w:sz w:val="32"/>
          <w:szCs w:val="32"/>
          <w:lang w:val="en-US" w:eastAsia="zh-CN"/>
        </w:rPr>
        <w:t>应急管理局</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w:t>
      </w:r>
      <w:r>
        <w:rPr>
          <w:rFonts w:hint="default" w:ascii="仿宋" w:hAnsi="仿宋" w:eastAsia="仿宋" w:cs="仿宋"/>
          <w:color w:val="000000"/>
          <w:kern w:val="0"/>
          <w:sz w:val="32"/>
          <w:szCs w:val="32"/>
          <w:lang w:eastAsia="zh-CN"/>
        </w:rPr>
        <w:t>2</w:t>
      </w:r>
      <w:r>
        <w:rPr>
          <w:rFonts w:hint="eastAsia" w:ascii="仿宋" w:hAnsi="仿宋" w:eastAsia="仿宋" w:cs="仿宋"/>
          <w:color w:val="000000"/>
          <w:kern w:val="0"/>
          <w:sz w:val="32"/>
          <w:szCs w:val="32"/>
          <w:lang w:val="en-US" w:eastAsia="zh-CN"/>
        </w:rPr>
        <w:t>年6月</w:t>
      </w:r>
      <w:r>
        <w:rPr>
          <w:rFonts w:hint="default" w:ascii="仿宋" w:hAnsi="仿宋" w:eastAsia="仿宋" w:cs="仿宋"/>
          <w:color w:val="000000"/>
          <w:kern w:val="0"/>
          <w:sz w:val="32"/>
          <w:szCs w:val="32"/>
          <w:lang w:eastAsia="zh-CN"/>
        </w:rPr>
        <w:t>2</w:t>
      </w:r>
      <w:r>
        <w:rPr>
          <w:rFonts w:hint="eastAsia" w:ascii="仿宋" w:hAnsi="仿宋" w:eastAsia="仿宋" w:cs="仿宋"/>
          <w:color w:val="000000"/>
          <w:kern w:val="0"/>
          <w:sz w:val="32"/>
          <w:szCs w:val="32"/>
          <w:lang w:val="en-US" w:eastAsia="zh-CN"/>
        </w:rPr>
        <w:t>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color w:val="000000"/>
          <w:kern w:val="0"/>
          <w:sz w:val="32"/>
          <w:szCs w:val="32"/>
          <w:lang w:eastAsia="zh-CN"/>
        </w:rPr>
      </w:pPr>
    </w:p>
    <w:p/>
    <w:p>
      <w:pPr>
        <w:rPr>
          <w:rFonts w:hint="default"/>
        </w:rPr>
      </w:pPr>
      <w:r>
        <w:rPr>
          <w:rFonts w:hint="default"/>
        </w:rPr>
        <w:t>附件1</w:t>
      </w:r>
    </w:p>
    <w:p>
      <w:pPr>
        <w:jc w:val="center"/>
        <w:rPr>
          <w:rFonts w:hint="eastAsia" w:ascii="黑体" w:hAnsi="黑体" w:eastAsia="黑体" w:cs="黑体"/>
          <w:sz w:val="32"/>
          <w:szCs w:val="32"/>
        </w:rPr>
      </w:pPr>
      <w:r>
        <w:rPr>
          <w:rFonts w:hint="eastAsia" w:ascii="黑体" w:hAnsi="黑体" w:eastAsia="黑体" w:cs="黑体"/>
          <w:sz w:val="32"/>
          <w:szCs w:val="32"/>
        </w:rPr>
        <w:t>部门整体支出绩效评价共性指标表</w:t>
      </w:r>
    </w:p>
    <w:tbl>
      <w:tblPr>
        <w:tblStyle w:val="3"/>
        <w:tblW w:w="9300"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404"/>
        <w:gridCol w:w="392"/>
        <w:gridCol w:w="404"/>
        <w:gridCol w:w="681"/>
        <w:gridCol w:w="473"/>
        <w:gridCol w:w="2458"/>
        <w:gridCol w:w="3623"/>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rPr>
              <w:t>一级指标</w:t>
            </w:r>
          </w:p>
        </w:tc>
        <w:tc>
          <w:tcPr>
            <w:tcW w:w="404"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分值</w:t>
            </w:r>
          </w:p>
        </w:tc>
        <w:tc>
          <w:tcPr>
            <w:tcW w:w="392"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二级指标</w:t>
            </w:r>
          </w:p>
        </w:tc>
        <w:tc>
          <w:tcPr>
            <w:tcW w:w="404"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分值</w:t>
            </w:r>
          </w:p>
        </w:tc>
        <w:tc>
          <w:tcPr>
            <w:tcW w:w="681"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三级 指标</w:t>
            </w:r>
          </w:p>
        </w:tc>
        <w:tc>
          <w:tcPr>
            <w:tcW w:w="473"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分值</w:t>
            </w:r>
          </w:p>
        </w:tc>
        <w:tc>
          <w:tcPr>
            <w:tcW w:w="2458"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评价标准</w:t>
            </w:r>
          </w:p>
        </w:tc>
        <w:tc>
          <w:tcPr>
            <w:tcW w:w="3623"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指标说明</w:t>
            </w:r>
          </w:p>
        </w:tc>
        <w:tc>
          <w:tcPr>
            <w:tcW w:w="392"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473" w:type="dxa"/>
            <w:vMerge w:val="restart"/>
            <w:vAlign w:val="center"/>
          </w:tcPr>
          <w:p>
            <w:pPr>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rPr>
              <w:t>投</w:t>
            </w:r>
            <w:r>
              <w:rPr>
                <w:rFonts w:hint="default" w:ascii="宋体" w:hAnsi="宋体" w:cs="宋体"/>
                <w:sz w:val="15"/>
                <w:szCs w:val="15"/>
                <w:vertAlign w:val="baseline"/>
              </w:rPr>
              <w:t xml:space="preserve">  </w:t>
            </w:r>
            <w:r>
              <w:rPr>
                <w:rFonts w:hint="eastAsia" w:ascii="宋体" w:hAnsi="宋体" w:eastAsia="宋体" w:cs="宋体"/>
                <w:sz w:val="15"/>
                <w:szCs w:val="15"/>
                <w:vertAlign w:val="baseline"/>
              </w:rPr>
              <w:t>入</w:t>
            </w:r>
          </w:p>
        </w:tc>
        <w:tc>
          <w:tcPr>
            <w:tcW w:w="404"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10</w:t>
            </w:r>
          </w:p>
        </w:tc>
        <w:tc>
          <w:tcPr>
            <w:tcW w:w="392" w:type="dxa"/>
            <w:vMerge w:val="restart"/>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预算配置</w:t>
            </w:r>
          </w:p>
        </w:tc>
        <w:tc>
          <w:tcPr>
            <w:tcW w:w="404"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10</w:t>
            </w:r>
          </w:p>
        </w:tc>
        <w:tc>
          <w:tcPr>
            <w:tcW w:w="681"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在职人员控制率</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5</w:t>
            </w:r>
          </w:p>
        </w:tc>
        <w:tc>
          <w:tcPr>
            <w:tcW w:w="2458"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以100%为标准。在职人员控制率≤100%，计分5分；每超过一个百分点扣0.5分，扣完为止。</w:t>
            </w:r>
          </w:p>
        </w:tc>
        <w:tc>
          <w:tcPr>
            <w:tcW w:w="3623"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在职人员控制率=（在职人员数/编制数）*100%，在职人数：部门（单位）实际在职人数以财政确定的部门据算编制口径为准。编制数：机构编制部门核定批复的部门（单位）的人员编制数。</w:t>
            </w:r>
          </w:p>
        </w:tc>
        <w:tc>
          <w:tcPr>
            <w:tcW w:w="392"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73"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392"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681"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“三公经费”变动率</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5</w:t>
            </w:r>
          </w:p>
        </w:tc>
        <w:tc>
          <w:tcPr>
            <w:tcW w:w="2458"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“三公经费”变动率≤0，计分5分；“三公经费”＞0，每超过一个百分点扣0.5分，扣完为止。</w:t>
            </w:r>
          </w:p>
        </w:tc>
        <w:tc>
          <w:tcPr>
            <w:tcW w:w="3623"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“三公经费”变动率=[（本年度“三公经费”预算数-上年度“三公经费”预算数）/上年度“三公经费预算数]*100%</w:t>
            </w: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73" w:type="dxa"/>
            <w:vMerge w:val="restart"/>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过程</w:t>
            </w:r>
          </w:p>
        </w:tc>
        <w:tc>
          <w:tcPr>
            <w:tcW w:w="404"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60</w:t>
            </w:r>
          </w:p>
        </w:tc>
        <w:tc>
          <w:tcPr>
            <w:tcW w:w="392"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预算执行</w:t>
            </w:r>
          </w:p>
        </w:tc>
        <w:tc>
          <w:tcPr>
            <w:tcW w:w="404"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20</w:t>
            </w:r>
          </w:p>
        </w:tc>
        <w:tc>
          <w:tcPr>
            <w:tcW w:w="681"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预算完成率</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5</w:t>
            </w:r>
          </w:p>
        </w:tc>
        <w:tc>
          <w:tcPr>
            <w:tcW w:w="2458"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100%计分满分，每低于5%扣2分，扣完为止。</w:t>
            </w:r>
          </w:p>
        </w:tc>
        <w:tc>
          <w:tcPr>
            <w:tcW w:w="3623"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预算完成率=（上年结转+年初预算+本年追加预算-年末结余）/上年结转+年初预算+本年追加预算）*100%</w:t>
            </w: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392"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681"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预算控制率</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5</w:t>
            </w:r>
          </w:p>
        </w:tc>
        <w:tc>
          <w:tcPr>
            <w:tcW w:w="2458"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预算控制率=0，计5分；0-10%（含），计4分；10-20%（含），计3分；20-30%（含），计2分，大于30%，不得分。</w:t>
            </w:r>
          </w:p>
        </w:tc>
        <w:tc>
          <w:tcPr>
            <w:tcW w:w="3623"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预算控制率=（本年追加预算/年初预算）)100%</w:t>
            </w: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73"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392"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681"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新建楼堂馆所面积控制率</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5</w:t>
            </w:r>
          </w:p>
        </w:tc>
        <w:tc>
          <w:tcPr>
            <w:tcW w:w="2458"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100%以下（含）计满分，每超出5%扣2分，扣完为止。没有楼堂馆所项目的部门按满分计算。</w:t>
            </w:r>
          </w:p>
        </w:tc>
        <w:tc>
          <w:tcPr>
            <w:tcW w:w="3623" w:type="dxa"/>
            <w:vAlign w:val="center"/>
          </w:tcPr>
          <w:p>
            <w:pPr>
              <w:jc w:val="both"/>
              <w:rPr>
                <w:rFonts w:hint="default" w:ascii="宋体" w:hAnsi="宋体" w:cs="宋体"/>
                <w:sz w:val="15"/>
                <w:szCs w:val="15"/>
                <w:vertAlign w:val="baseline"/>
              </w:rPr>
            </w:pPr>
            <w:r>
              <w:rPr>
                <w:rFonts w:hint="default" w:ascii="宋体" w:hAnsi="宋体" w:cs="宋体"/>
                <w:sz w:val="15"/>
                <w:szCs w:val="15"/>
                <w:vertAlign w:val="baseline"/>
              </w:rPr>
              <w:t>楼堂馆所面积控制率=实际建设面积/批准建设面积*100%.</w:t>
            </w:r>
          </w:p>
          <w:p>
            <w:pPr>
              <w:jc w:val="both"/>
              <w:rPr>
                <w:rFonts w:hint="default" w:ascii="宋体" w:hAnsi="宋体" w:cs="宋体"/>
                <w:sz w:val="15"/>
                <w:szCs w:val="15"/>
                <w:vertAlign w:val="baseline"/>
              </w:rPr>
            </w:pPr>
            <w:r>
              <w:rPr>
                <w:rFonts w:hint="default" w:ascii="宋体" w:hAnsi="宋体" w:cs="宋体"/>
                <w:sz w:val="15"/>
                <w:szCs w:val="15"/>
                <w:vertAlign w:val="baseline"/>
              </w:rPr>
              <w:t>该指标以2021年完工的新建楼堂馆所为评价内容。</w:t>
            </w:r>
          </w:p>
          <w:p>
            <w:pPr>
              <w:jc w:val="both"/>
              <w:rPr>
                <w:rFonts w:hint="default" w:ascii="宋体" w:hAnsi="宋体" w:cs="宋体"/>
                <w:sz w:val="15"/>
                <w:szCs w:val="15"/>
                <w:vertAlign w:val="baseline"/>
              </w:rPr>
            </w:pPr>
          </w:p>
        </w:tc>
        <w:tc>
          <w:tcPr>
            <w:tcW w:w="392"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473"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392"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681"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新建楼堂馆所投资概算控制率</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5</w:t>
            </w:r>
          </w:p>
        </w:tc>
        <w:tc>
          <w:tcPr>
            <w:tcW w:w="2458"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100%以下（含）计满分，每超出5%扣2分，扣完为止。</w:t>
            </w:r>
          </w:p>
        </w:tc>
        <w:tc>
          <w:tcPr>
            <w:tcW w:w="3623" w:type="dxa"/>
            <w:vAlign w:val="center"/>
          </w:tcPr>
          <w:p>
            <w:pPr>
              <w:jc w:val="both"/>
              <w:rPr>
                <w:rFonts w:hint="default" w:ascii="宋体" w:hAnsi="宋体" w:cs="宋体"/>
                <w:sz w:val="15"/>
                <w:szCs w:val="15"/>
                <w:vertAlign w:val="baseline"/>
              </w:rPr>
            </w:pPr>
            <w:r>
              <w:rPr>
                <w:rFonts w:hint="default" w:ascii="宋体" w:hAnsi="宋体" w:cs="宋体"/>
                <w:sz w:val="15"/>
                <w:szCs w:val="15"/>
                <w:vertAlign w:val="baseline"/>
              </w:rPr>
              <w:t>楼堂馆所投资预算控制率=实际投资金额/批准投资金额*100%.</w:t>
            </w:r>
          </w:p>
          <w:p>
            <w:pPr>
              <w:jc w:val="both"/>
              <w:rPr>
                <w:rFonts w:hint="default" w:ascii="宋体" w:hAnsi="宋体" w:cs="宋体"/>
                <w:sz w:val="15"/>
                <w:szCs w:val="15"/>
                <w:vertAlign w:val="baseline"/>
              </w:rPr>
            </w:pPr>
            <w:r>
              <w:rPr>
                <w:rFonts w:hint="default" w:ascii="宋体" w:hAnsi="宋体" w:cs="宋体"/>
                <w:sz w:val="15"/>
                <w:szCs w:val="15"/>
                <w:vertAlign w:val="baseline"/>
              </w:rPr>
              <w:t>该指标以2021年完工的新建楼堂馆所为评价内容。</w:t>
            </w:r>
          </w:p>
          <w:p>
            <w:pPr>
              <w:jc w:val="both"/>
              <w:rPr>
                <w:rFonts w:hint="default" w:ascii="宋体" w:hAnsi="宋体" w:cs="宋体"/>
                <w:sz w:val="15"/>
                <w:szCs w:val="15"/>
                <w:vertAlign w:val="baseline"/>
              </w:rPr>
            </w:pP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73"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392" w:type="dxa"/>
            <w:vMerge w:val="restart"/>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预算管理</w:t>
            </w:r>
          </w:p>
        </w:tc>
        <w:tc>
          <w:tcPr>
            <w:tcW w:w="404"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40</w:t>
            </w:r>
          </w:p>
        </w:tc>
        <w:tc>
          <w:tcPr>
            <w:tcW w:w="681"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公用经费控制率</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8</w:t>
            </w:r>
          </w:p>
        </w:tc>
        <w:tc>
          <w:tcPr>
            <w:tcW w:w="2458"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100%以下（含）计满分，每超出1%扣1分，扣完为止。</w:t>
            </w:r>
          </w:p>
        </w:tc>
        <w:tc>
          <w:tcPr>
            <w:tcW w:w="3623" w:type="dxa"/>
            <w:vAlign w:val="center"/>
          </w:tcPr>
          <w:p>
            <w:pPr>
              <w:jc w:val="both"/>
              <w:rPr>
                <w:rFonts w:hint="default" w:ascii="宋体" w:hAnsi="宋体" w:cs="宋体"/>
                <w:sz w:val="15"/>
                <w:szCs w:val="15"/>
                <w:vertAlign w:val="baseline"/>
              </w:rPr>
            </w:pPr>
            <w:r>
              <w:rPr>
                <w:rFonts w:hint="default" w:ascii="宋体" w:hAnsi="宋体" w:cs="宋体"/>
                <w:sz w:val="15"/>
                <w:szCs w:val="15"/>
                <w:vertAlign w:val="baseline"/>
              </w:rPr>
              <w:t>公用经费控制率=（实际支出的公用经费总额/预算安排的公用经费总额）*100%。</w:t>
            </w:r>
          </w:p>
          <w:p>
            <w:pPr>
              <w:jc w:val="both"/>
              <w:rPr>
                <w:rFonts w:hint="default" w:ascii="宋体" w:hAnsi="宋体" w:cs="宋体"/>
                <w:sz w:val="15"/>
                <w:szCs w:val="15"/>
                <w:vertAlign w:val="baseline"/>
              </w:rPr>
            </w:pPr>
            <w:r>
              <w:rPr>
                <w:rFonts w:hint="default" w:ascii="宋体" w:hAnsi="宋体" w:cs="宋体"/>
                <w:sz w:val="15"/>
                <w:szCs w:val="15"/>
                <w:vertAlign w:val="baseline"/>
              </w:rPr>
              <w:t>公用经费支出是指部门基本支出的一般商品和服务支出。</w:t>
            </w:r>
          </w:p>
        </w:tc>
        <w:tc>
          <w:tcPr>
            <w:tcW w:w="392" w:type="dxa"/>
            <w:vAlign w:val="center"/>
          </w:tcPr>
          <w:p>
            <w:pPr>
              <w:jc w:val="center"/>
              <w:rPr>
                <w:rFonts w:hint="default"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392"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681"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“三公经费“控制率</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7</w:t>
            </w:r>
          </w:p>
        </w:tc>
        <w:tc>
          <w:tcPr>
            <w:tcW w:w="2458"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100%以下（含）计满分，每超出1%扣1分，扣完为止。</w:t>
            </w:r>
          </w:p>
        </w:tc>
        <w:tc>
          <w:tcPr>
            <w:tcW w:w="3623"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“三公经费”控制率-（“三公经费”实际支出数/“三公经费”预算安排数）*100%。</w:t>
            </w: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7</w:t>
            </w:r>
          </w:p>
        </w:tc>
      </w:tr>
    </w:tbl>
    <w:p>
      <w:pPr>
        <w:jc w:val="center"/>
        <w:rPr>
          <w:rFonts w:hint="default" w:ascii="黑体" w:hAnsi="黑体" w:eastAsia="黑体" w:cs="黑体"/>
          <w:sz w:val="32"/>
          <w:szCs w:val="32"/>
        </w:rPr>
      </w:pPr>
    </w:p>
    <w:tbl>
      <w:tblPr>
        <w:tblStyle w:val="3"/>
        <w:tblW w:w="9300"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404"/>
        <w:gridCol w:w="392"/>
        <w:gridCol w:w="404"/>
        <w:gridCol w:w="681"/>
        <w:gridCol w:w="473"/>
        <w:gridCol w:w="2804"/>
        <w:gridCol w:w="3277"/>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rPr>
              <w:t>一级指标</w:t>
            </w:r>
          </w:p>
        </w:tc>
        <w:tc>
          <w:tcPr>
            <w:tcW w:w="404"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分值</w:t>
            </w:r>
          </w:p>
        </w:tc>
        <w:tc>
          <w:tcPr>
            <w:tcW w:w="392"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二级指标</w:t>
            </w:r>
          </w:p>
        </w:tc>
        <w:tc>
          <w:tcPr>
            <w:tcW w:w="404"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分值</w:t>
            </w:r>
          </w:p>
        </w:tc>
        <w:tc>
          <w:tcPr>
            <w:tcW w:w="681"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三级 指标</w:t>
            </w:r>
          </w:p>
        </w:tc>
        <w:tc>
          <w:tcPr>
            <w:tcW w:w="473"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分值</w:t>
            </w:r>
          </w:p>
        </w:tc>
        <w:tc>
          <w:tcPr>
            <w:tcW w:w="2804"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评价标准</w:t>
            </w:r>
          </w:p>
        </w:tc>
        <w:tc>
          <w:tcPr>
            <w:tcW w:w="3277"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指标说明</w:t>
            </w:r>
          </w:p>
        </w:tc>
        <w:tc>
          <w:tcPr>
            <w:tcW w:w="392"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73" w:type="dxa"/>
            <w:vAlign w:val="center"/>
          </w:tcPr>
          <w:p>
            <w:pPr>
              <w:jc w:val="center"/>
              <w:rPr>
                <w:rFonts w:hint="eastAsia" w:ascii="宋体" w:hAnsi="宋体" w:eastAsia="宋体" w:cs="宋体"/>
                <w:sz w:val="15"/>
                <w:szCs w:val="15"/>
                <w:vertAlign w:val="baseline"/>
              </w:rPr>
            </w:pPr>
          </w:p>
          <w:p>
            <w:pPr>
              <w:jc w:val="center"/>
              <w:rPr>
                <w:rFonts w:hint="eastAsia" w:ascii="宋体" w:hAnsi="宋体" w:eastAsia="宋体" w:cs="宋体"/>
                <w:sz w:val="15"/>
                <w:szCs w:val="15"/>
                <w:vertAlign w:val="baseline"/>
              </w:rPr>
            </w:pPr>
          </w:p>
        </w:tc>
        <w:tc>
          <w:tcPr>
            <w:tcW w:w="404" w:type="dxa"/>
            <w:vAlign w:val="center"/>
          </w:tcPr>
          <w:p>
            <w:pPr>
              <w:jc w:val="center"/>
              <w:rPr>
                <w:rFonts w:hint="default" w:ascii="宋体" w:hAnsi="宋体" w:cs="宋体"/>
                <w:sz w:val="15"/>
                <w:szCs w:val="15"/>
                <w:vertAlign w:val="baseline"/>
              </w:rPr>
            </w:pPr>
          </w:p>
        </w:tc>
        <w:tc>
          <w:tcPr>
            <w:tcW w:w="392" w:type="dxa"/>
            <w:vAlign w:val="center"/>
          </w:tcPr>
          <w:p>
            <w:pPr>
              <w:jc w:val="center"/>
              <w:rPr>
                <w:rFonts w:hint="eastAsia" w:ascii="宋体" w:hAnsi="宋体" w:eastAsia="宋体" w:cs="宋体"/>
                <w:sz w:val="15"/>
                <w:szCs w:val="15"/>
                <w:vertAlign w:val="baseline"/>
              </w:rPr>
            </w:pPr>
          </w:p>
        </w:tc>
        <w:tc>
          <w:tcPr>
            <w:tcW w:w="404" w:type="dxa"/>
            <w:vMerge w:val="restart"/>
            <w:vAlign w:val="center"/>
          </w:tcPr>
          <w:p>
            <w:pPr>
              <w:jc w:val="center"/>
              <w:rPr>
                <w:rFonts w:hint="default" w:ascii="宋体" w:hAnsi="宋体" w:eastAsia="宋体" w:cs="宋体"/>
                <w:sz w:val="15"/>
                <w:szCs w:val="15"/>
                <w:vertAlign w:val="baseline"/>
              </w:rPr>
            </w:pPr>
          </w:p>
        </w:tc>
        <w:tc>
          <w:tcPr>
            <w:tcW w:w="681"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政府采购执行率</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6</w:t>
            </w:r>
          </w:p>
        </w:tc>
        <w:tc>
          <w:tcPr>
            <w:tcW w:w="2804"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100%计满分，每超过（降低）5%扣2分。扣完为止。</w:t>
            </w:r>
          </w:p>
        </w:tc>
        <w:tc>
          <w:tcPr>
            <w:tcW w:w="3277"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政府采购执行率=（实际政府采购金额/政府采购预算数）*100%</w:t>
            </w: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73"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过程</w:t>
            </w:r>
          </w:p>
        </w:tc>
        <w:tc>
          <w:tcPr>
            <w:tcW w:w="404"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60</w:t>
            </w:r>
          </w:p>
        </w:tc>
        <w:tc>
          <w:tcPr>
            <w:tcW w:w="392"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预算管理</w:t>
            </w:r>
          </w:p>
        </w:tc>
        <w:tc>
          <w:tcPr>
            <w:tcW w:w="404" w:type="dxa"/>
            <w:vMerge w:val="continue"/>
            <w:vAlign w:val="center"/>
          </w:tcPr>
          <w:p>
            <w:pPr>
              <w:jc w:val="center"/>
              <w:rPr>
                <w:rFonts w:hint="eastAsia" w:ascii="宋体" w:hAnsi="宋体" w:eastAsia="宋体" w:cs="宋体"/>
                <w:sz w:val="15"/>
                <w:szCs w:val="15"/>
                <w:vertAlign w:val="baseline"/>
              </w:rPr>
            </w:pPr>
          </w:p>
        </w:tc>
        <w:tc>
          <w:tcPr>
            <w:tcW w:w="681"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管理制度健全性</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8</w:t>
            </w:r>
          </w:p>
        </w:tc>
        <w:tc>
          <w:tcPr>
            <w:tcW w:w="2804" w:type="dxa"/>
            <w:vAlign w:val="center"/>
          </w:tcPr>
          <w:p>
            <w:pPr>
              <w:numPr>
                <w:ilvl w:val="0"/>
                <w:numId w:val="4"/>
              </w:numPr>
              <w:jc w:val="both"/>
              <w:rPr>
                <w:rFonts w:hint="default" w:ascii="宋体" w:hAnsi="宋体" w:cs="宋体"/>
                <w:sz w:val="15"/>
                <w:szCs w:val="15"/>
                <w:vertAlign w:val="baseline"/>
              </w:rPr>
            </w:pPr>
            <w:r>
              <w:rPr>
                <w:rFonts w:hint="default" w:ascii="宋体" w:hAnsi="宋体" w:cs="宋体"/>
                <w:sz w:val="15"/>
                <w:szCs w:val="15"/>
                <w:vertAlign w:val="baseline"/>
              </w:rPr>
              <w:t>有内部财务管理制度、会计核算制度等管理制度，2分；</w:t>
            </w:r>
          </w:p>
          <w:p>
            <w:pPr>
              <w:numPr>
                <w:ilvl w:val="0"/>
                <w:numId w:val="4"/>
              </w:numPr>
              <w:ind w:left="0" w:leftChars="0" w:firstLine="0" w:firstLineChars="0"/>
              <w:jc w:val="both"/>
              <w:rPr>
                <w:rFonts w:hint="default" w:ascii="宋体" w:hAnsi="宋体" w:cs="宋体"/>
                <w:sz w:val="15"/>
                <w:szCs w:val="15"/>
                <w:vertAlign w:val="baseline"/>
              </w:rPr>
            </w:pPr>
            <w:r>
              <w:rPr>
                <w:rFonts w:hint="default" w:ascii="宋体" w:hAnsi="宋体" w:cs="宋体"/>
                <w:sz w:val="15"/>
                <w:szCs w:val="15"/>
                <w:vertAlign w:val="baseline"/>
              </w:rPr>
              <w:t>有本部门例行节约制度，2分；</w:t>
            </w:r>
          </w:p>
          <w:p>
            <w:pPr>
              <w:numPr>
                <w:ilvl w:val="0"/>
                <w:numId w:val="4"/>
              </w:numPr>
              <w:ind w:left="0" w:leftChars="0" w:firstLine="0" w:firstLineChars="0"/>
              <w:jc w:val="both"/>
              <w:rPr>
                <w:rFonts w:hint="default" w:ascii="宋体" w:hAnsi="宋体" w:cs="宋体"/>
                <w:sz w:val="15"/>
                <w:szCs w:val="15"/>
                <w:vertAlign w:val="baseline"/>
              </w:rPr>
            </w:pPr>
            <w:r>
              <w:rPr>
                <w:rFonts w:hint="default" w:ascii="宋体" w:hAnsi="宋体" w:cs="宋体"/>
                <w:sz w:val="15"/>
                <w:szCs w:val="15"/>
                <w:vertAlign w:val="baseline"/>
              </w:rPr>
              <w:t>相关管理制度合法、合规、完整2分；4.相关管理制度得到有效执行，2分。</w:t>
            </w:r>
          </w:p>
        </w:tc>
        <w:tc>
          <w:tcPr>
            <w:tcW w:w="3277" w:type="dxa"/>
            <w:vAlign w:val="center"/>
          </w:tcPr>
          <w:p>
            <w:pPr>
              <w:jc w:val="both"/>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有健全的财务管理制度及专项管理制度。</w:t>
            </w: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73"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default" w:ascii="宋体" w:hAnsi="宋体" w:eastAsia="宋体" w:cs="宋体"/>
                <w:sz w:val="15"/>
                <w:szCs w:val="15"/>
                <w:vertAlign w:val="baseline"/>
              </w:rPr>
            </w:pPr>
          </w:p>
        </w:tc>
        <w:tc>
          <w:tcPr>
            <w:tcW w:w="392" w:type="dxa"/>
            <w:vMerge w:val="continue"/>
            <w:vAlign w:val="center"/>
          </w:tcPr>
          <w:p>
            <w:pPr>
              <w:jc w:val="center"/>
              <w:rPr>
                <w:rFonts w:hint="default" w:ascii="宋体" w:hAnsi="宋体" w:eastAsia="宋体" w:cs="宋体"/>
                <w:sz w:val="15"/>
                <w:szCs w:val="15"/>
                <w:vertAlign w:val="baseline"/>
              </w:rPr>
            </w:pPr>
          </w:p>
        </w:tc>
        <w:tc>
          <w:tcPr>
            <w:tcW w:w="404" w:type="dxa"/>
            <w:vMerge w:val="continue"/>
            <w:vAlign w:val="center"/>
          </w:tcPr>
          <w:p>
            <w:pPr>
              <w:jc w:val="center"/>
              <w:rPr>
                <w:rFonts w:hint="default" w:ascii="宋体" w:hAnsi="宋体" w:eastAsia="宋体" w:cs="宋体"/>
                <w:sz w:val="15"/>
                <w:szCs w:val="15"/>
                <w:vertAlign w:val="baseline"/>
              </w:rPr>
            </w:pPr>
          </w:p>
        </w:tc>
        <w:tc>
          <w:tcPr>
            <w:tcW w:w="681"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资金使用合规性</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6</w:t>
            </w:r>
          </w:p>
        </w:tc>
        <w:tc>
          <w:tcPr>
            <w:tcW w:w="2804" w:type="dxa"/>
            <w:vAlign w:val="center"/>
          </w:tcPr>
          <w:p>
            <w:pPr>
              <w:numPr>
                <w:ilvl w:val="0"/>
                <w:numId w:val="5"/>
              </w:numPr>
              <w:jc w:val="both"/>
              <w:rPr>
                <w:rFonts w:hint="default" w:ascii="宋体" w:hAnsi="宋体" w:cs="宋体"/>
                <w:sz w:val="15"/>
                <w:szCs w:val="15"/>
                <w:vertAlign w:val="baseline"/>
              </w:rPr>
            </w:pPr>
            <w:r>
              <w:rPr>
                <w:rFonts w:hint="default" w:ascii="宋体" w:hAnsi="宋体" w:cs="宋体"/>
                <w:sz w:val="15"/>
                <w:szCs w:val="15"/>
                <w:vertAlign w:val="baseline"/>
              </w:rPr>
              <w:t>支出符合国家财经法规和财务管理制度规定以及有关专项资金管理的办法；2.资金拨付有完整额审批程序和手续；3.项目支出按规定经过评估论证；4.支出符合部门预算批复的用途；5.资金使用无截留、挤占、挪用、虚列支出等情况。</w:t>
            </w:r>
          </w:p>
          <w:p>
            <w:pPr>
              <w:numPr>
                <w:ilvl w:val="0"/>
                <w:numId w:val="0"/>
              </w:numPr>
              <w:jc w:val="both"/>
              <w:rPr>
                <w:rFonts w:hint="default" w:ascii="宋体" w:hAnsi="宋体" w:cs="宋体"/>
                <w:sz w:val="15"/>
                <w:szCs w:val="15"/>
                <w:vertAlign w:val="baseline"/>
              </w:rPr>
            </w:pPr>
            <w:r>
              <w:rPr>
                <w:rFonts w:hint="default" w:ascii="宋体" w:hAnsi="宋体" w:cs="宋体"/>
                <w:sz w:val="15"/>
                <w:szCs w:val="15"/>
                <w:vertAlign w:val="baseline"/>
              </w:rPr>
              <w:t>以上情况每出现一列不符合要求的扣1分，扣完为止。</w:t>
            </w:r>
          </w:p>
        </w:tc>
        <w:tc>
          <w:tcPr>
            <w:tcW w:w="3277" w:type="dxa"/>
            <w:vAlign w:val="center"/>
          </w:tcPr>
          <w:p>
            <w:pPr>
              <w:jc w:val="both"/>
              <w:rPr>
                <w:rFonts w:hint="default" w:ascii="宋体" w:hAnsi="宋体" w:eastAsia="宋体" w:cs="宋体"/>
                <w:sz w:val="15"/>
                <w:szCs w:val="15"/>
                <w:vertAlign w:val="baseline"/>
              </w:rPr>
            </w:pP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392"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681"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预决算信息公开</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5</w:t>
            </w:r>
          </w:p>
        </w:tc>
        <w:tc>
          <w:tcPr>
            <w:tcW w:w="2804"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1.按规定内容公开预决算信息，1分；2.按规定时限公开预决算信息，1分；3.基础数据信息和会计信息资料真实，1分；4.基础数据信息和会计信息资料完整，1分；5.基础会计信息和汇集信息资料准确，1分。</w:t>
            </w:r>
          </w:p>
        </w:tc>
        <w:tc>
          <w:tcPr>
            <w:tcW w:w="3277"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预决算信息是指与部门预算、执行、决算、监督、绩效等管理相关的信息。</w:t>
            </w: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73"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产出及效率</w:t>
            </w:r>
          </w:p>
        </w:tc>
        <w:tc>
          <w:tcPr>
            <w:tcW w:w="404"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30</w:t>
            </w:r>
          </w:p>
        </w:tc>
        <w:tc>
          <w:tcPr>
            <w:tcW w:w="392"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履行职责</w:t>
            </w:r>
          </w:p>
        </w:tc>
        <w:tc>
          <w:tcPr>
            <w:tcW w:w="404"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8</w:t>
            </w:r>
          </w:p>
        </w:tc>
        <w:tc>
          <w:tcPr>
            <w:tcW w:w="681"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重点工作实际完成率</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8</w:t>
            </w:r>
          </w:p>
        </w:tc>
        <w:tc>
          <w:tcPr>
            <w:tcW w:w="2804" w:type="dxa"/>
            <w:vAlign w:val="center"/>
          </w:tcPr>
          <w:p>
            <w:pPr>
              <w:jc w:val="both"/>
              <w:rPr>
                <w:rFonts w:hint="default" w:ascii="宋体" w:hAnsi="宋体" w:cs="宋体"/>
                <w:sz w:val="15"/>
                <w:szCs w:val="15"/>
                <w:vertAlign w:val="baseline"/>
              </w:rPr>
            </w:pPr>
            <w:r>
              <w:rPr>
                <w:rFonts w:hint="default" w:ascii="宋体" w:hAnsi="宋体" w:cs="宋体"/>
                <w:sz w:val="15"/>
                <w:szCs w:val="15"/>
                <w:vertAlign w:val="baseline"/>
              </w:rPr>
              <w:t>根据绩效办2021年对各部门为民办实事和部门重点工程与重点工作考核分数折算。</w:t>
            </w:r>
          </w:p>
          <w:p>
            <w:pPr>
              <w:jc w:val="both"/>
              <w:rPr>
                <w:rFonts w:hint="default" w:ascii="宋体" w:hAnsi="宋体" w:cs="宋体"/>
                <w:sz w:val="15"/>
                <w:szCs w:val="15"/>
                <w:vertAlign w:val="baseline"/>
              </w:rPr>
            </w:pPr>
            <w:r>
              <w:rPr>
                <w:rFonts w:hint="default" w:ascii="宋体" w:hAnsi="宋体" w:cs="宋体"/>
                <w:sz w:val="15"/>
                <w:szCs w:val="15"/>
                <w:vertAlign w:val="baseline"/>
              </w:rPr>
              <w:t>该项得分=（绩效办对应部分考核得分/该部分总分）*8</w:t>
            </w:r>
          </w:p>
        </w:tc>
        <w:tc>
          <w:tcPr>
            <w:tcW w:w="3277" w:type="dxa"/>
            <w:vAlign w:val="center"/>
          </w:tcPr>
          <w:p>
            <w:pPr>
              <w:jc w:val="both"/>
              <w:rPr>
                <w:rFonts w:hint="default" w:ascii="宋体" w:hAnsi="宋体" w:cs="宋体"/>
                <w:sz w:val="15"/>
                <w:szCs w:val="15"/>
                <w:vertAlign w:val="baseline"/>
              </w:rPr>
            </w:pP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73"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392"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履职效益</w:t>
            </w:r>
          </w:p>
        </w:tc>
        <w:tc>
          <w:tcPr>
            <w:tcW w:w="404"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10</w:t>
            </w:r>
          </w:p>
        </w:tc>
        <w:tc>
          <w:tcPr>
            <w:tcW w:w="681"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经济效益</w:t>
            </w:r>
          </w:p>
        </w:tc>
        <w:tc>
          <w:tcPr>
            <w:tcW w:w="473" w:type="dxa"/>
            <w:vMerge w:val="restart"/>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10</w:t>
            </w:r>
          </w:p>
        </w:tc>
        <w:tc>
          <w:tcPr>
            <w:tcW w:w="6081" w:type="dxa"/>
            <w:gridSpan w:val="2"/>
            <w:vMerge w:val="restart"/>
            <w:vAlign w:val="center"/>
          </w:tcPr>
          <w:p>
            <w:pPr>
              <w:jc w:val="both"/>
              <w:rPr>
                <w:rFonts w:hint="default" w:ascii="宋体" w:hAnsi="宋体" w:cs="宋体"/>
                <w:sz w:val="15"/>
                <w:szCs w:val="15"/>
                <w:vertAlign w:val="baseline"/>
              </w:rPr>
            </w:pPr>
            <w:r>
              <w:rPr>
                <w:rFonts w:hint="default" w:ascii="宋体" w:hAnsi="宋体" w:cs="宋体"/>
                <w:sz w:val="15"/>
                <w:szCs w:val="15"/>
                <w:vertAlign w:val="baseline"/>
              </w:rPr>
              <w:t>此两项指标为设置整体支出绩效评价指标时必须考虑的共性要素，可根据部门实际情况有选择的进行设置，并将其细化为相应的个性化指标。</w:t>
            </w:r>
          </w:p>
        </w:tc>
        <w:tc>
          <w:tcPr>
            <w:tcW w:w="392" w:type="dxa"/>
            <w:vMerge w:val="restart"/>
            <w:vAlign w:val="center"/>
          </w:tcPr>
          <w:p>
            <w:pPr>
              <w:jc w:val="center"/>
              <w:rPr>
                <w:rFonts w:hint="default"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73"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392"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default" w:ascii="宋体" w:hAnsi="宋体" w:eastAsia="宋体" w:cs="宋体"/>
                <w:sz w:val="15"/>
                <w:szCs w:val="15"/>
                <w:vertAlign w:val="baseline"/>
              </w:rPr>
            </w:pPr>
          </w:p>
        </w:tc>
        <w:tc>
          <w:tcPr>
            <w:tcW w:w="681"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社会效益</w:t>
            </w:r>
          </w:p>
        </w:tc>
        <w:tc>
          <w:tcPr>
            <w:tcW w:w="473" w:type="dxa"/>
            <w:vMerge w:val="continue"/>
            <w:vAlign w:val="center"/>
          </w:tcPr>
          <w:p>
            <w:pPr>
              <w:jc w:val="center"/>
              <w:rPr>
                <w:rFonts w:hint="default" w:ascii="宋体" w:hAnsi="宋体" w:eastAsia="宋体" w:cs="宋体"/>
                <w:sz w:val="15"/>
                <w:szCs w:val="15"/>
                <w:vertAlign w:val="baseline"/>
              </w:rPr>
            </w:pPr>
          </w:p>
        </w:tc>
        <w:tc>
          <w:tcPr>
            <w:tcW w:w="6081" w:type="dxa"/>
            <w:gridSpan w:val="2"/>
            <w:vMerge w:val="continue"/>
            <w:vAlign w:val="center"/>
          </w:tcPr>
          <w:p>
            <w:pPr>
              <w:jc w:val="both"/>
              <w:rPr>
                <w:rFonts w:hint="default" w:ascii="宋体" w:hAnsi="宋体" w:cs="宋体"/>
                <w:sz w:val="15"/>
                <w:szCs w:val="15"/>
                <w:vertAlign w:val="baseline"/>
              </w:rPr>
            </w:pPr>
          </w:p>
        </w:tc>
        <w:tc>
          <w:tcPr>
            <w:tcW w:w="392" w:type="dxa"/>
            <w:vMerge w:val="continue"/>
            <w:vAlign w:val="center"/>
          </w:tcPr>
          <w:p>
            <w:pPr>
              <w:jc w:val="center"/>
              <w:rPr>
                <w:rFonts w:hint="eastAsia" w:ascii="宋体" w:hAnsi="宋体" w:eastAsia="宋体" w:cs="宋体"/>
                <w:sz w:val="15"/>
                <w:szCs w:val="15"/>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jc w:val="center"/>
              <w:rPr>
                <w:rFonts w:hint="eastAsia" w:ascii="宋体" w:hAnsi="宋体" w:eastAsia="宋体" w:cs="宋体"/>
                <w:sz w:val="15"/>
                <w:szCs w:val="15"/>
                <w:vertAlign w:val="baseline"/>
              </w:rPr>
            </w:pPr>
          </w:p>
        </w:tc>
        <w:tc>
          <w:tcPr>
            <w:tcW w:w="404" w:type="dxa"/>
            <w:vMerge w:val="continue"/>
            <w:vAlign w:val="center"/>
          </w:tcPr>
          <w:p>
            <w:pPr>
              <w:jc w:val="center"/>
              <w:rPr>
                <w:rFonts w:hint="eastAsia" w:ascii="宋体" w:hAnsi="宋体" w:eastAsia="宋体" w:cs="宋体"/>
                <w:sz w:val="15"/>
                <w:szCs w:val="15"/>
                <w:vertAlign w:val="baseline"/>
              </w:rPr>
            </w:pPr>
          </w:p>
        </w:tc>
        <w:tc>
          <w:tcPr>
            <w:tcW w:w="392" w:type="dxa"/>
            <w:vMerge w:val="continue"/>
            <w:vAlign w:val="center"/>
          </w:tcPr>
          <w:p>
            <w:pPr>
              <w:jc w:val="center"/>
              <w:rPr>
                <w:rFonts w:hint="eastAsia" w:ascii="宋体" w:hAnsi="宋体" w:eastAsia="宋体" w:cs="宋体"/>
                <w:sz w:val="15"/>
                <w:szCs w:val="15"/>
                <w:vertAlign w:val="baseline"/>
              </w:rPr>
            </w:pPr>
          </w:p>
        </w:tc>
        <w:tc>
          <w:tcPr>
            <w:tcW w:w="404"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12</w:t>
            </w:r>
          </w:p>
        </w:tc>
        <w:tc>
          <w:tcPr>
            <w:tcW w:w="681"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行政能效</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6</w:t>
            </w:r>
          </w:p>
        </w:tc>
        <w:tc>
          <w:tcPr>
            <w:tcW w:w="2804"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促进部门改进文风会风，加强经费及资产管理，推动网上办事，提高行政效率，降低行政成本效果较好的计6分，无效果或效果不明显0分</w:t>
            </w:r>
          </w:p>
        </w:tc>
        <w:tc>
          <w:tcPr>
            <w:tcW w:w="3277" w:type="dxa"/>
            <w:vAlign w:val="center"/>
          </w:tcPr>
          <w:p>
            <w:pPr>
              <w:jc w:val="both"/>
              <w:rPr>
                <w:rFonts w:hint="default" w:ascii="宋体" w:hAnsi="宋体" w:eastAsia="宋体" w:cs="宋体"/>
                <w:sz w:val="15"/>
                <w:szCs w:val="15"/>
                <w:vertAlign w:val="baseline"/>
              </w:rPr>
            </w:pP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6</w:t>
            </w:r>
          </w:p>
        </w:tc>
      </w:tr>
    </w:tbl>
    <w:p>
      <w:pPr>
        <w:jc w:val="center"/>
        <w:rPr>
          <w:rFonts w:hint="default" w:ascii="黑体" w:hAnsi="黑体" w:eastAsia="黑体" w:cs="黑体"/>
          <w:sz w:val="32"/>
          <w:szCs w:val="32"/>
        </w:rPr>
      </w:pPr>
    </w:p>
    <w:p>
      <w:pPr>
        <w:jc w:val="both"/>
        <w:rPr>
          <w:rFonts w:hint="default" w:ascii="黑体" w:hAnsi="黑体" w:eastAsia="黑体" w:cs="黑体"/>
          <w:sz w:val="32"/>
          <w:szCs w:val="32"/>
        </w:rPr>
      </w:pPr>
    </w:p>
    <w:tbl>
      <w:tblPr>
        <w:tblStyle w:val="3"/>
        <w:tblW w:w="9300"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404"/>
        <w:gridCol w:w="392"/>
        <w:gridCol w:w="404"/>
        <w:gridCol w:w="681"/>
        <w:gridCol w:w="473"/>
        <w:gridCol w:w="2458"/>
        <w:gridCol w:w="3623"/>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jc w:val="center"/>
              <w:rPr>
                <w:rFonts w:hint="eastAsia" w:ascii="宋体" w:hAnsi="宋体" w:eastAsia="宋体" w:cs="宋体"/>
                <w:sz w:val="15"/>
                <w:szCs w:val="15"/>
                <w:vertAlign w:val="baseline"/>
              </w:rPr>
            </w:pPr>
            <w:r>
              <w:rPr>
                <w:rFonts w:hint="eastAsia" w:ascii="宋体" w:hAnsi="宋体" w:eastAsia="宋体" w:cs="宋体"/>
                <w:sz w:val="15"/>
                <w:szCs w:val="15"/>
                <w:vertAlign w:val="baseline"/>
              </w:rPr>
              <w:t>一级指标</w:t>
            </w:r>
          </w:p>
        </w:tc>
        <w:tc>
          <w:tcPr>
            <w:tcW w:w="404"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分值</w:t>
            </w:r>
          </w:p>
        </w:tc>
        <w:tc>
          <w:tcPr>
            <w:tcW w:w="392"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二级指标</w:t>
            </w:r>
          </w:p>
        </w:tc>
        <w:tc>
          <w:tcPr>
            <w:tcW w:w="404"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分值</w:t>
            </w:r>
          </w:p>
        </w:tc>
        <w:tc>
          <w:tcPr>
            <w:tcW w:w="681"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三级 指标</w:t>
            </w:r>
          </w:p>
        </w:tc>
        <w:tc>
          <w:tcPr>
            <w:tcW w:w="473"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分值</w:t>
            </w:r>
          </w:p>
        </w:tc>
        <w:tc>
          <w:tcPr>
            <w:tcW w:w="2458"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评价标准</w:t>
            </w:r>
          </w:p>
        </w:tc>
        <w:tc>
          <w:tcPr>
            <w:tcW w:w="3623"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指标说明</w:t>
            </w:r>
          </w:p>
        </w:tc>
        <w:tc>
          <w:tcPr>
            <w:tcW w:w="392" w:type="dxa"/>
            <w:vAlign w:val="center"/>
          </w:tcPr>
          <w:p>
            <w:pPr>
              <w:jc w:val="center"/>
              <w:rPr>
                <w:rFonts w:hint="eastAsia" w:ascii="宋体" w:hAnsi="宋体" w:eastAsia="宋体" w:cs="宋体"/>
                <w:sz w:val="15"/>
                <w:szCs w:val="15"/>
                <w:vertAlign w:val="baseline"/>
              </w:rPr>
            </w:pPr>
            <w:r>
              <w:rPr>
                <w:rFonts w:hint="default" w:ascii="宋体" w:hAnsi="宋体" w:cs="宋体"/>
                <w:sz w:val="15"/>
                <w:szCs w:val="15"/>
                <w:vertAlign w:val="baseli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473" w:type="dxa"/>
            <w:vAlign w:val="center"/>
          </w:tcPr>
          <w:p>
            <w:pPr>
              <w:jc w:val="center"/>
              <w:rPr>
                <w:rFonts w:hint="eastAsia" w:ascii="宋体" w:hAnsi="宋体" w:eastAsia="宋体" w:cs="宋体"/>
                <w:sz w:val="15"/>
                <w:szCs w:val="15"/>
                <w:vertAlign w:val="baseline"/>
              </w:rPr>
            </w:pPr>
          </w:p>
          <w:p>
            <w:pPr>
              <w:jc w:val="center"/>
              <w:rPr>
                <w:rFonts w:hint="eastAsia" w:ascii="宋体" w:hAnsi="宋体" w:eastAsia="宋体" w:cs="宋体"/>
                <w:sz w:val="15"/>
                <w:szCs w:val="15"/>
                <w:vertAlign w:val="baseline"/>
              </w:rPr>
            </w:pPr>
          </w:p>
        </w:tc>
        <w:tc>
          <w:tcPr>
            <w:tcW w:w="404" w:type="dxa"/>
            <w:vAlign w:val="center"/>
          </w:tcPr>
          <w:p>
            <w:pPr>
              <w:jc w:val="center"/>
              <w:rPr>
                <w:rFonts w:hint="default" w:ascii="宋体" w:hAnsi="宋体" w:cs="宋体"/>
                <w:sz w:val="15"/>
                <w:szCs w:val="15"/>
                <w:vertAlign w:val="baseline"/>
              </w:rPr>
            </w:pPr>
          </w:p>
        </w:tc>
        <w:tc>
          <w:tcPr>
            <w:tcW w:w="392" w:type="dxa"/>
            <w:vAlign w:val="center"/>
          </w:tcPr>
          <w:p>
            <w:pPr>
              <w:jc w:val="center"/>
              <w:rPr>
                <w:rFonts w:hint="eastAsia" w:ascii="宋体" w:hAnsi="宋体" w:eastAsia="宋体" w:cs="宋体"/>
                <w:sz w:val="15"/>
                <w:szCs w:val="15"/>
                <w:vertAlign w:val="baseline"/>
              </w:rPr>
            </w:pPr>
          </w:p>
        </w:tc>
        <w:tc>
          <w:tcPr>
            <w:tcW w:w="404" w:type="dxa"/>
            <w:vAlign w:val="center"/>
          </w:tcPr>
          <w:p>
            <w:pPr>
              <w:jc w:val="center"/>
              <w:rPr>
                <w:rFonts w:hint="default" w:ascii="宋体" w:hAnsi="宋体" w:eastAsia="宋体" w:cs="宋体"/>
                <w:sz w:val="15"/>
                <w:szCs w:val="15"/>
                <w:vertAlign w:val="baseline"/>
              </w:rPr>
            </w:pPr>
          </w:p>
        </w:tc>
        <w:tc>
          <w:tcPr>
            <w:tcW w:w="681"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社会公众或服务对象满意度</w:t>
            </w:r>
          </w:p>
        </w:tc>
        <w:tc>
          <w:tcPr>
            <w:tcW w:w="473" w:type="dxa"/>
            <w:vAlign w:val="center"/>
          </w:tcPr>
          <w:p>
            <w:pPr>
              <w:jc w:val="center"/>
              <w:rPr>
                <w:rFonts w:hint="default" w:ascii="宋体" w:hAnsi="宋体" w:eastAsia="宋体" w:cs="宋体"/>
                <w:sz w:val="15"/>
                <w:szCs w:val="15"/>
                <w:vertAlign w:val="baseline"/>
              </w:rPr>
            </w:pPr>
            <w:r>
              <w:rPr>
                <w:rFonts w:hint="default" w:ascii="宋体" w:hAnsi="宋体" w:cs="宋体"/>
                <w:sz w:val="15"/>
                <w:szCs w:val="15"/>
                <w:vertAlign w:val="baseline"/>
              </w:rPr>
              <w:t>6</w:t>
            </w:r>
          </w:p>
        </w:tc>
        <w:tc>
          <w:tcPr>
            <w:tcW w:w="2458" w:type="dxa"/>
            <w:vAlign w:val="center"/>
          </w:tcPr>
          <w:p>
            <w:pPr>
              <w:jc w:val="both"/>
              <w:rPr>
                <w:rFonts w:hint="default" w:ascii="宋体" w:hAnsi="宋体" w:cs="宋体"/>
                <w:sz w:val="15"/>
                <w:szCs w:val="15"/>
                <w:vertAlign w:val="baseline"/>
              </w:rPr>
            </w:pPr>
            <w:r>
              <w:rPr>
                <w:rFonts w:hint="default" w:ascii="宋体" w:hAnsi="宋体" w:cs="宋体"/>
                <w:sz w:val="15"/>
                <w:szCs w:val="15"/>
                <w:vertAlign w:val="baseline"/>
              </w:rPr>
              <w:t>90%(含）以上计6分；</w:t>
            </w:r>
          </w:p>
          <w:p>
            <w:pPr>
              <w:jc w:val="both"/>
              <w:rPr>
                <w:rFonts w:hint="default" w:ascii="宋体" w:hAnsi="宋体" w:cs="宋体"/>
                <w:sz w:val="15"/>
                <w:szCs w:val="15"/>
                <w:vertAlign w:val="baseline"/>
              </w:rPr>
            </w:pPr>
            <w:r>
              <w:rPr>
                <w:rFonts w:hint="default" w:ascii="宋体" w:hAnsi="宋体" w:cs="宋体"/>
                <w:sz w:val="15"/>
                <w:szCs w:val="15"/>
                <w:vertAlign w:val="baseline"/>
              </w:rPr>
              <w:t>80%（含）-90%，计4分；</w:t>
            </w:r>
          </w:p>
          <w:p>
            <w:pPr>
              <w:jc w:val="both"/>
              <w:rPr>
                <w:rFonts w:hint="default" w:ascii="宋体" w:hAnsi="宋体" w:cs="宋体"/>
                <w:sz w:val="15"/>
                <w:szCs w:val="15"/>
                <w:vertAlign w:val="baseline"/>
              </w:rPr>
            </w:pPr>
            <w:r>
              <w:rPr>
                <w:rFonts w:hint="default" w:ascii="宋体" w:hAnsi="宋体" w:cs="宋体"/>
                <w:sz w:val="15"/>
                <w:szCs w:val="15"/>
                <w:vertAlign w:val="baseline"/>
              </w:rPr>
              <w:t>70%（含）-80%，计2分；</w:t>
            </w:r>
          </w:p>
          <w:p>
            <w:pPr>
              <w:jc w:val="both"/>
              <w:rPr>
                <w:rFonts w:hint="default" w:ascii="宋体" w:hAnsi="宋体" w:cs="宋体"/>
                <w:sz w:val="15"/>
                <w:szCs w:val="15"/>
                <w:vertAlign w:val="baseline"/>
              </w:rPr>
            </w:pPr>
            <w:r>
              <w:rPr>
                <w:rFonts w:hint="default" w:ascii="宋体" w:hAnsi="宋体" w:cs="宋体"/>
                <w:sz w:val="15"/>
                <w:szCs w:val="15"/>
                <w:vertAlign w:val="baseline"/>
              </w:rPr>
              <w:t>低于70%计0分。</w:t>
            </w:r>
          </w:p>
        </w:tc>
        <w:tc>
          <w:tcPr>
            <w:tcW w:w="3623" w:type="dxa"/>
            <w:vAlign w:val="center"/>
          </w:tcPr>
          <w:p>
            <w:pPr>
              <w:jc w:val="both"/>
              <w:rPr>
                <w:rFonts w:hint="default" w:ascii="宋体" w:hAnsi="宋体" w:eastAsia="宋体" w:cs="宋体"/>
                <w:sz w:val="15"/>
                <w:szCs w:val="15"/>
                <w:vertAlign w:val="baseline"/>
              </w:rPr>
            </w:pPr>
            <w:r>
              <w:rPr>
                <w:rFonts w:hint="default" w:ascii="宋体" w:hAnsi="宋体" w:cs="宋体"/>
                <w:sz w:val="15"/>
                <w:szCs w:val="15"/>
                <w:vertAlign w:val="baseline"/>
              </w:rPr>
              <w:t>社会公众或服务对象是指部门（单位）履行职责而影响到的部门、群体或个人，一般采取社会调查的方式。</w:t>
            </w:r>
          </w:p>
        </w:tc>
        <w:tc>
          <w:tcPr>
            <w:tcW w:w="392" w:type="dxa"/>
            <w:vAlign w:val="center"/>
          </w:tcPr>
          <w:p>
            <w:pPr>
              <w:jc w:val="center"/>
              <w:rPr>
                <w:rFonts w:hint="eastAsia" w:ascii="宋体" w:hAnsi="宋体" w:eastAsia="宋体" w:cs="宋体"/>
                <w:sz w:val="15"/>
                <w:szCs w:val="15"/>
                <w:vertAlign w:val="baseline"/>
                <w:lang w:val="en-US" w:eastAsia="zh-CN"/>
              </w:rPr>
            </w:pPr>
            <w:r>
              <w:rPr>
                <w:rFonts w:hint="eastAsia" w:ascii="宋体" w:hAnsi="宋体" w:cs="宋体"/>
                <w:sz w:val="15"/>
                <w:szCs w:val="15"/>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2354" w:type="dxa"/>
            <w:gridSpan w:val="5"/>
            <w:vAlign w:val="center"/>
          </w:tcPr>
          <w:p>
            <w:pPr>
              <w:jc w:val="center"/>
              <w:rPr>
                <w:rFonts w:hint="eastAsia" w:ascii="宋体" w:hAnsi="宋体" w:eastAsia="宋体" w:cs="宋体"/>
                <w:sz w:val="15"/>
                <w:szCs w:val="15"/>
                <w:vertAlign w:val="baseline"/>
                <w:lang w:eastAsia="zh-CN"/>
              </w:rPr>
            </w:pPr>
            <w:r>
              <w:rPr>
                <w:rFonts w:hint="eastAsia" w:ascii="宋体" w:hAnsi="宋体" w:cs="宋体"/>
                <w:sz w:val="15"/>
                <w:szCs w:val="15"/>
                <w:vertAlign w:val="baseline"/>
                <w:lang w:eastAsia="zh-CN"/>
              </w:rPr>
              <w:t>总分</w:t>
            </w:r>
          </w:p>
        </w:tc>
        <w:tc>
          <w:tcPr>
            <w:tcW w:w="6554" w:type="dxa"/>
            <w:gridSpan w:val="3"/>
            <w:vAlign w:val="center"/>
          </w:tcPr>
          <w:p>
            <w:pPr>
              <w:jc w:val="both"/>
              <w:rPr>
                <w:rFonts w:hint="default" w:ascii="宋体" w:hAnsi="宋体" w:cs="宋体"/>
                <w:sz w:val="15"/>
                <w:szCs w:val="15"/>
                <w:vertAlign w:val="baseline"/>
              </w:rPr>
            </w:pPr>
          </w:p>
        </w:tc>
        <w:tc>
          <w:tcPr>
            <w:tcW w:w="392" w:type="dxa"/>
            <w:vAlign w:val="center"/>
          </w:tcPr>
          <w:p>
            <w:pPr>
              <w:jc w:val="center"/>
              <w:rPr>
                <w:rFonts w:hint="default" w:ascii="宋体" w:hAnsi="宋体" w:cs="宋体"/>
                <w:sz w:val="15"/>
                <w:szCs w:val="15"/>
                <w:vertAlign w:val="baseline"/>
                <w:lang w:val="en-US" w:eastAsia="zh-CN"/>
              </w:rPr>
            </w:pPr>
            <w:r>
              <w:rPr>
                <w:rFonts w:hint="eastAsia" w:ascii="宋体" w:hAnsi="宋体" w:cs="宋体"/>
                <w:sz w:val="15"/>
                <w:szCs w:val="15"/>
                <w:vertAlign w:val="baseline"/>
                <w:lang w:val="en-US" w:eastAsia="zh-CN"/>
              </w:rPr>
              <w:t>85</w:t>
            </w:r>
          </w:p>
        </w:tc>
      </w:tr>
    </w:tbl>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center"/>
        <w:rPr>
          <w:rFonts w:hint="default" w:ascii="黑体" w:hAnsi="黑体" w:eastAsia="黑体" w:cs="黑体"/>
          <w:sz w:val="32"/>
          <w:szCs w:val="32"/>
        </w:rPr>
      </w:pPr>
    </w:p>
    <w:p>
      <w:pPr>
        <w:jc w:val="both"/>
        <w:rPr>
          <w:rFonts w:hint="default" w:ascii="黑体" w:hAnsi="黑体" w:eastAsia="黑体" w:cs="黑体"/>
          <w:sz w:val="32"/>
          <w:szCs w:val="32"/>
        </w:rPr>
      </w:pPr>
      <w:r>
        <w:rPr>
          <w:rFonts w:hint="default" w:ascii="黑体" w:hAnsi="黑体" w:eastAsia="黑体" w:cs="黑体"/>
          <w:sz w:val="32"/>
          <w:szCs w:val="32"/>
        </w:rPr>
        <w:t>附件2</w:t>
      </w:r>
    </w:p>
    <w:p>
      <w:pPr>
        <w:jc w:val="center"/>
        <w:rPr>
          <w:rFonts w:hint="default" w:ascii="黑体" w:hAnsi="黑体" w:eastAsia="黑体" w:cs="黑体"/>
          <w:sz w:val="32"/>
          <w:szCs w:val="32"/>
        </w:rPr>
      </w:pPr>
      <w:r>
        <w:rPr>
          <w:rFonts w:hint="default" w:ascii="黑体" w:hAnsi="黑体" w:eastAsia="黑体" w:cs="黑体"/>
          <w:sz w:val="32"/>
          <w:szCs w:val="32"/>
        </w:rPr>
        <w:t>部门整体支出绩效评价表基础数据表</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4"/>
        <w:gridCol w:w="1027"/>
        <w:gridCol w:w="1029"/>
        <w:gridCol w:w="1027"/>
        <w:gridCol w:w="1029"/>
        <w:gridCol w:w="102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Merge w:val="restart"/>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财政供养人员情况（人）</w:t>
            </w:r>
          </w:p>
        </w:tc>
        <w:tc>
          <w:tcPr>
            <w:tcW w:w="1207" w:type="pct"/>
            <w:gridSpan w:val="2"/>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编制数</w:t>
            </w:r>
          </w:p>
        </w:tc>
        <w:tc>
          <w:tcPr>
            <w:tcW w:w="1207" w:type="pct"/>
            <w:gridSpan w:val="2"/>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2021年实际在职人数</w:t>
            </w:r>
          </w:p>
        </w:tc>
        <w:tc>
          <w:tcPr>
            <w:tcW w:w="1208" w:type="pct"/>
            <w:gridSpan w:val="2"/>
            <w:vAlign w:val="center"/>
          </w:tcPr>
          <w:p>
            <w:pPr>
              <w:jc w:val="center"/>
              <w:rPr>
                <w:rFonts w:hint="eastAsia" w:ascii="宋体" w:hAnsi="宋体" w:eastAsia="宋体" w:cs="宋体"/>
                <w:kern w:val="2"/>
                <w:sz w:val="18"/>
                <w:szCs w:val="18"/>
                <w:vertAlign w:val="baseline"/>
                <w:lang w:eastAsia="zh-CN" w:bidi="ar-SA"/>
              </w:rPr>
            </w:pPr>
            <w:r>
              <w:rPr>
                <w:rFonts w:hint="default" w:ascii="宋体" w:hAnsi="宋体" w:cs="宋体"/>
                <w:kern w:val="2"/>
                <w:sz w:val="18"/>
                <w:szCs w:val="18"/>
                <w:vertAlign w:val="baseline"/>
                <w:lang w:eastAsia="zh-CN" w:bidi="ar-SA"/>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Merge w:val="continue"/>
            <w:vAlign w:val="center"/>
          </w:tcPr>
          <w:p>
            <w:pPr>
              <w:jc w:val="center"/>
              <w:rPr>
                <w:rFonts w:hint="eastAsia" w:ascii="宋体" w:hAnsi="宋体" w:eastAsia="宋体" w:cs="宋体"/>
                <w:sz w:val="18"/>
                <w:szCs w:val="18"/>
              </w:rPr>
            </w:pPr>
          </w:p>
        </w:tc>
        <w:tc>
          <w:tcPr>
            <w:tcW w:w="1207" w:type="pct"/>
            <w:gridSpan w:val="2"/>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64</w:t>
            </w:r>
          </w:p>
        </w:tc>
        <w:tc>
          <w:tcPr>
            <w:tcW w:w="1207" w:type="pct"/>
            <w:gridSpan w:val="2"/>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58</w:t>
            </w:r>
          </w:p>
        </w:tc>
        <w:tc>
          <w:tcPr>
            <w:tcW w:w="1208" w:type="pct"/>
            <w:gridSpan w:val="2"/>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90.63%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经费控制情况（万元）</w:t>
            </w:r>
          </w:p>
        </w:tc>
        <w:tc>
          <w:tcPr>
            <w:tcW w:w="1207" w:type="pct"/>
            <w:gridSpan w:val="2"/>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2020年决算数</w:t>
            </w:r>
          </w:p>
        </w:tc>
        <w:tc>
          <w:tcPr>
            <w:tcW w:w="1207" w:type="pct"/>
            <w:gridSpan w:val="2"/>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2021年预算数</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2021年决算数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三公经费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1.</w:t>
            </w:r>
            <w:r>
              <w:rPr>
                <w:rFonts w:hint="default" w:ascii="宋体" w:hAnsi="宋体" w:cs="宋体"/>
                <w:sz w:val="15"/>
                <w:szCs w:val="15"/>
                <w:vertAlign w:val="baseline"/>
              </w:rPr>
              <w:t>公务用车购置和维护经费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其中：公车购置</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5.49</w:t>
            </w:r>
          </w:p>
        </w:tc>
        <w:tc>
          <w:tcPr>
            <w:tcW w:w="1208"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公车运行维护</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50</w:t>
            </w:r>
          </w:p>
        </w:tc>
        <w:tc>
          <w:tcPr>
            <w:tcW w:w="1208"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2.出国经费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w:t>
            </w:r>
          </w:p>
        </w:tc>
        <w:tc>
          <w:tcPr>
            <w:tcW w:w="1208"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3.公务接待</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p>
        </w:tc>
        <w:tc>
          <w:tcPr>
            <w:tcW w:w="1208"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项目支出：</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1.业务工作经费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2.运行维护经费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3.</w:t>
            </w:r>
            <w:r>
              <w:rPr>
                <w:rFonts w:hint="default" w:ascii="宋体" w:hAnsi="宋体" w:cs="宋体"/>
                <w:sz w:val="15"/>
                <w:szCs w:val="15"/>
                <w:vertAlign w:val="baseline"/>
              </w:rPr>
              <w:t>专项资金（一个专项一行）</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人才资源开发专项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4.8</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防汛抗旱专项经费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41.9</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安全生产专项经费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42</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专家库专项经费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30</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28.61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救援预案及演练专项经费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130</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安委会工作经费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30</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安全知识宣传专项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50</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防汛演练</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110</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105.02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自然灾害商业保险专项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458.76</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458.76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指挥中心运维经费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130</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180.68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专项整治三年行动</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36.18</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36.18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安全生产预防及应急专项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277.12</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277.12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应急救灾专项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3.22</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防火及突发地质灾害应急</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48</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省级防汛救灾资金</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1.57</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中央自然灾害救灾资金</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50</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救灾物资保障储备</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78.03</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78.03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医疗物资应急仓库</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2751.79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区域应急救援怀化中心</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4645.35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cs="宋体"/>
                <w:sz w:val="18"/>
                <w:szCs w:val="18"/>
                <w:vertAlign w:val="baseline"/>
              </w:rPr>
            </w:pPr>
            <w:r>
              <w:rPr>
                <w:rFonts w:hint="default" w:ascii="宋体" w:hAnsi="宋体" w:cs="宋体"/>
                <w:sz w:val="18"/>
                <w:szCs w:val="18"/>
                <w:vertAlign w:val="baseline"/>
              </w:rPr>
              <w:t>全国自然灾害风险普查</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5.47</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其他项目</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w:t>
            </w: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423.69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公用经费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其中：办公经费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水费、电费、差旅费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会议费、培训费</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政府采购金额</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7741.48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部门支出预算调整</w:t>
            </w:r>
          </w:p>
        </w:tc>
        <w:tc>
          <w:tcPr>
            <w:tcW w:w="1207" w:type="pct"/>
            <w:gridSpan w:val="2"/>
            <w:vAlign w:val="center"/>
          </w:tcPr>
          <w:p>
            <w:pPr>
              <w:jc w:val="center"/>
              <w:rPr>
                <w:rFonts w:hint="eastAsia" w:ascii="宋体" w:hAnsi="宋体" w:eastAsia="宋体" w:cs="宋体"/>
                <w:sz w:val="18"/>
                <w:szCs w:val="18"/>
                <w:vertAlign w:val="baseline"/>
              </w:rPr>
            </w:pPr>
          </w:p>
        </w:tc>
        <w:tc>
          <w:tcPr>
            <w:tcW w:w="1207" w:type="pct"/>
            <w:gridSpan w:val="2"/>
            <w:vAlign w:val="center"/>
          </w:tcPr>
          <w:p>
            <w:pPr>
              <w:jc w:val="center"/>
              <w:rPr>
                <w:rFonts w:hint="eastAsia" w:ascii="宋体" w:hAnsi="宋体" w:eastAsia="宋体" w:cs="宋体"/>
                <w:sz w:val="18"/>
                <w:szCs w:val="18"/>
                <w:vertAlign w:val="baseline"/>
              </w:rPr>
            </w:pPr>
          </w:p>
        </w:tc>
        <w:tc>
          <w:tcPr>
            <w:tcW w:w="1208" w:type="pct"/>
            <w:gridSpan w:val="2"/>
            <w:vAlign w:val="center"/>
          </w:tcPr>
          <w:p>
            <w:pPr>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Merge w:val="restar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楼堂馆所控制情况（2021年完工项目）</w:t>
            </w:r>
          </w:p>
        </w:tc>
        <w:tc>
          <w:tcPr>
            <w:tcW w:w="603"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批复规模㎡</w:t>
            </w:r>
          </w:p>
        </w:tc>
        <w:tc>
          <w:tcPr>
            <w:tcW w:w="603"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实际规模㎡</w:t>
            </w:r>
          </w:p>
        </w:tc>
        <w:tc>
          <w:tcPr>
            <w:tcW w:w="603"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规模控制率</w:t>
            </w:r>
          </w:p>
        </w:tc>
        <w:tc>
          <w:tcPr>
            <w:tcW w:w="603"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预算投资（万元）</w:t>
            </w:r>
          </w:p>
        </w:tc>
        <w:tc>
          <w:tcPr>
            <w:tcW w:w="603"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实际投资（万元）</w:t>
            </w:r>
          </w:p>
        </w:tc>
        <w:tc>
          <w:tcPr>
            <w:tcW w:w="604" w:type="pct"/>
            <w:vAlign w:val="center"/>
          </w:tcPr>
          <w:p>
            <w:pPr>
              <w:jc w:val="center"/>
              <w:rPr>
                <w:rFonts w:hint="eastAsia" w:ascii="宋体" w:hAnsi="宋体" w:eastAsia="宋体" w:cs="宋体"/>
                <w:sz w:val="18"/>
                <w:szCs w:val="18"/>
                <w:vertAlign w:val="baseline"/>
                <w:lang w:eastAsia="zh-CN"/>
              </w:rPr>
            </w:pPr>
            <w:r>
              <w:rPr>
                <w:rFonts w:hint="default" w:ascii="宋体" w:hAnsi="宋体" w:cs="宋体"/>
                <w:sz w:val="18"/>
                <w:szCs w:val="18"/>
                <w:vertAlign w:val="baseline"/>
                <w:lang w:eastAsia="zh-CN"/>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Merge w:val="continue"/>
            <w:vAlign w:val="center"/>
          </w:tcPr>
          <w:p>
            <w:pPr>
              <w:jc w:val="center"/>
              <w:rPr>
                <w:rFonts w:hint="eastAsia" w:ascii="宋体" w:hAnsi="宋体" w:eastAsia="宋体" w:cs="宋体"/>
                <w:sz w:val="18"/>
                <w:szCs w:val="18"/>
                <w:vertAlign w:val="baseline"/>
              </w:rPr>
            </w:pPr>
          </w:p>
        </w:tc>
        <w:tc>
          <w:tcPr>
            <w:tcW w:w="603"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0</w:t>
            </w:r>
          </w:p>
        </w:tc>
        <w:tc>
          <w:tcPr>
            <w:tcW w:w="603"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0</w:t>
            </w:r>
          </w:p>
        </w:tc>
        <w:tc>
          <w:tcPr>
            <w:tcW w:w="603"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0</w:t>
            </w:r>
          </w:p>
        </w:tc>
        <w:tc>
          <w:tcPr>
            <w:tcW w:w="603"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0</w:t>
            </w:r>
          </w:p>
        </w:tc>
        <w:tc>
          <w:tcPr>
            <w:tcW w:w="603" w:type="pct"/>
            <w:vAlign w:val="center"/>
          </w:tcPr>
          <w:p>
            <w:pPr>
              <w:jc w:val="center"/>
              <w:rPr>
                <w:rFonts w:hint="default" w:ascii="宋体" w:hAnsi="宋体" w:eastAsia="宋体" w:cs="宋体"/>
                <w:sz w:val="18"/>
                <w:szCs w:val="18"/>
                <w:vertAlign w:val="baseline"/>
              </w:rPr>
            </w:pPr>
            <w:r>
              <w:rPr>
                <w:rFonts w:hint="default" w:ascii="宋体" w:hAnsi="宋体" w:cs="宋体"/>
                <w:sz w:val="18"/>
                <w:szCs w:val="18"/>
                <w:vertAlign w:val="baseline"/>
              </w:rPr>
              <w:t>0</w:t>
            </w:r>
          </w:p>
        </w:tc>
        <w:tc>
          <w:tcPr>
            <w:tcW w:w="604" w:type="pct"/>
            <w:vAlign w:val="center"/>
          </w:tcPr>
          <w:p>
            <w:pPr>
              <w:jc w:val="center"/>
              <w:rPr>
                <w:rFonts w:hint="default" w:ascii="宋体" w:hAnsi="宋体" w:eastAsia="宋体" w:cs="宋体"/>
                <w:sz w:val="18"/>
                <w:szCs w:val="18"/>
                <w:vertAlign w:val="baseline"/>
                <w:lang w:eastAsia="zh-CN"/>
              </w:rPr>
            </w:pPr>
            <w:r>
              <w:rPr>
                <w:rFonts w:hint="default" w:ascii="宋体" w:hAnsi="宋体" w:cs="宋体"/>
                <w:sz w:val="18"/>
                <w:szCs w:val="18"/>
                <w:vertAlign w:val="baseline"/>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76" w:type="pct"/>
            <w:vAlign w:val="center"/>
          </w:tcPr>
          <w:p>
            <w:pPr>
              <w:jc w:val="center"/>
              <w:rPr>
                <w:rFonts w:hint="eastAsia" w:ascii="宋体" w:hAnsi="宋体" w:eastAsia="宋体" w:cs="宋体"/>
                <w:sz w:val="18"/>
                <w:szCs w:val="18"/>
                <w:vertAlign w:val="baseline"/>
              </w:rPr>
            </w:pPr>
            <w:r>
              <w:rPr>
                <w:rFonts w:hint="default" w:ascii="宋体" w:hAnsi="宋体" w:cs="宋体"/>
                <w:sz w:val="18"/>
                <w:szCs w:val="18"/>
                <w:vertAlign w:val="baseline"/>
              </w:rPr>
              <w:t>例行节约保障措施</w:t>
            </w:r>
          </w:p>
        </w:tc>
        <w:tc>
          <w:tcPr>
            <w:tcW w:w="3623" w:type="pct"/>
            <w:gridSpan w:val="6"/>
            <w:vAlign w:val="center"/>
          </w:tcPr>
          <w:p>
            <w:pPr>
              <w:jc w:val="center"/>
              <w:rPr>
                <w:rFonts w:hint="eastAsia" w:ascii="宋体" w:hAnsi="宋体" w:eastAsia="宋体" w:cs="宋体"/>
                <w:sz w:val="18"/>
                <w:szCs w:val="18"/>
                <w:vertAlign w:val="baseline"/>
                <w:lang w:eastAsia="zh-CN"/>
              </w:rPr>
            </w:pPr>
          </w:p>
        </w:tc>
      </w:tr>
    </w:tbl>
    <w:p>
      <w:pPr>
        <w:jc w:val="center"/>
        <w:rPr>
          <w:rFonts w:hint="default" w:ascii="宋体" w:hAnsi="宋体" w:eastAsia="宋体" w:cs="宋体"/>
          <w:sz w:val="18"/>
          <w:szCs w:val="18"/>
          <w:vertAlign w:val="baseline"/>
        </w:rPr>
      </w:pPr>
    </w:p>
    <w:p>
      <w:pPr>
        <w:jc w:val="center"/>
        <w:rPr>
          <w:rFonts w:hint="default"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E1335"/>
    <w:multiLevelType w:val="singleLevel"/>
    <w:tmpl w:val="CAFE1335"/>
    <w:lvl w:ilvl="0" w:tentative="0">
      <w:start w:val="2"/>
      <w:numFmt w:val="chineseCounting"/>
      <w:suff w:val="nothing"/>
      <w:lvlText w:val="（%1）"/>
      <w:lvlJc w:val="left"/>
      <w:rPr>
        <w:rFonts w:hint="eastAsia"/>
      </w:rPr>
    </w:lvl>
  </w:abstractNum>
  <w:abstractNum w:abstractNumId="1">
    <w:nsid w:val="EBBF308B"/>
    <w:multiLevelType w:val="singleLevel"/>
    <w:tmpl w:val="EBBF308B"/>
    <w:lvl w:ilvl="0" w:tentative="0">
      <w:start w:val="1"/>
      <w:numFmt w:val="chineseCounting"/>
      <w:suff w:val="nothing"/>
      <w:lvlText w:val="（%1）"/>
      <w:lvlJc w:val="left"/>
      <w:rPr>
        <w:rFonts w:hint="eastAsia"/>
      </w:rPr>
    </w:lvl>
  </w:abstractNum>
  <w:abstractNum w:abstractNumId="2">
    <w:nsid w:val="FEBFE318"/>
    <w:multiLevelType w:val="singleLevel"/>
    <w:tmpl w:val="FEBFE318"/>
    <w:lvl w:ilvl="0" w:tentative="0">
      <w:start w:val="1"/>
      <w:numFmt w:val="decimal"/>
      <w:lvlText w:val="%1."/>
      <w:lvlJc w:val="left"/>
      <w:pPr>
        <w:tabs>
          <w:tab w:val="left" w:pos="312"/>
        </w:tabs>
      </w:pPr>
    </w:lvl>
  </w:abstractNum>
  <w:abstractNum w:abstractNumId="3">
    <w:nsid w:val="57E293BF"/>
    <w:multiLevelType w:val="singleLevel"/>
    <w:tmpl w:val="57E293BF"/>
    <w:lvl w:ilvl="0" w:tentative="0">
      <w:start w:val="1"/>
      <w:numFmt w:val="decimal"/>
      <w:lvlText w:val="%1."/>
      <w:lvlJc w:val="left"/>
      <w:pPr>
        <w:tabs>
          <w:tab w:val="left" w:pos="312"/>
        </w:tabs>
      </w:pPr>
    </w:lvl>
  </w:abstractNum>
  <w:abstractNum w:abstractNumId="4">
    <w:nsid w:val="6DF6998C"/>
    <w:multiLevelType w:val="singleLevel"/>
    <w:tmpl w:val="6DF6998C"/>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jJlNDc4NjQyMDk4NTgwNWY3NDBhOTI0ZmNmNmYifQ=="/>
  </w:docVars>
  <w:rsids>
    <w:rsidRoot w:val="6CCD4196"/>
    <w:rsid w:val="0EC77400"/>
    <w:rsid w:val="14B7032D"/>
    <w:rsid w:val="2FE328E9"/>
    <w:rsid w:val="32A927A4"/>
    <w:rsid w:val="5795265C"/>
    <w:rsid w:val="57AA7879"/>
    <w:rsid w:val="6CCD4196"/>
    <w:rsid w:val="77A7C594"/>
    <w:rsid w:val="7AF52E53"/>
    <w:rsid w:val="7BFAFADC"/>
    <w:rsid w:val="7D4B55E1"/>
    <w:rsid w:val="8EFFD478"/>
    <w:rsid w:val="B2FF4C61"/>
    <w:rsid w:val="EDFE982D"/>
    <w:rsid w:val="F6BB84B6"/>
    <w:rsid w:val="FAFFA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6022</Words>
  <Characters>6527</Characters>
  <Lines>0</Lines>
  <Paragraphs>0</Paragraphs>
  <TotalTime>199</TotalTime>
  <ScaleCrop>false</ScaleCrop>
  <LinksUpToDate>false</LinksUpToDate>
  <CharactersWithSpaces>6603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2021-09-05T00:30:00Z</dcterms:created>
  <dc:creator>Administrator</dc:creator>
  <cp:lastModifiedBy>lenovo</cp:lastModifiedBy>
  <dcterms:modified xsi:type="dcterms:W3CDTF">2023-10-10T13:33:31Z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1C3A83E39E8040DBB039025461499155</vt:lpwstr>
  </property>
</Properties>
</file>