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B2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附件5</w:t>
      </w:r>
    </w:p>
    <w:p w14:paraId="3C97A1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61C4A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B6FFC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2024年度怀化市卫生计生综合监督执法局</w:t>
      </w:r>
    </w:p>
    <w:p w14:paraId="632350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部门（单位）整体支出</w:t>
      </w:r>
    </w:p>
    <w:p w14:paraId="5AD8FC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0790C8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绩效自评报告</w:t>
      </w:r>
    </w:p>
    <w:p w14:paraId="3EB9AE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7445C2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7F33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D2B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373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F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327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BD7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0F9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0A5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2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AAD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3F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774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C39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2E2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85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0C3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单位名称（盖章）：</w:t>
      </w:r>
    </w:p>
    <w:p w14:paraId="5BF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6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一、部门概况</w:t>
      </w:r>
    </w:p>
    <w:p w14:paraId="0B4E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（一）部门（单位）基本情况。</w:t>
      </w:r>
    </w:p>
    <w:p w14:paraId="15C728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机构设置情况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3749B4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设置公共场所卫生监督科、食品安全科、职业防治与放射卫生监督科、医疗机构执业监督科、传染病防治与学校监督科、稽查科、受理发证科、办公室、人事科9个职能科室。</w:t>
      </w:r>
    </w:p>
    <w:p w14:paraId="349E5D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1C5571D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怀化市卫生计生综合监督执法局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参照公务员法管理事业单位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2024年年末在职人员43人，较上年减少2人，主要原因是：调出1人，退休1人；退休人员33人，较上年增加1人，主要原因是：退休1人。</w:t>
      </w:r>
    </w:p>
    <w:p w14:paraId="4A828EE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FE5EC2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卫生计生专项整治和日常监督检查；对公共场所卫生、生活饮用水卫生、学校卫生及消毒产品和涉及饮用水卫生安全产品进行监督检查；对医疗机构、采供血机构及其从业人员的执业活动进行监督检查，查处违法行为；打击非法行医和非法采供血；整顿和规范医疗服务秩序；对医疗卫生机构的放射诊疗、职业健康检查和职业病诊断工作进行监督检查，查处违法行为；对医疗机构、采供血机构、疾病预防控制机构的传染病疫情报告、疫情控制措施、消毒隔离制度执行情况、医疗废物处置情况和菌（毒）种管理情况等进行监督检查，查处违法行为；对母婴保健机构、计划生育技术服务机构服务内容和从业人员的行为规范进行监督，依法打击“两非”行为，做好计划生育违法违纪案件的督查督办；行政区域内卫生计生监督信息的收集、核实和上报；受理对违法行为的投诉、举报；开展卫生计生法律法规宣传教育和执法检查；完成卫生计生行政部门、中医药管理部门交办的食品安全、中医药监督等相关工作及职责范围内的工作。</w:t>
      </w:r>
    </w:p>
    <w:p w14:paraId="4559AC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5D3CB72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年度总目标为：提高政治站位，持续加强政治机关建设；突出工作重点，持续推进卫生监督事业发展；盯紧干部队伍素质建设，提高卫生执法水平。　</w:t>
      </w:r>
    </w:p>
    <w:p w14:paraId="7E4BF4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部门（单位）整体支出规模、使用方向和主要内容、涉及范围等。</w:t>
      </w:r>
    </w:p>
    <w:p w14:paraId="3DA6B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年总支出为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891.54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759.35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万元、项目支出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132.19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资金按照我局收支管理制度进行管理，经领导审批后方可列支。</w:t>
      </w:r>
    </w:p>
    <w:p w14:paraId="1F95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 w14:paraId="6A02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（一）基本支出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07ACCC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5D1143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基本支出主要用于保障局本级各部门、机构正常运转及日常工作任务而发生的支出，包括人员经费、一般商品和服务支出经费。</w:t>
      </w:r>
    </w:p>
    <w:p w14:paraId="09C12C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全年共发生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一般公共预算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756.67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万元，其中：工资福利支出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623.57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万元（基本工资1754358元、津贴补贴1075148元、奖金1486048元、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伙食补助费123090元、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机关事业单位基本养老保险缴费604448.8元、职工基本医疗保险缴费231369.44元、其他社会保障缴费460007.83元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住房公积金501181元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）、商品和服务支出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万元（办公费19842.87元、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电费22940.06元、邮电费4077.87元、差旅费6259元、维修（护）费2250元、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6336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工会经费214839.44元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、福利费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46520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元、公务用车运行维护费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元、其他交通费用341977.67元、其他商品和服务支出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56977.9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元），对个人和家庭补助支出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59.9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万元（生活补助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572546.6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元、奖励金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26480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元）。</w:t>
      </w:r>
    </w:p>
    <w:p w14:paraId="7F43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“三公”经费严格按照预算支出，控制在预算内。在支出管理方面，我们坚决贯彻落实省《党政机关厉行节约反对浪费条例》的精神，严格执行中央“八项规定”。</w:t>
      </w:r>
    </w:p>
    <w:p w14:paraId="6763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（二）项目支出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1324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项目资金（包括财政资金、自筹资金等）安排落实、总投入等情况分析。</w:t>
      </w:r>
    </w:p>
    <w:p w14:paraId="5F6B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2024年项目资金均为财政性资金，全年预算数为192.56万元，全年执行数为132.19万元，执行率为68.65%万元。</w:t>
      </w:r>
    </w:p>
    <w:p w14:paraId="1F94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项目资金（主要指财政资金）实际使用情况分析。</w:t>
      </w:r>
    </w:p>
    <w:p w14:paraId="20AE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全年共发生项目支出132.19万元。</w:t>
      </w:r>
    </w:p>
    <w:p w14:paraId="267ED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（1）医疗服务与保障能力提升。</w:t>
      </w:r>
    </w:p>
    <w:p w14:paraId="04AC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 xml:space="preserve"> 医疗服务与保障能力提升项目资金实际使用34.85万元，其中：专用设备购置34.85万元。</w:t>
      </w:r>
    </w:p>
    <w:p w14:paraId="4D72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（2）创建经费。</w:t>
      </w:r>
    </w:p>
    <w:p w14:paraId="17CA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创建经费项目资金实际使用11.66万元，其中：办公费2.17万元、印刷费0.33万元、邮电费1.57万元、差旅费0.12万元、培训费1.96万元、公务用车运行维护费1.06万元、其他交通费用0.17万元、其他商品和服务支出4.28万元。</w:t>
      </w:r>
    </w:p>
    <w:p w14:paraId="4356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（3）医疗卫生行业综合监督。</w:t>
      </w:r>
    </w:p>
    <w:p w14:paraId="010FE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医疗卫生行业综合监督项目资金实际使用9.22万元，其中：办公费0.22万元、邮电费0.5万元、差旅费4.83万元、培训费2万元、公务用车运行维护费1.58万元、办公设备购置0.09万元。</w:t>
      </w:r>
    </w:p>
    <w:p w14:paraId="5DCC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（4）职业健康监督执法。</w:t>
      </w:r>
    </w:p>
    <w:p w14:paraId="31AB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职业健康监督执法项目资金实际使用3.96万元，其中：办公费0.41万元、邮电费0.3万元、差旅费2.39万元、培训费0.16万元、公务用车运行维护费0.7万元。</w:t>
      </w:r>
    </w:p>
    <w:p w14:paraId="2433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（5）安全饮水监督执法。</w:t>
      </w:r>
    </w:p>
    <w:p w14:paraId="7FF4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安全饮水监督执法项目资金实际使用8.66万元，其中：办公费0.21万元、邮电费0.3万元、差旅费2.75万元、培训费1.35万元、公务用车运行维护费1.71万元、其他交通费用0.33万元、其他商品和服务支出2.01万元。</w:t>
      </w:r>
    </w:p>
    <w:p w14:paraId="0F6A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（6）医疗污水及医疗废物监督执法。</w:t>
      </w:r>
    </w:p>
    <w:p w14:paraId="0081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医疗污水及医疗废物监督执法项目资金实际使用8.23万元，其中：办公费0.02万元、邮电费0.5万元、差旅费3.31万元、培训费3万元、公务用车运行维护费0.9万元、其他商品和服务支出0.5万元。</w:t>
      </w:r>
    </w:p>
    <w:p w14:paraId="2878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（7）“双随机、一公开”监管。</w:t>
      </w:r>
    </w:p>
    <w:p w14:paraId="4209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“双随机、一公开”监管项目资金实际使用3.78万元，其中：办公费0.04万元、邮电费0.3万元、差旅费1.87万元、培训费1.5万元、公务用车运行维护费0.07万元。</w:t>
      </w:r>
    </w:p>
    <w:p w14:paraId="5F3F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（8）卫生监督综合经费。</w:t>
      </w:r>
    </w:p>
    <w:p w14:paraId="5AE3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卫生监督综合经费项目资金实际使用14.83万元，其中：电费0.87万元、物业管理费9.15万元、培训费0.19万元、公务用车运行维护费1万元、其他商品和服务支出3.55万元、办公设备购置费0.07万元。</w:t>
      </w:r>
    </w:p>
    <w:p w14:paraId="0E4D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（9）公共卫生项目。</w:t>
      </w:r>
    </w:p>
    <w:p w14:paraId="0D4F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公共卫生项目项目资金实际使用4万元，其中：差旅费4万元。</w:t>
      </w:r>
    </w:p>
    <w:p w14:paraId="638C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（10）创卫专项经费。</w:t>
      </w:r>
    </w:p>
    <w:p w14:paraId="4C91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创卫专项经费项目资金实际使用33万元，其中：印刷费0.72万元、培训费0.28万元、其他商品和服务支出32万元。</w:t>
      </w:r>
    </w:p>
    <w:p w14:paraId="1D04E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项目资金管理情况分析，主要包括管理制度、办法的制订及执行情况。</w:t>
      </w:r>
    </w:p>
    <w:p w14:paraId="22B33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 xml:space="preserve">    为全面实施预算绩效管理，建立科学、合理的项目支出绩效评价管理体系，提高财政资源配置效率和使用效益，根据《中华人民共和国预算法》、《中共中央国务院关于全面实施预算绩效管理的意见》和《财政部项目支出绩效管理办法》等有关规定，制定了我局的《项目支出绩效管理制度》，在制定绩效目标和进行绩效评价时与项目相关的业务科室充分参与，根据绩效目标的完成情况，逐步完善下一年绩效目标。</w:t>
      </w:r>
    </w:p>
    <w:p w14:paraId="47A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 w14:paraId="7096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（一）项目组织情况分析，主要包括项目招投标、调整、竣工验收等情况。</w:t>
      </w:r>
    </w:p>
    <w:p w14:paraId="60465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我局无需要招投标的项目，非特殊情况项目任务当年不进行调整，项目资金涉及采购验收时，由使用科室人员和办公室人员联合验收。</w:t>
      </w:r>
    </w:p>
    <w:p w14:paraId="4E7AE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项目管理情况分析，主要包括项目管理制度建设、日常检查监督管理等情况。</w:t>
      </w:r>
    </w:p>
    <w:p w14:paraId="37A4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项目管理按照我</w:t>
      </w:r>
      <w:bookmarkStart w:id="0" w:name="_GoBack"/>
      <w:bookmarkEnd w:id="0"/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局《项目支出绩效管理制度》、《财务管理制度》和《政府采购内部控制管理制度》执行，项目运行半年时进行绩效监控，推进项目实施。</w:t>
      </w:r>
    </w:p>
    <w:p w14:paraId="6681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 w14:paraId="6224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（一）资产的配置情况。</w:t>
      </w:r>
    </w:p>
    <w:p w14:paraId="2969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2024年我局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配置固定资产35.01万元（账面原值，下同）。从资产类别分析，配置房屋和构筑物0.00万元，占0.00%；配置设备34.94万元，占99.81%；配置文物和陈列品0.00万元，占0.00%；配置图书和档案0.00万元，占0.00%；配置家具和用具0.07万元，占0.19%；配置特种动植物0.00万元，占0.00%。从配置方式分析，建设0.00万元，占0.00%；新购35.01万元，占100.00%；调拨0.00万元，占0.00%；接受捐赠0.00万元，占0.00%；置换0.00万元，占0.00%；其他方式新增0.00万元，占0.00%。</w:t>
      </w:r>
    </w:p>
    <w:p w14:paraId="1E91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配置无形资产0.00万元。从资产类别分析，配置专利0.00万元，占0.00%；配置非专利技术0.00万元，占0.00%；配置土地使用权0.00万元，占0.00%；配置计算机软件0.00万元，占0.00%。从配置方式分析，建设0.00万元，占0.00%；新购0.00万元，占0.00%；调拨0.00万元，占0.00%；接受捐赠0.00万元，占0.00%；置换0.00万元，占0.00%；其他方式新增0.00万元，占0.00%。</w:t>
      </w:r>
    </w:p>
    <w:p w14:paraId="10FC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配置在建工程0.00万元。</w:t>
      </w:r>
    </w:p>
    <w:p w14:paraId="0240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资产管理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情况。</w:t>
      </w:r>
    </w:p>
    <w:p w14:paraId="4A4E2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完善制度机制。</w:t>
      </w:r>
    </w:p>
    <w:p w14:paraId="79BA9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不断完善资产管理制度体系，包括资产配置、使用、处置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管理，构建了全链条资产管理制度。这有助于提升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管理水平，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高效履职和促进事业发展提供了重要物质保障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BBF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优化资产结构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8AC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对资产进行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定期清查，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摸清家底，确保资产安全完整。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根据业务发展需要，调整固定资产结构，淘汰落后、过剩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的设备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，购置先进、适用资产。通过资产整合，实现了资产优化配置，提高了资产整体效能。</w:t>
      </w:r>
    </w:p>
    <w:p w14:paraId="1D73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降低了资产成本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DD1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过竞价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方式购置资产，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吸引了多家供应商参与竞争，形成了买方市场。供应商为了赢得合同，通常会提供较为优惠的价格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不仅节省了资金，还提高了资产管理水平，为单位的健康发展提供了有力保障。同时，还有助于促进公平竞争，维护市场秩序，实现社会资源的优化配置。</w:t>
      </w:r>
    </w:p>
    <w:p w14:paraId="758C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（三）资产处置情况。</w:t>
      </w:r>
    </w:p>
    <w:p w14:paraId="6588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处置资产21.63万元。从资产类别分析,流动资产0.00万元，占0.00%；固定资产21.63万元，占100.00%；无形资产0.00万元，占0.00%；长期投资0.00万元，占0.00%；在建工程0.00万元，占0.00%；其他资产0.00万元，占0.00%。从处置形式上分析，转让0.00万元，占0.00%；无偿划转0.00万元，占0.00%；对外捐赠0.00万元，占0.00%；置换0.00万元，占0.00%；报废21.63万元，占100.00%；损失核销0.00万元，占0.00%，其他方式0.00万元，占0.00%。</w:t>
      </w:r>
    </w:p>
    <w:p w14:paraId="7C2A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五、政府性基金预算支出情况</w:t>
      </w:r>
    </w:p>
    <w:p w14:paraId="21D9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无。</w:t>
      </w:r>
    </w:p>
    <w:p w14:paraId="3488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六、国有资本经营预算支出情况</w:t>
      </w:r>
    </w:p>
    <w:p w14:paraId="0506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无。</w:t>
      </w:r>
    </w:p>
    <w:p w14:paraId="3844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七、社会保险基金预算支出情况</w:t>
      </w:r>
    </w:p>
    <w:p w14:paraId="58F5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无。</w:t>
      </w:r>
    </w:p>
    <w:p w14:paraId="387A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八、部门整体支出绩效情况</w:t>
      </w:r>
    </w:p>
    <w:p w14:paraId="5E57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（一）综合评价结论。</w:t>
      </w:r>
    </w:p>
    <w:p w14:paraId="726691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综合评价自评得分99.29分，详见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“整体支出绩效自评表”。</w:t>
      </w:r>
    </w:p>
    <w:p w14:paraId="4AA2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（二）“四本预算”支出的绩效目标完成情况。</w:t>
      </w:r>
    </w:p>
    <w:p w14:paraId="7C11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2024年我局整体收入为959.75万元，其中：一般公共预算支出955.17万元、其他资金4.58万元；整体支出为891.54万元，其中：基本支出759.35万元、项目支出132.19万元。完成了年初制定的绩效目标。</w:t>
      </w:r>
    </w:p>
    <w:p w14:paraId="3EB23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1.运行成本。</w:t>
      </w:r>
    </w:p>
    <w:p w14:paraId="04B2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（1）成本指标-经济成本指标-整体成本控制</w:t>
      </w:r>
    </w:p>
    <w:p w14:paraId="1385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年度指标值：≤833.71万元（实际成本控制在预算指标内计20分，每超出成本10%扣0.2分，扣完为止。</w:t>
      </w:r>
    </w:p>
    <w:p w14:paraId="1526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实际完成值：891.54万元。</w:t>
      </w:r>
    </w:p>
    <w:p w14:paraId="30AD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得分20分。</w:t>
      </w:r>
    </w:p>
    <w:p w14:paraId="35757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（2）成本指标-社会成本指标、成本指标-生态成本指标不适用。</w:t>
      </w:r>
    </w:p>
    <w:p w14:paraId="02D0C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2.管理效率。</w:t>
      </w:r>
    </w:p>
    <w:p w14:paraId="2436A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预算执行率年度指标值为100%，实际执行率为92.89%。</w:t>
      </w:r>
    </w:p>
    <w:p w14:paraId="3ABE8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3.履职效能。</w:t>
      </w:r>
    </w:p>
    <w:p w14:paraId="1BB5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年度总体目标是：提高政治站位，持续加强政治机关建设；       突出工作重点，持续推进卫生监督事业发展；盯紧干部队伍素质建设，提高卫生执法水平。</w:t>
      </w:r>
    </w:p>
    <w:p w14:paraId="5F9DF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实际完成情况：以党的建设为统领，在激发干部动能上出实效；有序推进医疗卫生监督、公共场所卫生监督、生活饮用水与学校卫生监督、传染病防治卫生监督以及职业与放射卫生监督等“六大”卫生监督工作，全面推行综合监督执法模式改革，突出科室整合、市县联合、专项和日常监督结合的沉浸式监督模式，做到了进一次门，办所有事，减少监督频次，减轻服务对象迎检负担；在日常工作业务培训会上，将普法宣传、法制培训列入必须的授课内容，不断强化广大卫生监督执法员依法行政理念。</w:t>
      </w:r>
    </w:p>
    <w:p w14:paraId="4C593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（1）产出指标-数量指标-重点工作完成数。</w:t>
      </w:r>
    </w:p>
    <w:p w14:paraId="77A2E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≧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5次，实际完成值：5次,得分15分。我局</w:t>
      </w:r>
      <w:r>
        <w:rPr>
          <w:rFonts w:hint="eastAsia" w:ascii="仿宋" w:hAnsi="仿宋" w:eastAsia="仿宋" w:cs="仿宋"/>
          <w:sz w:val="32"/>
          <w:szCs w:val="32"/>
        </w:rPr>
        <w:t>先后开展了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医疗美容专项整治、打击非法应用人类辅助生殖技术专项活动、精麻药品监督专项行动、职业卫生计划监督执法、</w:t>
      </w:r>
      <w:r>
        <w:rPr>
          <w:rFonts w:hint="eastAsia" w:ascii="仿宋" w:hAnsi="仿宋" w:eastAsia="仿宋" w:cs="仿宋"/>
          <w:sz w:val="32"/>
          <w:szCs w:val="32"/>
        </w:rPr>
        <w:t>农村生活饮用水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等5次专项</w:t>
      </w:r>
      <w:r>
        <w:rPr>
          <w:rFonts w:hint="eastAsia" w:ascii="仿宋" w:hAnsi="仿宋" w:eastAsia="仿宋" w:cs="仿宋"/>
          <w:sz w:val="32"/>
          <w:szCs w:val="32"/>
        </w:rPr>
        <w:t>执法行动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全力护卫群众健康权益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0F9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（2）产出指标-质量指标-达标完成率。</w:t>
      </w:r>
    </w:p>
    <w:p w14:paraId="2CA52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年度指标值：=100%，实际完成值：100%，得分15分。</w:t>
      </w:r>
    </w:p>
    <w:p w14:paraId="3F9D0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（3）产出指标-时效指标-及时完成情况。</w:t>
      </w:r>
    </w:p>
    <w:p w14:paraId="536A4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年度指标值：2024年12月31日之前，实际完成值：2024年12月31日之前，得分10分。</w:t>
      </w:r>
    </w:p>
    <w:p w14:paraId="3712B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4.社会效应。</w:t>
      </w:r>
    </w:p>
    <w:p w14:paraId="16A0A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（1）效益指标-经济效益指标-减少突发事件对经济的影响。</w:t>
      </w:r>
    </w:p>
    <w:p w14:paraId="003AC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年度指标值：效果明显，实际完成值：效果明显，得分7分。</w:t>
      </w:r>
    </w:p>
    <w:p w14:paraId="6B6FFD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（2）效益指标-社会效益指标-保障和提高公众的健康水平。</w:t>
      </w:r>
    </w:p>
    <w:p w14:paraId="5824E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年度指标值：效果明显，实际完成值：效果明显，得分7分。</w:t>
      </w:r>
    </w:p>
    <w:p w14:paraId="0C271D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（3）效益指标-生态效益指标不适用。</w:t>
      </w:r>
    </w:p>
    <w:p w14:paraId="67F3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5.可持续发展能力。</w:t>
      </w:r>
    </w:p>
    <w:p w14:paraId="0057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效益指标-可持续影响指标-监管服务对象健康安全意识逐步得到提高。</w:t>
      </w:r>
    </w:p>
    <w:p w14:paraId="157B4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年度指标值：效果明显，实际完成值：效果明显，得分6分。</w:t>
      </w:r>
    </w:p>
    <w:p w14:paraId="5429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6.服务对象满意度。</w:t>
      </w:r>
    </w:p>
    <w:p w14:paraId="468F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满意度指标-服务对象满意度指标-社会公众满意度。</w:t>
      </w:r>
    </w:p>
    <w:p w14:paraId="5AFB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年度指标值：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≧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95%，实际完成值：95%，得分10分。</w:t>
      </w:r>
    </w:p>
    <w:p w14:paraId="7943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 w14:paraId="2EAE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（一）整体支出预算执行率92.89%。</w:t>
      </w:r>
    </w:p>
    <w:p w14:paraId="01FC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产生偏差的原因是：创卫专项经费、职业健康监督执法等项目预算执行率较低。</w:t>
      </w:r>
    </w:p>
    <w:p w14:paraId="0F1A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（二）创卫专项经费预算执行率35.57%。</w:t>
      </w:r>
    </w:p>
    <w:p w14:paraId="2036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产生偏差的原因是：消毒设施设备改造家数预计100家，实际只有45家申请改造；通过电子卖场竞价后费用远低于预算。</w:t>
      </w:r>
    </w:p>
    <w:p w14:paraId="1CED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（三）医疗服务与保障能力提升预算执行率99.57%。</w:t>
      </w:r>
    </w:p>
    <w:p w14:paraId="63F1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产生偏差的原因是：采取竞价的方式采购卫生监督设施设备，竞价后成交的价格与预算存在一定偏差。</w:t>
      </w:r>
    </w:p>
    <w:p w14:paraId="244F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（四）医疗卫生行业综合监督预算执行率99.89%。</w:t>
      </w:r>
    </w:p>
    <w:p w14:paraId="0F7B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产生偏差的原因是：采购碎纸机，预算是1000元，实际采购价格是850元。</w:t>
      </w:r>
    </w:p>
    <w:p w14:paraId="1A21E9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职业健康监督执法。</w:t>
      </w:r>
    </w:p>
    <w:p w14:paraId="2398A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1.执行率90.21%，产生偏差的原因是：与其他科室联合培训，节约了培训费用。</w:t>
      </w:r>
    </w:p>
    <w:p w14:paraId="77F14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.产出指标-数量指标-对存在严重违法行为的单位立案处罚行政处罚案件，年度指标值：≧3件，实际完成值：0件，产生偏差的原因是：我局从事职业健康监督执法的人员严重不足，加上当前优化营商环境政策和柔性执法的相关要求。</w:t>
      </w:r>
    </w:p>
    <w:p w14:paraId="1B0D2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3.产出指标-质量指标-督促各县区立案，年度指标值：≧2件，实际完成值：3件，产生偏差的原因是：各县市区加大了职业健康监督力度。</w:t>
      </w:r>
    </w:p>
    <w:p w14:paraId="4F0F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十、下一步改进措施</w:t>
      </w:r>
    </w:p>
    <w:p w14:paraId="2E3B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完善预算编制口径；二是参考同类项目优秀案例，对比自身指标设置的差距，避免指标过多过杂，聚集关键指标，必要时引入第三方机构评估，避免主观性偏差；三是复盘预算编制过程，检查是否存在高估冒算、需求预估偏差等，分析执行阶段是否因项目规范缩减，采购成本降低，加强历史数据积累和分析，参考同类项目实际成本，提高预算编制的准确性。</w:t>
      </w:r>
    </w:p>
    <w:p w14:paraId="6A2E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 w14:paraId="5E86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将自评结果应用到下一年绩效目标制定中，并且按照市财政的要求进行公开。</w:t>
      </w:r>
    </w:p>
    <w:p w14:paraId="0D94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十二、其他需要说明的情况</w:t>
      </w:r>
    </w:p>
    <w:p w14:paraId="0B25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整体支出报告需要以下附件：</w:t>
      </w:r>
    </w:p>
    <w:p w14:paraId="28AC6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1.部门整体支出绩效评价基础数据表</w:t>
      </w:r>
    </w:p>
    <w:p w14:paraId="54EE2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2.部门整体支出绩效自评表</w:t>
      </w:r>
    </w:p>
    <w:p w14:paraId="70DD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3.项目支出绩效自评表（每个一级项目支出一张表）</w:t>
      </w:r>
    </w:p>
    <w:p w14:paraId="2708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无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政府性基金预算、国有资本经营预算和社会保险基金预算支出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3B83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E202E4-09D9-4260-AA04-A90D841865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341222-84EF-4140-9030-A05AD7356A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33F187-8397-429E-9514-B4EF7FAD16D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945FEA4-12E4-4672-9ADE-23A1AC8845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BF67C044-6D6D-4355-9F88-15DCB19822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8CA9073-0806-44C0-A14A-EB177750AD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418FA7B-0D2D-48C9-8DE6-CF2361CD95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9F91CCB-E809-4D58-A641-AE0DBE03D8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C5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C83DA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C83DA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C1CD6"/>
    <w:multiLevelType w:val="singleLevel"/>
    <w:tmpl w:val="BE6C1C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B44F6A"/>
    <w:multiLevelType w:val="singleLevel"/>
    <w:tmpl w:val="D3B44F6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34C1D5D"/>
    <w:rsid w:val="055C01CC"/>
    <w:rsid w:val="0595609D"/>
    <w:rsid w:val="05E95AA6"/>
    <w:rsid w:val="0C180A78"/>
    <w:rsid w:val="0D276746"/>
    <w:rsid w:val="0D464D9C"/>
    <w:rsid w:val="0DD52794"/>
    <w:rsid w:val="0E0B1B42"/>
    <w:rsid w:val="0E956870"/>
    <w:rsid w:val="0EBB5316"/>
    <w:rsid w:val="1017657C"/>
    <w:rsid w:val="10C666A5"/>
    <w:rsid w:val="10D34B99"/>
    <w:rsid w:val="1223366A"/>
    <w:rsid w:val="125215CE"/>
    <w:rsid w:val="143877FD"/>
    <w:rsid w:val="159C0344"/>
    <w:rsid w:val="15A6719A"/>
    <w:rsid w:val="161517B0"/>
    <w:rsid w:val="17057D07"/>
    <w:rsid w:val="1706617A"/>
    <w:rsid w:val="17FCFFF6"/>
    <w:rsid w:val="184719C8"/>
    <w:rsid w:val="19E805B2"/>
    <w:rsid w:val="1CBF872E"/>
    <w:rsid w:val="1F394761"/>
    <w:rsid w:val="22FE234B"/>
    <w:rsid w:val="24885842"/>
    <w:rsid w:val="24AF7273"/>
    <w:rsid w:val="25A62424"/>
    <w:rsid w:val="26B60E7B"/>
    <w:rsid w:val="277E6F02"/>
    <w:rsid w:val="28726D71"/>
    <w:rsid w:val="288B65D2"/>
    <w:rsid w:val="29990575"/>
    <w:rsid w:val="2AF6742D"/>
    <w:rsid w:val="2AFC2AE6"/>
    <w:rsid w:val="2C071743"/>
    <w:rsid w:val="2FD61B58"/>
    <w:rsid w:val="30B4367E"/>
    <w:rsid w:val="312A2265"/>
    <w:rsid w:val="3199435E"/>
    <w:rsid w:val="31FF7708"/>
    <w:rsid w:val="32236577"/>
    <w:rsid w:val="333F3E43"/>
    <w:rsid w:val="346F60D7"/>
    <w:rsid w:val="34780B0C"/>
    <w:rsid w:val="36D733FE"/>
    <w:rsid w:val="36FC0F5D"/>
    <w:rsid w:val="375773F8"/>
    <w:rsid w:val="393E32BB"/>
    <w:rsid w:val="3AE01ADD"/>
    <w:rsid w:val="3C447E49"/>
    <w:rsid w:val="3EFDDE87"/>
    <w:rsid w:val="41006A35"/>
    <w:rsid w:val="415E19AD"/>
    <w:rsid w:val="419B2857"/>
    <w:rsid w:val="41D71DA8"/>
    <w:rsid w:val="42470693"/>
    <w:rsid w:val="42755200"/>
    <w:rsid w:val="43370708"/>
    <w:rsid w:val="4568104C"/>
    <w:rsid w:val="49747FC0"/>
    <w:rsid w:val="4B321124"/>
    <w:rsid w:val="4C6205A3"/>
    <w:rsid w:val="4C6611ED"/>
    <w:rsid w:val="4D5D3BD3"/>
    <w:rsid w:val="4D783DF7"/>
    <w:rsid w:val="4EB7F892"/>
    <w:rsid w:val="4ED473D9"/>
    <w:rsid w:val="552A0475"/>
    <w:rsid w:val="578D10CB"/>
    <w:rsid w:val="5A5915AC"/>
    <w:rsid w:val="5ABBC979"/>
    <w:rsid w:val="5BFC7B3B"/>
    <w:rsid w:val="5E282CCF"/>
    <w:rsid w:val="5E77C7C6"/>
    <w:rsid w:val="5F667F53"/>
    <w:rsid w:val="5FFFAAE0"/>
    <w:rsid w:val="60AA20C1"/>
    <w:rsid w:val="63780255"/>
    <w:rsid w:val="64AA08E2"/>
    <w:rsid w:val="66347B2F"/>
    <w:rsid w:val="667FD72C"/>
    <w:rsid w:val="67357A7D"/>
    <w:rsid w:val="6796514D"/>
    <w:rsid w:val="68A044D6"/>
    <w:rsid w:val="692C5D69"/>
    <w:rsid w:val="69F341EB"/>
    <w:rsid w:val="6A12486A"/>
    <w:rsid w:val="6ABE64BE"/>
    <w:rsid w:val="6B5F16C5"/>
    <w:rsid w:val="6C5F1FB2"/>
    <w:rsid w:val="6CA67BE1"/>
    <w:rsid w:val="6CF3EA5A"/>
    <w:rsid w:val="6E524719"/>
    <w:rsid w:val="6ED70525"/>
    <w:rsid w:val="735F0AE9"/>
    <w:rsid w:val="7535244A"/>
    <w:rsid w:val="753C4E9B"/>
    <w:rsid w:val="75B54CE0"/>
    <w:rsid w:val="769B7804"/>
    <w:rsid w:val="76CD220E"/>
    <w:rsid w:val="777C610E"/>
    <w:rsid w:val="779FCBF0"/>
    <w:rsid w:val="77F7E21B"/>
    <w:rsid w:val="781113A7"/>
    <w:rsid w:val="791E6510"/>
    <w:rsid w:val="79E2F975"/>
    <w:rsid w:val="7A456C8B"/>
    <w:rsid w:val="7AE55D78"/>
    <w:rsid w:val="7B3BDBF2"/>
    <w:rsid w:val="7C8D4A41"/>
    <w:rsid w:val="7EBDCBBF"/>
    <w:rsid w:val="7EC74CC1"/>
    <w:rsid w:val="7EE6408F"/>
    <w:rsid w:val="7F3EB32E"/>
    <w:rsid w:val="7F5F3F3B"/>
    <w:rsid w:val="7F5FE5E8"/>
    <w:rsid w:val="7F78365F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5388</Words>
  <Characters>6155</Characters>
  <Lines>0</Lines>
  <Paragraphs>0</Paragraphs>
  <TotalTime>11</TotalTime>
  <ScaleCrop>false</ScaleCrop>
  <LinksUpToDate>false</LinksUpToDate>
  <CharactersWithSpaces>6204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苓萱</cp:lastModifiedBy>
  <cp:lastPrinted>2025-04-10T10:25:00Z</cp:lastPrinted>
  <dcterms:modified xsi:type="dcterms:W3CDTF">2025-06-24T02:38:14Z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eyJoZGlkIjoiZjNlM2Y2YWE2NTE2MGRiNjk3MjIzM2MyYmY3MDUyMWIiLCJ1c2VySWQiOiIyMzQxMDc1MTEifQ==</vt:lpwstr>
  </property>
</Properties>
</file>