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pStyle w:val="2"/>
        <w:keepNext w:val="0"/>
        <w:keepLines w:val="0"/>
        <w:pageBreakBefore w:val="0"/>
        <w:widowControl/>
        <w:suppressLineNumbers w:val="0"/>
        <w:pBdr>
          <w:top w:val="none" w:color="auto" w:sz="0" w:space="0"/>
          <w:left w:val="none" w:color="auto" w:sz="0" w:space="0"/>
          <w:bottom w:val="none" w:color="auto" w:sz="0" w:space="0"/>
          <w:right w:val="none" w:color="auto" w:sz="0" w:space="0"/>
        </w:pBdr>
        <w:shd w:val="clear" w:fill="FFFFFF"/>
        <w:kinsoku/>
        <w:wordWrap/>
        <w:overflowPunct/>
        <w:topLinePunct w:val="0"/>
        <w:autoSpaceDE/>
        <w:autoSpaceDN/>
        <w:bidi w:val="0"/>
        <w:adjustRightInd/>
        <w:snapToGrid/>
        <w:spacing w:before="0" w:beforeAutospacing="0" w:after="0" w:afterAutospacing="0" w:line="480" w:lineRule="exact"/>
        <w:ind w:left="0" w:right="0" w:firstLine="0"/>
        <w:jc w:val="both"/>
        <w:textAlignment w:val="auto"/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</w:pPr>
      <w:r>
        <w:rPr>
          <w:rFonts w:hint="default" w:ascii="方正小标宋_GBK" w:hAnsi="方正小标宋_GBK" w:eastAsia="方正小标宋_GBK" w:cs="方正小标宋_GBK"/>
          <w:i w:val="0"/>
          <w:iCs w:val="0"/>
          <w:caps w:val="0"/>
          <w:color w:val="000000"/>
          <w:spacing w:val="0"/>
          <w:sz w:val="24"/>
          <w:szCs w:val="24"/>
          <w:shd w:val="clear" w:fill="FFFFFF"/>
          <w:lang w:val="en-US" w:eastAsia="zh-CN"/>
        </w:rPr>
        <w:t>附件2</w:t>
      </w:r>
    </w:p>
    <w:p>
      <w:pPr>
        <w:keepNext w:val="0"/>
        <w:keepLines w:val="0"/>
        <w:pageBreakBefore w:val="0"/>
        <w:widowControl/>
        <w:tabs>
          <w:tab w:val="left" w:pos="2555"/>
          <w:tab w:val="left" w:pos="3611"/>
          <w:tab w:val="center" w:pos="4365"/>
          <w:tab w:val="left" w:pos="4791"/>
          <w:tab w:val="left" w:pos="5951"/>
          <w:tab w:val="left" w:pos="7071"/>
          <w:tab w:val="left" w:pos="8191"/>
          <w:tab w:val="left" w:pos="9311"/>
        </w:tabs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91"/>
        <w:jc w:val="left"/>
        <w:textAlignment w:val="auto"/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</w:pPr>
      <w:r>
        <w:rPr>
          <w:rFonts w:hint="eastAsia" w:ascii="方正小标宋简体" w:hAnsi="方正小标宋简体" w:eastAsia="方正小标宋简体" w:cs="方正小标宋简体"/>
          <w:color w:val="000000"/>
          <w:kern w:val="0"/>
          <w:sz w:val="36"/>
          <w:szCs w:val="36"/>
          <w:lang w:val="en-US" w:eastAsia="zh-CN"/>
        </w:rPr>
        <w:tab/>
      </w:r>
      <w:r>
        <w:rPr>
          <w:rFonts w:hint="eastAsia" w:ascii="仿宋_GB2312" w:hAnsi="仿宋_GB2312" w:eastAsia="仿宋_GB2312" w:cs="仿宋_GB2312"/>
          <w:color w:val="000000"/>
          <w:kern w:val="0"/>
          <w:sz w:val="36"/>
          <w:szCs w:val="36"/>
          <w:lang w:val="en-US" w:eastAsia="zh-CN"/>
        </w:rPr>
        <w:t>部门整体支出绩效自评表</w:t>
      </w:r>
    </w:p>
    <w:tbl>
      <w:tblPr>
        <w:tblStyle w:val="3"/>
        <w:tblW w:w="9262" w:type="dxa"/>
        <w:jc w:val="center"/>
        <w:tblBorders>
          <w:top w:val="single" w:color="auto" w:sz="4" w:space="0"/>
          <w:left w:val="single" w:color="auto" w:sz="4" w:space="0"/>
          <w:bottom w:val="single" w:color="auto" w:sz="4" w:space="0"/>
          <w:right w:val="single" w:color="auto" w:sz="4" w:space="0"/>
          <w:insideH w:val="single" w:color="auto" w:sz="4" w:space="0"/>
          <w:insideV w:val="single" w:color="auto" w:sz="4" w:space="0"/>
        </w:tblBorders>
        <w:tblLayout w:type="autofit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083"/>
        <w:gridCol w:w="1058"/>
        <w:gridCol w:w="1018"/>
        <w:gridCol w:w="989"/>
        <w:gridCol w:w="80"/>
        <w:gridCol w:w="1161"/>
        <w:gridCol w:w="1106"/>
        <w:gridCol w:w="684"/>
        <w:gridCol w:w="1006"/>
        <w:gridCol w:w="1077"/>
      </w:tblGrid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7" w:hRule="atLeast"/>
          <w:jc w:val="center"/>
        </w:trPr>
        <w:tc>
          <w:tcPr>
            <w:tcW w:w="1083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预算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部门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名称</w:t>
            </w:r>
          </w:p>
        </w:tc>
        <w:tc>
          <w:tcPr>
            <w:tcW w:w="8179" w:type="dxa"/>
            <w:gridSpan w:val="9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pacing w:val="-2"/>
                <w:sz w:val="20"/>
                <w:szCs w:val="20"/>
                <w:lang w:eastAsia="zh-CN"/>
              </w:rPr>
              <w:t>怀化市人力资源和社会保障局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605" w:hRule="atLeast"/>
          <w:jc w:val="center"/>
        </w:trPr>
        <w:tc>
          <w:tcPr>
            <w:tcW w:w="10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年度预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算申请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br w:type="textWrapping"/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（万元）</w:t>
            </w:r>
          </w:p>
        </w:tc>
        <w:tc>
          <w:tcPr>
            <w:tcW w:w="20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</w:p>
        </w:tc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年初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预算数</w:t>
            </w:r>
          </w:p>
        </w:tc>
        <w:tc>
          <w:tcPr>
            <w:tcW w:w="12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全年预算数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全年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执行数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分值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执行率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得分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2076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年度资金总额</w:t>
            </w:r>
          </w:p>
        </w:tc>
        <w:tc>
          <w:tcPr>
            <w:tcW w:w="989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2073.14</w:t>
            </w:r>
          </w:p>
        </w:tc>
        <w:tc>
          <w:tcPr>
            <w:tcW w:w="1241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2310.81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2124.26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10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102.47%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10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按收入性质分：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按支出性质分：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 xml:space="preserve">  其中：  一般公共预算：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2102.20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其中：基本支出：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1551.41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800" w:firstLineChars="4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政府性基金拨款：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600" w:firstLineChars="3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项目支出：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572.85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纳入专户管理的非税收入拨款：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7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1400" w:firstLineChars="7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其他资金：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22.07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0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年度总体目标</w:t>
            </w:r>
          </w:p>
        </w:tc>
        <w:tc>
          <w:tcPr>
            <w:tcW w:w="430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预期目标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实际完成情况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5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4306" w:type="dxa"/>
            <w:gridSpan w:val="5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就业形势总体平稳，社会保障工作稳步推进，人事人才服务不断提升，和谐劳动关系机制逐步健全，省市重点民生实事全面完成，人社服务不断提质。　　</w:t>
            </w:r>
          </w:p>
        </w:tc>
        <w:tc>
          <w:tcPr>
            <w:tcW w:w="3873" w:type="dxa"/>
            <w:gridSpan w:val="4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8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紧跟中心大局，聚焦产业抓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就业。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就业规模持续扩大，失业水平有效控制。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新增就业岗位4.45万个，实现城镇新增就业3.94万人，</w:t>
            </w:r>
            <w:r>
              <w:rPr>
                <w:rFonts w:hint="eastAsia" w:ascii="仿宋_GB2312" w:hAnsi="仿宋_GB2312" w:eastAsia="仿宋_GB2312" w:cs="仿宋_GB2312"/>
                <w:strike w:val="0"/>
                <w:dstrike w:val="0"/>
                <w:snapToGrid w:val="0"/>
                <w:color w:val="000000" w:themeColor="text1"/>
                <w:spacing w:val="-6"/>
                <w:kern w:val="0"/>
                <w:sz w:val="22"/>
                <w:szCs w:val="22"/>
                <w:u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农村劳动力转移就业4.05万人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重点群体就业稳定，帮扶成效持续巩固。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企业用工服务不断优化，招聘活动覆盖广泛。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2025年全市举办线上线下招聘会970余场，帮助企业解决用工需求2.2万人。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四是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就业政策协同发力，助企纾困效果显著。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打造“嗨·小心点”工伤预防主题宣传品牌，开展精准式工伤预防宣传和精准化工伤预防培训。2025年市本级工伤认定案件同比减少10%，工伤治理成效明显。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8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紧贴群众期盼，增进福祉惠民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生。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一是人社领域群众身边不正之风和腐败问题集中整治工作持续推动。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持续健全人才培养、使用、评价与激励机制。技能人才培养力度加大，围绕“5+10”产业链需求，推广“四单”培训与企业新型学徒制，全年开展职业技能培训1.58万人，累计发放培训补贴2545.29万元。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是社会保障体系保持稳定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三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社保待遇水平稳步提高。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四是工伤预防质效有效提升。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五是重点民生实事统筹推进。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8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紧抓发展所需，做强人力优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服务。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一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人才培养体系更加健全。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专业技术人才持续增加，完善职称评价制度，强化职称评审监管，全市申报职称评审4840人，职称考试7434人，职称认定1702人。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二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人才引进渠道持续拓宽。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深入实施“五溪人才计划”，引进各类人才84名。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三是产教融合平台建设不断建强。四是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人力资源服务能级提升。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8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紧扣战略全局，深化改革增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动能。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一是深入推进就业一致性评价机制改革。二是全面推进社保领域改革。三是有效推动薪酬体系改革。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1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80" w:leftChars="0" w:firstLine="0" w:firstLine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紧盯重点领域，防范风险守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底线</w:t>
            </w:r>
            <w:r>
              <w:rPr>
                <w:rFonts w:hint="eastAsia" w:ascii="仿宋_GB2312" w:hAnsi="仿宋_GB2312" w:eastAsia="仿宋_GB2312" w:cs="仿宋_GB2312"/>
                <w:b/>
                <w:bCs/>
                <w:color w:val="000000" w:themeColor="text1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一是根治欠薪成效显著。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持续高压治理欠薪问题，立案受理拖欠农民工工资举报投诉案件51起，已办结51起（涉及农民工736人，涉及金额778.58万元）；协调农民工工资欠薪案件444件，涉及人数6076人，涉及金额9197.42万元，结案率100%。二是争议调解仲裁提质增效。劳动人事争议处理能力全面提升，全市各级劳动人事争议仲裁机构共受理案件1080件，涉及劳动者人数2102人，涉及金额5759.38万元，结案率达98.3%，调解成功率达80.2%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三是基金监管不断强化。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建立“一单四制”工作制度，深入实施“411”、高频自查和第三方审计监管机制，核查疑点数据6110条，追回资金222.84万元。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四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是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snapToGrid w:val="0"/>
                <w:color w:val="000000" w:themeColor="text1"/>
                <w:spacing w:val="0"/>
                <w:kern w:val="0"/>
                <w:sz w:val="22"/>
                <w:szCs w:val="22"/>
                <w:lang w:eastAsia="zh-CN"/>
                <w14:textFill>
                  <w14:solidFill>
                    <w14:schemeClr w14:val="tx1"/>
                  </w14:solidFill>
                </w14:textFill>
              </w:rPr>
              <w:t>人事管理规范有序。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事业单位招聘规范开展，2025年全市共招聘1053人。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-6"/>
                <w:kern w:val="0"/>
                <w:sz w:val="22"/>
                <w:szCs w:val="22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五是信访源头治理深入推进。</w:t>
            </w: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2"/>
                <w:szCs w:val="22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市县两级人社局长每月集中开门接访，信访办理情况每周通报、讲评，信访接待室每日专班值守，妥善化解各类复杂信访问题百余起。</w:t>
            </w:r>
          </w:p>
          <w:p>
            <w:pPr>
              <w:keepNext w:val="0"/>
              <w:keepLines w:val="0"/>
              <w:pageBreakBefore w:val="0"/>
              <w:widowControl/>
              <w:numPr>
                <w:ilvl w:val="0"/>
                <w:numId w:val="0"/>
              </w:numPr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left="180" w:leftChars="0"/>
              <w:jc w:val="both"/>
              <w:textAlignment w:val="auto"/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18"/>
                <w:szCs w:val="18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595" w:hRule="atLeast"/>
          <w:jc w:val="center"/>
        </w:trPr>
        <w:tc>
          <w:tcPr>
            <w:tcW w:w="1083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绩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标</w:t>
            </w:r>
          </w:p>
        </w:tc>
        <w:tc>
          <w:tcPr>
            <w:tcW w:w="1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一级指标</w:t>
            </w: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二级指标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三级指标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年度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指标值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实际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完成值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分值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得分</w:t>
            </w:r>
          </w:p>
        </w:tc>
        <w:tc>
          <w:tcPr>
            <w:tcW w:w="1077" w:type="dxa"/>
            <w:noWrap w:val="0"/>
            <w:vAlign w:val="top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偏差原因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分析及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改进措施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9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成本指标</w:t>
            </w:r>
          </w:p>
        </w:tc>
        <w:tc>
          <w:tcPr>
            <w:tcW w:w="10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经济成本指标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基本支出控制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≤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1407.31</w:t>
            </w:r>
            <w:r>
              <w:rPr>
                <w:rFonts w:hint="eastAsia" w:ascii="仿宋_GB2312" w:hAnsi="仿宋_GB2312" w:eastAsia="仿宋_GB2312" w:cs="仿宋_GB2312"/>
              </w:rPr>
              <w:t>万元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1551.41</w:t>
            </w:r>
            <w:r>
              <w:rPr>
                <w:rFonts w:hint="eastAsia" w:ascii="仿宋_GB2312" w:hAnsi="仿宋_GB2312" w:eastAsia="仿宋_GB2312" w:cs="仿宋_GB2312"/>
              </w:rPr>
              <w:t>万元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8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37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项目支出控制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≤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665.83</w:t>
            </w:r>
            <w:r>
              <w:rPr>
                <w:rFonts w:hint="eastAsia" w:ascii="仿宋_GB2312" w:hAnsi="仿宋_GB2312" w:eastAsia="仿宋_GB2312" w:cs="仿宋_GB2312"/>
              </w:rPr>
              <w:t>万元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572.85</w:t>
            </w:r>
            <w:r>
              <w:rPr>
                <w:rFonts w:hint="eastAsia" w:ascii="仿宋_GB2312" w:hAnsi="仿宋_GB2312" w:eastAsia="仿宋_GB2312" w:cs="仿宋_GB2312"/>
              </w:rPr>
              <w:t>万元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/>
              </w:rPr>
            </w:pP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10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社会成本指标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减少群众办事时间成本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100%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100%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5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lang w:eastAsia="zh-CN"/>
              </w:rPr>
              <w:t>5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eastAsia="zh-CN"/>
              </w:rPr>
              <w:t>生态成本指标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绿色办公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100%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100%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产出指标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数量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城镇新增就业人数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3.5万人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3.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94</w:t>
            </w:r>
            <w:r>
              <w:rPr>
                <w:rFonts w:hint="eastAsia" w:ascii="仿宋_GB2312" w:hAnsi="仿宋_GB2312" w:eastAsia="仿宋_GB2312" w:cs="仿宋_GB2312"/>
              </w:rPr>
              <w:t>万人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ind w:firstLine="200" w:firstLineChars="100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14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基金总收入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1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75</w:t>
            </w:r>
            <w:r>
              <w:rPr>
                <w:rFonts w:hint="eastAsia" w:ascii="仿宋_GB2312" w:hAnsi="仿宋_GB2312" w:eastAsia="仿宋_GB2312" w:cs="仿宋_GB2312"/>
              </w:rPr>
              <w:t>亿元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b w:val="0"/>
                <w:bCs w:val="0"/>
                <w:color w:val="000000" w:themeColor="text1"/>
                <w:spacing w:val="0"/>
                <w:kern w:val="0"/>
                <w:sz w:val="20"/>
                <w:szCs w:val="20"/>
                <w:lang w:val="en-US" w:eastAsia="zh-CN" w:bidi="ar-SA"/>
                <w14:textFill>
                  <w14:solidFill>
                    <w14:schemeClr w14:val="tx1"/>
                  </w14:solidFill>
                </w14:textFill>
              </w:rPr>
              <w:t>202.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  <w:lang w:val="en-US" w:eastAsia="zh-CN"/>
              </w:rPr>
              <w:t>84</w:t>
            </w:r>
            <w:r>
              <w:rPr>
                <w:rFonts w:hint="eastAsia" w:ascii="仿宋_GB2312" w:hAnsi="仿宋_GB2312" w:eastAsia="仿宋_GB2312" w:cs="仿宋_GB2312"/>
                <w:sz w:val="20"/>
                <w:szCs w:val="20"/>
              </w:rPr>
              <w:t>亿元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10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03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质量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社会保障水平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100%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100%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1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社会保障水平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100%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100%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1"/>
                <w:szCs w:val="21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26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时效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完成及时性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202</w:t>
            </w:r>
            <w:r>
              <w:rPr>
                <w:rFonts w:hint="eastAsia" w:ascii="仿宋_GB2312" w:hAnsi="仿宋_GB2312" w:eastAsia="仿宋_GB2312" w:cs="仿宋_GB2312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</w:rPr>
              <w:t>年12月31日前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both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202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  <w:lang w:val="en-US" w:eastAsia="zh-CN"/>
              </w:rPr>
              <w:t>5</w:t>
            </w:r>
            <w:r>
              <w:rPr>
                <w:rFonts w:hint="eastAsia" w:ascii="仿宋_GB2312" w:hAnsi="仿宋_GB2312" w:eastAsia="仿宋_GB2312" w:cs="仿宋_GB2312"/>
                <w:sz w:val="21"/>
                <w:szCs w:val="21"/>
              </w:rPr>
              <w:t>年12月31日前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10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10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7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restart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效益指标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经济效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就业带动经济增长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效果明显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效果明显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80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社会效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就业公平与民生保障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效果明显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效果明显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59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生态效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益指标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办公资源循环利用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效果明显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效果明显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14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可持续影响指标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形成一系列行之有效的长效机制，促进工作持续开展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效果明显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效果明显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5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92" w:hRule="atLeast"/>
          <w:jc w:val="center"/>
        </w:trPr>
        <w:tc>
          <w:tcPr>
            <w:tcW w:w="1083" w:type="dxa"/>
            <w:vMerge w:val="continue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5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满意度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指标</w:t>
            </w:r>
          </w:p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</w:p>
        </w:tc>
        <w:tc>
          <w:tcPr>
            <w:tcW w:w="1018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18"/>
                <w:szCs w:val="18"/>
              </w:rPr>
              <w:t>服务对象满意度指标</w:t>
            </w:r>
          </w:p>
        </w:tc>
        <w:tc>
          <w:tcPr>
            <w:tcW w:w="1069" w:type="dxa"/>
            <w:gridSpan w:val="2"/>
            <w:noWrap w:val="0"/>
            <w:vAlign w:val="center"/>
          </w:tcPr>
          <w:p>
            <w:pPr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参保群众满意度</w:t>
            </w:r>
          </w:p>
        </w:tc>
        <w:tc>
          <w:tcPr>
            <w:tcW w:w="1161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≥90%</w:t>
            </w:r>
          </w:p>
        </w:tc>
        <w:tc>
          <w:tcPr>
            <w:tcW w:w="11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96.30%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10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jc w:val="center"/>
              <w:rPr>
                <w:rFonts w:hint="eastAsia" w:ascii="仿宋_GB2312" w:hAnsi="仿宋_GB2312" w:eastAsia="仿宋_GB2312" w:cs="仿宋_GB2312"/>
                <w:kern w:val="2"/>
                <w:sz w:val="21"/>
                <w:szCs w:val="24"/>
                <w:lang w:val="en-US" w:eastAsia="zh-CN" w:bidi="ar-SA"/>
              </w:rPr>
            </w:pPr>
            <w:r>
              <w:rPr>
                <w:rFonts w:hint="eastAsia" w:ascii="仿宋_GB2312" w:hAnsi="仿宋_GB2312" w:eastAsia="仿宋_GB2312" w:cs="仿宋_GB2312"/>
              </w:rPr>
              <w:t>10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  <w:tr>
        <w:tblPrEx>
          <w:tblBorders>
            <w:top w:val="single" w:color="auto" w:sz="4" w:space="0"/>
            <w:left w:val="single" w:color="auto" w:sz="4" w:space="0"/>
            <w:bottom w:val="single" w:color="auto" w:sz="4" w:space="0"/>
            <w:right w:val="single" w:color="auto" w:sz="4" w:space="0"/>
            <w:insideH w:val="single" w:color="auto" w:sz="4" w:space="0"/>
            <w:insideV w:val="single" w:color="auto" w:sz="4" w:space="0"/>
          </w:tblBorders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340" w:hRule="atLeast"/>
          <w:jc w:val="center"/>
        </w:trPr>
        <w:tc>
          <w:tcPr>
            <w:tcW w:w="6495" w:type="dxa"/>
            <w:gridSpan w:val="7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总分</w:t>
            </w:r>
          </w:p>
        </w:tc>
        <w:tc>
          <w:tcPr>
            <w:tcW w:w="684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center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100</w:t>
            </w:r>
          </w:p>
        </w:tc>
        <w:tc>
          <w:tcPr>
            <w:tcW w:w="1006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  <w:lang w:val="en-US" w:eastAsia="zh-CN"/>
              </w:rPr>
              <w:t>98</w:t>
            </w:r>
          </w:p>
        </w:tc>
        <w:tc>
          <w:tcPr>
            <w:tcW w:w="1077" w:type="dxa"/>
            <w:noWrap w:val="0"/>
            <w:vAlign w:val="center"/>
          </w:tcPr>
          <w:p>
            <w:pPr>
              <w:keepNext w:val="0"/>
              <w:keepLines w:val="0"/>
              <w:pageBreakBefore w:val="0"/>
              <w:widowControl/>
              <w:kinsoku/>
              <w:wordWrap/>
              <w:overflowPunct/>
              <w:topLinePunct w:val="0"/>
              <w:autoSpaceDE/>
              <w:autoSpaceDN/>
              <w:bidi w:val="0"/>
              <w:adjustRightInd/>
              <w:snapToGrid/>
              <w:spacing w:line="240" w:lineRule="exact"/>
              <w:jc w:val="left"/>
              <w:textAlignment w:val="auto"/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</w:pPr>
            <w:r>
              <w:rPr>
                <w:rFonts w:hint="eastAsia" w:ascii="仿宋_GB2312" w:hAnsi="仿宋_GB2312" w:eastAsia="仿宋_GB2312" w:cs="仿宋_GB2312"/>
                <w:color w:val="000000"/>
                <w:kern w:val="0"/>
                <w:sz w:val="20"/>
                <w:szCs w:val="20"/>
              </w:rPr>
              <w:t>　</w:t>
            </w:r>
          </w:p>
        </w:tc>
      </w:tr>
    </w:tbl>
    <w:p>
      <w:pPr>
        <w:rPr>
          <w:rFonts w:hint="default" w:eastAsia="仿宋_GB2312"/>
          <w:sz w:val="24"/>
          <w:szCs w:val="24"/>
          <w:lang w:val="en-US" w:eastAsia="zh-CN"/>
        </w:rPr>
      </w:pPr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24"/>
          <w:szCs w:val="24"/>
          <w:lang w:val="en-US" w:eastAsia="zh-CN" w:bidi="ar-SA"/>
        </w:rPr>
        <w:t xml:space="preserve">填表人：邓洁              填报日期：  2026.6.15  </w:t>
      </w:r>
      <w:bookmarkStart w:id="0" w:name="_GoBack"/>
      <w:bookmarkEnd w:id="0"/>
      <w:r>
        <w:rPr>
          <w:rFonts w:hint="eastAsia" w:ascii="仿宋_GB2312" w:hAnsi="仿宋_GB2312" w:eastAsia="仿宋_GB2312" w:cs="仿宋_GB2312"/>
          <w:snapToGrid/>
          <w:color w:val="000000"/>
          <w:kern w:val="0"/>
          <w:sz w:val="24"/>
          <w:szCs w:val="24"/>
          <w:lang w:val="en-US" w:eastAsia="zh-CN" w:bidi="ar-SA"/>
        </w:rPr>
        <w:t xml:space="preserve">   联系电话：</w:t>
      </w:r>
      <w:r>
        <w:rPr>
          <w:rFonts w:hint="eastAsia" w:ascii="仿宋_GB2312" w:hAnsi="仿宋_GB2312" w:eastAsia="仿宋_GB2312" w:cs="仿宋_GB2312"/>
          <w:sz w:val="24"/>
          <w:szCs w:val="24"/>
          <w:lang w:val="en-US" w:eastAsia="zh-CN"/>
        </w:rPr>
        <w:t>2713080</w:t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86"/>
    <w:family w:val="auto"/>
    <w:pitch w:val="default"/>
    <w:sig w:usb0="00007A87" w:usb1="80000000" w:usb2="00000008" w:usb3="00000000" w:csb0="400001FF" w:csb1="FFFF0000"/>
  </w:font>
  <w:font w:name="宋体">
    <w:panose1 w:val="02010600030101010101"/>
    <w:charset w:val="7A"/>
    <w:family w:val="auto"/>
    <w:pitch w:val="default"/>
    <w:sig w:usb0="00000003" w:usb1="080E0000" w:usb2="00000000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00007A87" w:usb1="80000000" w:usb2="00000008" w:usb3="00000000" w:csb0="400001FF" w:csb1="FFFF0000"/>
  </w:font>
  <w:font w:name="黑体">
    <w:panose1 w:val="02010600030101010101"/>
    <w:charset w:val="86"/>
    <w:family w:val="auto"/>
    <w:pitch w:val="default"/>
    <w:sig w:usb0="00000001" w:usb1="080E0000" w:usb2="00000000" w:usb3="00000000" w:csb0="00040000" w:csb1="00000000"/>
  </w:font>
  <w:font w:name="Courier New">
    <w:panose1 w:val="02070309020205020404"/>
    <w:charset w:val="01"/>
    <w:family w:val="modern"/>
    <w:pitch w:val="default"/>
    <w:sig w:usb0="00007A87" w:usb1="80000000" w:usb2="00000008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A00002EF" w:usb1="4000207B" w:usb2="00000000" w:usb3="00000000" w:csb0="2000009F" w:csb1="00000000"/>
  </w:font>
  <w:font w:name="方正小标宋_GBK">
    <w:altName w:val="Arial Unicode MS"/>
    <w:panose1 w:val="02000000000000000000"/>
    <w:charset w:val="86"/>
    <w:family w:val="auto"/>
    <w:pitch w:val="default"/>
    <w:sig w:usb0="00000000" w:usb1="00000000" w:usb2="00000000" w:usb3="00000000" w:csb0="00040000" w:csb1="00000000"/>
  </w:font>
  <w:font w:name="仿宋_GB2312">
    <w:panose1 w:val="02010609030101010101"/>
    <w:charset w:val="86"/>
    <w:family w:val="auto"/>
    <w:pitch w:val="default"/>
    <w:sig w:usb0="00000001" w:usb1="080E0000" w:usb2="00000000" w:usb3="00000000" w:csb0="00040000" w:csb1="00000000"/>
  </w:font>
  <w:font w:name="方正小标宋简体">
    <w:altName w:val="Arial Unicode MS"/>
    <w:panose1 w:val="02010600010101010101"/>
    <w:charset w:val="86"/>
    <w:family w:val="auto"/>
    <w:pitch w:val="default"/>
    <w:sig w:usb0="00000000" w:usb1="00000000" w:usb2="00000000" w:usb3="00000000" w:csb0="00000000" w:csb1="0000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68FEB23"/>
    <w:multiLevelType w:val="singleLevel"/>
    <w:tmpl w:val="168FEB23"/>
    <w:lvl w:ilvl="0" w:tentative="0">
      <w:start w:val="1"/>
      <w:numFmt w:val="chineseCounting"/>
      <w:suff w:val="nothing"/>
      <w:lvlText w:val="（%1）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42D33086"/>
    <w:rsid w:val="0F8A27DA"/>
    <w:rsid w:val="1DC05E47"/>
    <w:rsid w:val="21853D22"/>
    <w:rsid w:val="2B151D96"/>
    <w:rsid w:val="310973A2"/>
    <w:rsid w:val="42D33086"/>
    <w:rsid w:val="6E775388"/>
    <w:rsid w:val="7BB71D0C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qFormat="1"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qFormat="1"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4">
    <w:name w:val="Default Paragraph Font"/>
    <w:semiHidden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Normal (Web)"/>
    <w:basedOn w:val="1"/>
    <w:qFormat/>
    <w:uiPriority w:val="0"/>
    <w:pPr>
      <w:spacing w:before="0" w:beforeAutospacing="1" w:after="0" w:afterAutospacing="1"/>
      <w:ind w:left="0" w:right="0"/>
      <w:jc w:val="left"/>
    </w:pPr>
    <w:rPr>
      <w:kern w:val="0"/>
      <w:sz w:val="24"/>
      <w:lang w:val="en-US" w:eastAsia="zh-CN" w:bidi="ar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0</Words>
  <Characters>0</Characters>
  <Lines>0</Lines>
  <Paragraphs>0</Paragraphs>
  <TotalTime>8</TotalTime>
  <ScaleCrop>false</ScaleCrop>
  <LinksUpToDate>false</LinksUpToDate>
  <CharactersWithSpaces>0</CharactersWithSpaces>
  <Application>WPS Office_11.1.0.10314_F1E327BC-269C-435d-A152-05C5408002CA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2026-06-02T08:00:00Z</dcterms:created>
  <dc:creator>Administrator</dc:creator>
  <cp:lastModifiedBy>Administrator</cp:lastModifiedBy>
  <cp:lastPrinted>2026-06-25T01:14:00Z</cp:lastPrinted>
  <dcterms:modified xsi:type="dcterms:W3CDTF">2026-06-29T06:50:26Z</dcterms:modified>
  <cp:revision>1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2052-11.1.0.10314</vt:lpwstr>
  </property>
</Properties>
</file>