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w w:val="95"/>
          <w:sz w:val="44"/>
          <w:szCs w:val="44"/>
          <w:lang w:eastAsia="zh-CN"/>
        </w:rPr>
      </w:pPr>
      <w:bookmarkStart w:id="0" w:name="_GoBack"/>
      <w:bookmarkEnd w:id="0"/>
    </w:p>
    <w:p>
      <w:pPr>
        <w:spacing w:line="560" w:lineRule="exact"/>
        <w:jc w:val="center"/>
        <w:rPr>
          <w:rFonts w:ascii="方正小标宋简体" w:eastAsia="方正小标宋简体"/>
          <w:w w:val="95"/>
          <w:sz w:val="44"/>
          <w:szCs w:val="44"/>
        </w:rPr>
      </w:pPr>
      <w:r>
        <w:rPr>
          <w:rFonts w:hint="eastAsia" w:ascii="方正小标宋简体" w:eastAsia="方正小标宋简体"/>
          <w:w w:val="95"/>
          <w:sz w:val="44"/>
          <w:szCs w:val="44"/>
          <w:lang w:eastAsia="zh-CN"/>
        </w:rPr>
        <w:t>怀化</w:t>
      </w:r>
      <w:r>
        <w:rPr>
          <w:rFonts w:hint="eastAsia" w:ascii="方正小标宋简体" w:eastAsia="方正小标宋简体"/>
          <w:w w:val="95"/>
          <w:sz w:val="44"/>
          <w:szCs w:val="44"/>
        </w:rPr>
        <w:t>市新业态劳动用工合规</w:t>
      </w:r>
      <w:r>
        <w:rPr>
          <w:rFonts w:hint="eastAsia" w:ascii="方正小标宋简体" w:eastAsia="方正小标宋简体"/>
          <w:w w:val="95"/>
          <w:sz w:val="44"/>
          <w:szCs w:val="44"/>
          <w:lang w:eastAsia="zh-CN"/>
        </w:rPr>
        <w:t>管理规范</w:t>
      </w:r>
      <w:r>
        <w:rPr>
          <w:rFonts w:hint="eastAsia" w:ascii="方正小标宋简体" w:eastAsia="方正小标宋简体"/>
          <w:w w:val="95"/>
          <w:sz w:val="44"/>
          <w:szCs w:val="44"/>
        </w:rPr>
        <w:t>（试行）</w:t>
      </w:r>
    </w:p>
    <w:p>
      <w:pPr>
        <w:spacing w:line="560" w:lineRule="exact"/>
        <w:rPr>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为深入贯彻落实</w:t>
      </w:r>
      <w:r>
        <w:rPr>
          <w:rFonts w:hint="eastAsia"/>
          <w:szCs w:val="32"/>
          <w:lang w:eastAsia="zh-CN"/>
        </w:rPr>
        <w:t>党中央、国务院关于维护新就业形态劳动者劳动保障权益的决策部署以及人社部、发改委等八部门联合印发</w:t>
      </w:r>
      <w:r>
        <w:rPr>
          <w:rFonts w:hint="eastAsia"/>
          <w:szCs w:val="32"/>
        </w:rPr>
        <w:t>《关于维护新就业形态劳动者劳动保障权益的指导意见》（人社部发〔2021〕56号）、</w:t>
      </w:r>
      <w:r>
        <w:rPr>
          <w:rFonts w:hint="eastAsia"/>
          <w:szCs w:val="32"/>
          <w:lang w:eastAsia="zh-CN"/>
        </w:rPr>
        <w:t>省人社厅、省发改委等八部门联合印发《关于维护新就业形态劳动者劳动保障权益的实施意见》</w:t>
      </w:r>
      <w:r>
        <w:rPr>
          <w:rFonts w:hint="eastAsia"/>
          <w:szCs w:val="32"/>
        </w:rPr>
        <w:t>（</w:t>
      </w:r>
      <w:r>
        <w:rPr>
          <w:rFonts w:hint="eastAsia"/>
          <w:szCs w:val="32"/>
          <w:lang w:eastAsia="zh-CN"/>
        </w:rPr>
        <w:t>湘人社规</w:t>
      </w:r>
      <w:r>
        <w:rPr>
          <w:rFonts w:hint="eastAsia"/>
          <w:szCs w:val="32"/>
        </w:rPr>
        <w:t>〔2021〕</w:t>
      </w:r>
      <w:r>
        <w:rPr>
          <w:rFonts w:hint="eastAsia"/>
          <w:szCs w:val="32"/>
          <w:lang w:val="en-US" w:eastAsia="zh-CN"/>
        </w:rPr>
        <w:t>24</w:t>
      </w:r>
      <w:r>
        <w:rPr>
          <w:rFonts w:hint="eastAsia"/>
          <w:szCs w:val="32"/>
        </w:rPr>
        <w:t>号）等文件精神，切实维护依托互联网就业的网约配送员、网约车驾驶员、</w:t>
      </w:r>
      <w:r>
        <w:rPr>
          <w:rFonts w:hint="eastAsia"/>
          <w:szCs w:val="32"/>
          <w:lang w:eastAsia="zh-CN"/>
        </w:rPr>
        <w:t>网约</w:t>
      </w:r>
      <w:r>
        <w:rPr>
          <w:rFonts w:hint="eastAsia"/>
          <w:szCs w:val="32"/>
        </w:rPr>
        <w:t>货车司机、互联网营销师等新就业形态劳动者劳动保障权益，支持新业态企业健康持续发展，促进全市新业态领域劳动关系和谐稳定，根据国家劳动保障法律法规规定，结合我市实际，特</w:t>
      </w:r>
      <w:r>
        <w:rPr>
          <w:rFonts w:hint="eastAsia"/>
          <w:szCs w:val="32"/>
          <w:lang w:eastAsia="zh-CN"/>
        </w:rPr>
        <w:t>制定</w:t>
      </w:r>
      <w:r>
        <w:rPr>
          <w:rFonts w:hint="eastAsia"/>
          <w:szCs w:val="32"/>
        </w:rPr>
        <w:t>本合规</w:t>
      </w:r>
      <w:r>
        <w:rPr>
          <w:rFonts w:hint="eastAsia"/>
          <w:szCs w:val="32"/>
          <w:lang w:eastAsia="zh-CN"/>
        </w:rPr>
        <w:t>管理规范</w:t>
      </w:r>
      <w:r>
        <w:rPr>
          <w:rFonts w:hint="eastAsia"/>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一、劳动用工</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（一）</w:t>
      </w:r>
      <w:r>
        <w:rPr>
          <w:rFonts w:hint="eastAsia"/>
          <w:szCs w:val="32"/>
          <w:lang w:eastAsia="zh-CN"/>
        </w:rPr>
        <w:t>符合确立劳动关系情形，</w:t>
      </w:r>
      <w:r>
        <w:rPr>
          <w:rFonts w:hint="eastAsia"/>
          <w:szCs w:val="32"/>
        </w:rPr>
        <w:t>新业态企业与全日制劳动者建立劳动关系的，应当依法订立书面劳动合同，劳动合同期限由双方协商确定。已建立劳动关系，未订立书面劳动合同的，应当自用工之日起一个月内订立书面劳动合同。</w:t>
      </w:r>
      <w:r>
        <w:rPr>
          <w:rFonts w:hint="eastAsia"/>
          <w:szCs w:val="32"/>
          <w:lang w:eastAsia="zh-CN"/>
        </w:rPr>
        <w:t>不得采取诱导、欺诈的方式，迫使劳动者签订劳务协议、合作协议等。</w:t>
      </w:r>
      <w:r>
        <w:rPr>
          <w:rFonts w:hint="eastAsia"/>
          <w:szCs w:val="32"/>
        </w:rPr>
        <w:t>新业态企业与非全日制劳动者建立劳动关系的，</w:t>
      </w:r>
      <w:r>
        <w:rPr>
          <w:rFonts w:hint="eastAsia"/>
          <w:szCs w:val="32"/>
          <w:lang w:eastAsia="zh-CN"/>
        </w:rPr>
        <w:t>依法与其签订相应协议或</w:t>
      </w:r>
      <w:r>
        <w:rPr>
          <w:rFonts w:hint="eastAsia"/>
          <w:szCs w:val="32"/>
        </w:rPr>
        <w:t>订立口头协议，不得约定试用期，鼓励双方签订书面非全日制劳动合同。</w:t>
      </w:r>
      <w:r>
        <w:rPr>
          <w:rFonts w:hint="eastAsia"/>
          <w:szCs w:val="32"/>
          <w:lang w:eastAsia="zh-CN"/>
        </w:rPr>
        <w:t>鼓励更多采取劳动合同制用工方式，落实新就业形态劳动者权益保障责任。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（二）不完全符合确立劳动关系情形但劳动者按照约定为新业态企业提供劳动的，</w:t>
      </w:r>
      <w:r>
        <w:rPr>
          <w:rFonts w:hint="eastAsia"/>
          <w:szCs w:val="32"/>
          <w:lang w:eastAsia="zh-CN"/>
        </w:rPr>
        <w:t>劳动者劳动过程要遵守平台企业确定的算法等规则的，而且双方之间也不是完全平等的民事关系，</w:t>
      </w:r>
      <w:r>
        <w:rPr>
          <w:rFonts w:hint="eastAsia"/>
          <w:szCs w:val="32"/>
        </w:rPr>
        <w:t>企业应与劳动者订立</w:t>
      </w:r>
      <w:r>
        <w:rPr>
          <w:rFonts w:hint="eastAsia"/>
          <w:szCs w:val="32"/>
          <w:lang w:eastAsia="zh-CN"/>
        </w:rPr>
        <w:t>书面</w:t>
      </w:r>
      <w:r>
        <w:rPr>
          <w:rFonts w:hint="eastAsia"/>
          <w:szCs w:val="32"/>
        </w:rPr>
        <w:t>协议，</w:t>
      </w:r>
      <w:r>
        <w:rPr>
          <w:rFonts w:hint="eastAsia"/>
          <w:szCs w:val="32"/>
          <w:lang w:eastAsia="zh-CN"/>
        </w:rPr>
        <w:t>协商确定劳动报酬、工作时间、职业保护等</w:t>
      </w:r>
      <w:r>
        <w:rPr>
          <w:rFonts w:hint="eastAsia"/>
          <w:szCs w:val="32"/>
        </w:rPr>
        <w:t>权利义务</w:t>
      </w:r>
      <w:r>
        <w:rPr>
          <w:rFonts w:hint="eastAsia"/>
          <w:szCs w:val="32"/>
          <w:lang w:eastAsia="zh-CN"/>
        </w:rPr>
        <w:t>，合理承担维护劳动者权益的相关责任。个人依托平台自主开展经营活动、从事自由职业的，按照民事法律调整双方的权利义务。</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（三）新业态企业使用劳务派遣用工的，</w:t>
      </w:r>
      <w:r>
        <w:rPr>
          <w:rFonts w:hint="eastAsia"/>
          <w:szCs w:val="32"/>
          <w:lang w:eastAsia="zh-CN"/>
        </w:rPr>
        <w:t>应选择具备合法经营资质的企业，</w:t>
      </w:r>
      <w:r>
        <w:rPr>
          <w:rFonts w:hint="eastAsia"/>
          <w:szCs w:val="32"/>
        </w:rPr>
        <w:t>只能在临时性、辅助性、替代性的工作岗位上实施，并依法履行劳务派遣用工单位责任。新业态企业与劳务派遣单位订立劳务派遣协议，应约定派遣岗位和人员数量、派遣期限、劳动报酬和社会保险费的数额与支付方式及违反协议的责任，并督促劳务派遣单位与劳动者订立书面劳动合同。</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四）新业态企业通过外包、代理、加盟或其他合作关系将业务外包给合作单位，或者新业态企业搭建互联网平台供关联单位（“合作单位”“关联单位”以下简称合作商）开展生产经营活动，符合建立劳动关系情形的，合作商应与劳动者订立书面劳动合同</w:t>
      </w:r>
      <w:r>
        <w:rPr>
          <w:rFonts w:hint="eastAsia"/>
          <w:szCs w:val="32"/>
          <w:lang w:eastAsia="zh-CN"/>
        </w:rPr>
        <w:t>，</w:t>
      </w:r>
      <w:r>
        <w:rPr>
          <w:rFonts w:hint="eastAsia"/>
          <w:szCs w:val="32"/>
        </w:rPr>
        <w:t>新业态企业与其合作商应在合作协议中明确合作企业依法依规用工责任，督促合作企业依法保障劳动者合法权益。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五）新业态企业及其合作商通过外包、合作或其他模式，与从业人员建立民事合作关系的，应当依照法律法规规定通过移动终端APP或以其它方式直接与从业人员签订民事协议，充分保障从业人员的知情权，并明确法律责任和纠纷处理方式。严禁以假外包、假合作、多层外包等形式规避用人单位的义务和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szCs w:val="32"/>
        </w:rPr>
      </w:pPr>
      <w:r>
        <w:rPr>
          <w:rFonts w:hint="eastAsia"/>
          <w:szCs w:val="32"/>
        </w:rPr>
        <w:t>（六）在新业态领域开展电子劳动合同推广，倡导新业态企业及其合作商与建立劳动关系的劳动者</w:t>
      </w:r>
      <w:r>
        <w:rPr>
          <w:rFonts w:hint="eastAsia"/>
          <w:szCs w:val="32"/>
          <w:lang w:eastAsia="zh-CN"/>
        </w:rPr>
        <w:t>在线签订</w:t>
      </w:r>
      <w:r>
        <w:rPr>
          <w:rFonts w:hint="eastAsia"/>
          <w:szCs w:val="32"/>
        </w:rPr>
        <w:t>电子劳动合同，鼓励第三方机构开发符合法律法规规定的电子劳动合同网签系统，确保电子劳动合同的生成、传递、储存等环节的各项要素满足电子签名法律法规的要求，确保其完整、准确，不被篡改。</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szCs w:val="32"/>
          <w:lang w:val="en-US" w:eastAsia="zh-CN"/>
        </w:rPr>
      </w:pPr>
      <w:r>
        <w:rPr>
          <w:rFonts w:hint="eastAsia"/>
          <w:szCs w:val="32"/>
          <w:lang w:val="en-US" w:eastAsia="zh-CN"/>
        </w:rPr>
        <w:t>（七）新业态企业及其合作商存在未及时有效进行监督、未合理披露实际用人单位情况等过错，导致劳动者权益受到损害的，应依法承担相应责任。存在以非劳动关系名义用工或其他合作方式用工，但符合劳动关系特征的，劳动者权益受到损害的，应依法承担相应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val="en-US" w:eastAsia="zh-CN"/>
        </w:rPr>
      </w:pPr>
      <w:r>
        <w:rPr>
          <w:rFonts w:hint="eastAsia"/>
          <w:szCs w:val="32"/>
        </w:rPr>
        <w:t>（</w:t>
      </w:r>
      <w:r>
        <w:rPr>
          <w:rFonts w:hint="eastAsia"/>
          <w:szCs w:val="32"/>
          <w:lang w:eastAsia="zh-CN"/>
        </w:rPr>
        <w:t>八</w:t>
      </w:r>
      <w:r>
        <w:rPr>
          <w:rFonts w:hint="eastAsia"/>
          <w:szCs w:val="32"/>
        </w:rPr>
        <w:t>）</w:t>
      </w:r>
      <w:r>
        <w:rPr>
          <w:rFonts w:hint="eastAsia"/>
          <w:szCs w:val="32"/>
          <w:lang w:eastAsia="zh-CN"/>
        </w:rPr>
        <w:t>企业招用劳动者不得违法设置性别、民族、年龄、户籍、宗教信仰等歧视性条件，不得以缴纳保证金、押金或其他名义向劳动者收取财物、不得违法限制劳动者在多平台就业，保障其平等就业权利。</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二、劳动报酬</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szCs w:val="32"/>
        </w:rPr>
      </w:pPr>
      <w:r>
        <w:rPr>
          <w:rFonts w:hint="eastAsia"/>
          <w:szCs w:val="32"/>
        </w:rPr>
        <w:t>（</w:t>
      </w:r>
      <w:r>
        <w:rPr>
          <w:rFonts w:hint="eastAsia"/>
          <w:szCs w:val="32"/>
          <w:lang w:eastAsia="zh-CN"/>
        </w:rPr>
        <w:t>九</w:t>
      </w:r>
      <w:r>
        <w:rPr>
          <w:rFonts w:hint="eastAsia"/>
          <w:szCs w:val="32"/>
        </w:rPr>
        <w:t>）新业态企业在制定关于工资支付、劳务费结算等直接涉及劳动者权益的</w:t>
      </w:r>
      <w:r>
        <w:rPr>
          <w:rFonts w:hint="eastAsia"/>
          <w:szCs w:val="32"/>
          <w:lang w:eastAsia="zh-CN"/>
        </w:rPr>
        <w:t>劳动报酬规则</w:t>
      </w:r>
      <w:r>
        <w:rPr>
          <w:rFonts w:hint="eastAsia"/>
          <w:szCs w:val="32"/>
        </w:rPr>
        <w:t>时，应</w:t>
      </w:r>
      <w:r>
        <w:rPr>
          <w:rFonts w:hint="eastAsia"/>
          <w:szCs w:val="32"/>
          <w:lang w:eastAsia="zh-CN"/>
        </w:rPr>
        <w:t>合理确定劳动报酬标准，规范自主定价行为，</w:t>
      </w:r>
      <w:r>
        <w:rPr>
          <w:rFonts w:hint="eastAsia"/>
          <w:szCs w:val="32"/>
        </w:rPr>
        <w:t>明确支付（结算）项目、标准、形式、周期及依法代扣的情形和标准以及各方主体责任，并充分听取职工代表或全体职工的意见。新业态企业应当督促合作商落实劳动报酬支付主体责任，确保劳动者劳动报酬按时足额领取。</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default" w:eastAsia="仿宋_GB2312"/>
          <w:szCs w:val="32"/>
          <w:lang w:val="en-US" w:eastAsia="zh-CN"/>
        </w:rPr>
      </w:pPr>
      <w:r>
        <w:rPr>
          <w:rFonts w:hint="eastAsia"/>
          <w:szCs w:val="32"/>
        </w:rPr>
        <w:t>（</w:t>
      </w:r>
      <w:r>
        <w:rPr>
          <w:rFonts w:hint="eastAsia"/>
          <w:szCs w:val="32"/>
          <w:lang w:eastAsia="zh-CN"/>
        </w:rPr>
        <w:t>十</w:t>
      </w:r>
      <w:r>
        <w:rPr>
          <w:rFonts w:hint="eastAsia"/>
          <w:szCs w:val="32"/>
        </w:rPr>
        <w:t>）劳动者提供了正常劳动的，新业态企业及其合作商应当按照劳动合同或协议约定的标准支付（结算）劳动报酬，</w:t>
      </w:r>
      <w:r>
        <w:rPr>
          <w:rFonts w:hint="eastAsia"/>
          <w:szCs w:val="32"/>
          <w:lang w:eastAsia="zh-CN"/>
        </w:rPr>
        <w:t>合理确定劳动定额标准和计价单价，折算到小时后</w:t>
      </w:r>
      <w:r>
        <w:rPr>
          <w:rFonts w:hint="eastAsia"/>
          <w:szCs w:val="32"/>
        </w:rPr>
        <w:t>支付的劳动报酬不</w:t>
      </w:r>
      <w:r>
        <w:rPr>
          <w:rFonts w:hint="eastAsia"/>
          <w:szCs w:val="32"/>
          <w:lang w:eastAsia="zh-CN"/>
        </w:rPr>
        <w:t>得</w:t>
      </w:r>
      <w:r>
        <w:rPr>
          <w:rFonts w:hint="eastAsia"/>
          <w:szCs w:val="32"/>
        </w:rPr>
        <w:t>低于</w:t>
      </w:r>
      <w:r>
        <w:rPr>
          <w:rFonts w:hint="eastAsia"/>
          <w:szCs w:val="32"/>
          <w:lang w:eastAsia="zh-CN"/>
        </w:rPr>
        <w:t>怀化</w:t>
      </w:r>
      <w:r>
        <w:rPr>
          <w:rFonts w:hint="eastAsia"/>
          <w:szCs w:val="32"/>
        </w:rPr>
        <w:t>市最低工资标准。</w:t>
      </w:r>
      <w:r>
        <w:rPr>
          <w:rFonts w:hint="eastAsia"/>
          <w:szCs w:val="32"/>
          <w:lang w:eastAsia="zh-CN"/>
        </w:rPr>
        <w:t>同时应建立劳动报酬合理增长机制，逐步提高劳动报酬水平。</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w:t>
      </w:r>
      <w:r>
        <w:rPr>
          <w:rFonts w:hint="eastAsia"/>
          <w:szCs w:val="32"/>
          <w:lang w:eastAsia="zh-CN"/>
        </w:rPr>
        <w:t>十一</w:t>
      </w:r>
      <w:r>
        <w:rPr>
          <w:rFonts w:hint="eastAsia"/>
          <w:szCs w:val="32"/>
        </w:rPr>
        <w:t>）新业态企业</w:t>
      </w:r>
      <w:r>
        <w:rPr>
          <w:rFonts w:hint="eastAsia"/>
          <w:szCs w:val="32"/>
          <w:lang w:eastAsia="zh-CN"/>
        </w:rPr>
        <w:t>科学</w:t>
      </w:r>
      <w:r>
        <w:rPr>
          <w:rFonts w:hint="eastAsia"/>
          <w:szCs w:val="32"/>
        </w:rPr>
        <w:t>确定、调整劳动</w:t>
      </w:r>
      <w:r>
        <w:rPr>
          <w:rFonts w:hint="eastAsia"/>
          <w:szCs w:val="32"/>
          <w:lang w:eastAsia="zh-CN"/>
        </w:rPr>
        <w:t>定员</w:t>
      </w:r>
      <w:r>
        <w:rPr>
          <w:rFonts w:hint="eastAsia"/>
          <w:szCs w:val="32"/>
        </w:rPr>
        <w:t>定额，要保证本单位同岗位百分之九十以上劳动者在法定工作时间内能够完成。新业态企业应制定合理的工作考核制度，</w:t>
      </w:r>
      <w:r>
        <w:rPr>
          <w:rFonts w:hint="eastAsia"/>
          <w:szCs w:val="32"/>
          <w:lang w:eastAsia="zh-CN"/>
        </w:rPr>
        <w:t>合理确定订单数量、在线率等考核要素，建立以工作任务、劳动强度相匹配的收入分配机制，不得制定损害劳动者安全健康的考核指标，不得“以罚代管”，</w:t>
      </w:r>
      <w:r>
        <w:rPr>
          <w:rFonts w:hint="eastAsia"/>
          <w:szCs w:val="32"/>
        </w:rPr>
        <w:t>不得</w:t>
      </w:r>
      <w:r>
        <w:rPr>
          <w:rFonts w:hint="eastAsia"/>
          <w:szCs w:val="32"/>
          <w:lang w:eastAsia="zh-CN"/>
        </w:rPr>
        <w:t>单纯以差评考核方式等</w:t>
      </w:r>
      <w:r>
        <w:rPr>
          <w:rFonts w:hint="eastAsia"/>
          <w:szCs w:val="32"/>
        </w:rPr>
        <w:t>随意克扣、拖欠劳动者工资</w:t>
      </w:r>
      <w:r>
        <w:rPr>
          <w:rFonts w:hint="eastAsia"/>
          <w:szCs w:val="32"/>
          <w:lang w:eastAsia="zh-CN"/>
        </w:rPr>
        <w:t>，不得通过最严算法等手段侵害劳动者正当权益。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二</w:t>
      </w:r>
      <w:r>
        <w:rPr>
          <w:rFonts w:hint="eastAsia"/>
          <w:szCs w:val="32"/>
        </w:rPr>
        <w:t>）新就业形态劳动者劳动报酬支付（结算）周期可以按月、周、日、小时确定，但最长不超过一个月，其中非全日制用工劳动报酬结算周期最长不超过十五日。实行计件制或其他类似结算形式的，支付周期可以按计件完成情况依法约定，但最长不超过一个月。</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三</w:t>
      </w:r>
      <w:r>
        <w:rPr>
          <w:rFonts w:hint="eastAsia"/>
          <w:szCs w:val="32"/>
        </w:rPr>
        <w:t>）新业态企业及其合作商应当严格按照与劳动者约定的日期支付劳动报酬，支付（结算）日期如遇法定节假日或休息日，应当在此前的工作日提前支付。劳动者在恶劣天气、夜间等情形下工作的，企业适当给予补贴。劳动者在法定节假日工作的，企业参照有关规定支付劳动者高于正常工作时间劳动报酬标准的合理报酬或给予劳动者额外补偿。</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四</w:t>
      </w:r>
      <w:r>
        <w:rPr>
          <w:rFonts w:hint="eastAsia"/>
          <w:szCs w:val="32"/>
        </w:rPr>
        <w:t>）新业态企业及其合作商采用外包、合作等模式，直接与从业人员建立民事关系的，双方可以参照建立劳动关系劳动者工资支付有关规定，在协议中协商明确报酬支付有关内容。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三、休息休假</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五</w:t>
      </w:r>
      <w:r>
        <w:rPr>
          <w:rFonts w:hint="eastAsia"/>
          <w:szCs w:val="32"/>
        </w:rPr>
        <w:t>）新业态企业及其合作商应进一步完善休息制度</w:t>
      </w:r>
      <w:r>
        <w:rPr>
          <w:rFonts w:hint="eastAsia"/>
          <w:szCs w:val="32"/>
          <w:lang w:eastAsia="zh-CN"/>
        </w:rPr>
        <w:t>。对直接涉及劳动者权益的制度规则和平台算法，要充分听取工会和劳动者代表意见建议，并公示告知劳动者。按规定明确劳动定员定额标准，</w:t>
      </w:r>
      <w:r>
        <w:rPr>
          <w:rFonts w:hint="eastAsia"/>
          <w:szCs w:val="32"/>
        </w:rPr>
        <w:t>科学确定劳动者工作量和劳动强度</w:t>
      </w:r>
      <w:r>
        <w:rPr>
          <w:rFonts w:hint="eastAsia"/>
          <w:szCs w:val="32"/>
          <w:lang w:eastAsia="zh-CN"/>
        </w:rPr>
        <w:t>。合理</w:t>
      </w:r>
      <w:r>
        <w:rPr>
          <w:rFonts w:hint="eastAsia"/>
          <w:szCs w:val="32"/>
        </w:rPr>
        <w:t>确定休息</w:t>
      </w:r>
      <w:r>
        <w:rPr>
          <w:rFonts w:hint="eastAsia"/>
          <w:szCs w:val="32"/>
          <w:lang w:eastAsia="zh-CN"/>
        </w:rPr>
        <w:t>休假</w:t>
      </w:r>
      <w:r>
        <w:rPr>
          <w:rFonts w:hint="eastAsia"/>
          <w:szCs w:val="32"/>
        </w:rPr>
        <w:t>办法</w:t>
      </w:r>
      <w:r>
        <w:rPr>
          <w:rFonts w:hint="eastAsia"/>
          <w:szCs w:val="32"/>
          <w:lang w:eastAsia="zh-CN"/>
        </w:rPr>
        <w:t>，</w:t>
      </w:r>
      <w:r>
        <w:rPr>
          <w:rFonts w:hint="eastAsia"/>
          <w:szCs w:val="32"/>
        </w:rPr>
        <w:t>工作时间（计费时长）超过法律法规规定的，应当通过停止派单等形式保障劳动者身体健康和休息休假的权利。</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（十</w:t>
      </w:r>
      <w:r>
        <w:rPr>
          <w:rFonts w:hint="eastAsia"/>
          <w:szCs w:val="32"/>
          <w:lang w:eastAsia="zh-CN"/>
        </w:rPr>
        <w:t>六</w:t>
      </w:r>
      <w:r>
        <w:rPr>
          <w:rFonts w:hint="eastAsia"/>
          <w:szCs w:val="32"/>
        </w:rPr>
        <w:t>）对于网络餐饮、网络约车、快递物流等涉及交通安全的新业态行业，新业态企业应利用信息化技术手段或其他方式设置强制休息规则，在当日累计工作四小时后，应积极鼓励并采取有效措施提醒劳动者休息。网络餐饮平台</w:t>
      </w:r>
      <w:r>
        <w:rPr>
          <w:rFonts w:hint="eastAsia"/>
          <w:szCs w:val="32"/>
          <w:lang w:eastAsia="zh-CN"/>
        </w:rPr>
        <w:t>要完善订单分派机制，优化配送路线，科学确定订单饱和度，降低劳动程度，合理管控在线工作时长。</w:t>
      </w:r>
      <w:r>
        <w:rPr>
          <w:rFonts w:hint="eastAsia"/>
          <w:szCs w:val="32"/>
        </w:rPr>
        <w:t>对连续送单超过四小时的，</w:t>
      </w:r>
      <w:r>
        <w:rPr>
          <w:rFonts w:hint="eastAsia"/>
          <w:szCs w:val="32"/>
          <w:lang w:eastAsia="zh-CN"/>
        </w:rPr>
        <w:t>系统发出疲劳提示，</w:t>
      </w:r>
      <w:r>
        <w:rPr>
          <w:rFonts w:hint="eastAsia"/>
          <w:szCs w:val="32"/>
        </w:rPr>
        <w:t>休息20分钟后再派单，防止因连续作业产生事故隐患</w:t>
      </w:r>
      <w:r>
        <w:rPr>
          <w:rFonts w:hint="eastAsia"/>
          <w:szCs w:val="32"/>
          <w:lang w:eastAsia="zh-CN"/>
        </w:rPr>
        <w:t>，切实保障劳动安全</w:t>
      </w:r>
      <w:r>
        <w:rPr>
          <w:rFonts w:hint="eastAsia"/>
          <w:szCs w:val="32"/>
        </w:rPr>
        <w:t>。</w:t>
      </w:r>
      <w:r>
        <w:rPr>
          <w:rFonts w:hint="eastAsia"/>
          <w:szCs w:val="32"/>
          <w:lang w:eastAsia="zh-CN"/>
        </w:rPr>
        <w:t>网络约车平台要科学确定驾驶员工作时长和劳动强度，持续优化派单机制，提高车辆在线期间的运营效率，不得以冲单奖励等方式引诱驾驶员超时劳动和疲劳驾驶，切实维护广大网约车司机的休息权益。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七</w:t>
      </w:r>
      <w:r>
        <w:rPr>
          <w:rFonts w:hint="eastAsia"/>
          <w:szCs w:val="32"/>
        </w:rPr>
        <w:t>）鼓励符合实行特殊工时制度条件的新业态企业，在保障劳动者身体健康并依法履行民主程序后，经申请批准实行特殊工时制度，采用集中工作、集中休息、轮休调休、待岗培训、弹性工作时间等适当方式，确保劳动者的休息休假权利和工作任务的完成。</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八</w:t>
      </w:r>
      <w:r>
        <w:rPr>
          <w:rFonts w:hint="eastAsia"/>
          <w:szCs w:val="32"/>
        </w:rPr>
        <w:t>）新业态企业及其合作商采用外包、合作等模式，直接与从业人员签订民事协议的，双方可以参照建立劳动关系劳动者工时制度，在协议中协商明确工作时间和休息休假等内容。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四、社会保险</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（十</w:t>
      </w:r>
      <w:r>
        <w:rPr>
          <w:rFonts w:hint="eastAsia"/>
          <w:szCs w:val="32"/>
          <w:lang w:eastAsia="zh-CN"/>
        </w:rPr>
        <w:t>九</w:t>
      </w:r>
      <w:r>
        <w:rPr>
          <w:rFonts w:hint="eastAsia"/>
          <w:szCs w:val="32"/>
        </w:rPr>
        <w:t>）新业态企业及其合作商使用全日制和劳务派遣劳动者的，单位和个人应当按企业参保办法依法参加社会保险。新业态企业及其合作商使用非全日制劳动者的，如符合条件，个人可按规定以灵活就业身份参加社会保险，同时，企业应当</w:t>
      </w:r>
      <w:r>
        <w:rPr>
          <w:rFonts w:hint="eastAsia"/>
          <w:szCs w:val="32"/>
          <w:lang w:eastAsia="zh-CN"/>
        </w:rPr>
        <w:t>按照国家的规定</w:t>
      </w:r>
      <w:r>
        <w:rPr>
          <w:rFonts w:hint="eastAsia"/>
          <w:szCs w:val="32"/>
        </w:rPr>
        <w:t>为其参加非全日制工伤保险</w:t>
      </w:r>
      <w:r>
        <w:rPr>
          <w:rFonts w:hint="eastAsia"/>
          <w:szCs w:val="32"/>
          <w:lang w:eastAsia="zh-CN"/>
        </w:rPr>
        <w:t>和失业保障，提升新就业形态劳动者保障水平</w:t>
      </w:r>
      <w:r>
        <w:rPr>
          <w:rFonts w:hint="eastAsia"/>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w:t>
      </w:r>
      <w:r>
        <w:rPr>
          <w:rFonts w:hint="eastAsia"/>
          <w:szCs w:val="32"/>
          <w:lang w:eastAsia="zh-CN"/>
        </w:rPr>
        <w:t>二十</w:t>
      </w:r>
      <w:r>
        <w:rPr>
          <w:rFonts w:hint="eastAsia"/>
          <w:szCs w:val="32"/>
        </w:rPr>
        <w:t>）</w:t>
      </w:r>
      <w:r>
        <w:rPr>
          <w:rFonts w:hint="eastAsia"/>
          <w:szCs w:val="32"/>
          <w:lang w:eastAsia="zh-CN"/>
        </w:rPr>
        <w:t>怀化</w:t>
      </w:r>
      <w:r>
        <w:rPr>
          <w:rFonts w:hint="eastAsia"/>
          <w:szCs w:val="32"/>
        </w:rPr>
        <w:t>市灵活就业人员参保不受户籍限制。新业态企业及其合作商积极引导</w:t>
      </w:r>
      <w:r>
        <w:rPr>
          <w:rFonts w:hint="eastAsia"/>
          <w:szCs w:val="32"/>
          <w:lang w:eastAsia="zh-CN"/>
        </w:rPr>
        <w:t>和支持</w:t>
      </w:r>
      <w:r>
        <w:rPr>
          <w:rFonts w:hint="eastAsia"/>
          <w:szCs w:val="32"/>
        </w:rPr>
        <w:t>不完全符合确立劳动关系情形的新就业形态劳动者根据自身情况参加相应的社会保险。</w:t>
      </w:r>
      <w:r>
        <w:rPr>
          <w:rFonts w:hint="eastAsia"/>
          <w:szCs w:val="32"/>
          <w:lang w:eastAsia="zh-CN"/>
        </w:rPr>
        <w:t>按照人力资源社会保障部统一部署，组织开展以出行、外卖、即时配送、同城货运等行业的平台企业为重点的平台灵活就业人员职业伤害保障试点。符合确立劳动关系情形的，纳入工伤保险政策保障范畴。采取转包、分包给不具备用工主体资格的组织或者自然人的，平台应依法承担工伤保险责任，</w:t>
      </w:r>
      <w:r>
        <w:rPr>
          <w:rFonts w:hint="eastAsia"/>
          <w:szCs w:val="32"/>
        </w:rPr>
        <w:t>鼓励</w:t>
      </w:r>
      <w:r>
        <w:rPr>
          <w:rFonts w:hint="eastAsia"/>
          <w:szCs w:val="32"/>
          <w:lang w:eastAsia="zh-CN"/>
        </w:rPr>
        <w:t>平台</w:t>
      </w:r>
      <w:r>
        <w:rPr>
          <w:rFonts w:hint="eastAsia"/>
          <w:szCs w:val="32"/>
        </w:rPr>
        <w:t>企业通过购买</w:t>
      </w:r>
      <w:r>
        <w:rPr>
          <w:rFonts w:hint="eastAsia"/>
          <w:spacing w:val="-6"/>
          <w:szCs w:val="32"/>
        </w:rPr>
        <w:t>人身意外、雇主责任等商业保险</w:t>
      </w:r>
      <w:r>
        <w:rPr>
          <w:rFonts w:hint="eastAsia"/>
          <w:spacing w:val="-6"/>
          <w:szCs w:val="32"/>
          <w:lang w:eastAsia="zh-CN"/>
        </w:rPr>
        <w:t>，防范和化解新业态劳动者职业伤害风险。积极运用互联网思维改进服务模式，为灵活就业人员提供更加便捷的就业社保线上服务，更好地保障新就业形态劳动者的就业社保权益。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五、集体协商</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w:t>
      </w:r>
      <w:r>
        <w:rPr>
          <w:rFonts w:hint="eastAsia"/>
          <w:szCs w:val="32"/>
          <w:lang w:eastAsia="zh-CN"/>
        </w:rPr>
        <w:t>二十一</w:t>
      </w:r>
      <w:r>
        <w:rPr>
          <w:rFonts w:hint="eastAsia"/>
          <w:szCs w:val="32"/>
        </w:rPr>
        <w:t>）推动新业态企业工会组建，以重点行业特别是互联网平台服务业为重点建会领域，积极探索适应网约车驾驶员、快递员、网约配送员等不同职业特点的建会入会方式，通过单独建会、联合建会、行业建会、区域建会等多种方式扩大工会组织覆盖面，最大限度吸引新就业形态劳动者加入工会，切实强化新业态就业群体权益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（二十</w:t>
      </w:r>
      <w:r>
        <w:rPr>
          <w:rFonts w:hint="eastAsia"/>
          <w:szCs w:val="32"/>
          <w:lang w:eastAsia="zh-CN"/>
        </w:rPr>
        <w:t>二</w:t>
      </w:r>
      <w:r>
        <w:rPr>
          <w:rFonts w:hint="eastAsia"/>
          <w:szCs w:val="32"/>
        </w:rPr>
        <w:t>）推进集体协商，督促、引导产业（行业）工会与行业协会或行业企业代表，重点就劳动定额、计件单价、</w:t>
      </w:r>
      <w:r>
        <w:rPr>
          <w:rFonts w:hint="eastAsia"/>
          <w:szCs w:val="32"/>
          <w:lang w:eastAsia="zh-CN"/>
        </w:rPr>
        <w:t>抽成比例、工作时间、平台算法、</w:t>
      </w:r>
      <w:r>
        <w:rPr>
          <w:rFonts w:hint="eastAsia"/>
          <w:szCs w:val="32"/>
        </w:rPr>
        <w:t>服务标准、劳动保护、意外保险和争议处理等方面开展集体协商，签订集体合同。</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szCs w:val="32"/>
          <w:lang w:eastAsia="zh-CN"/>
        </w:rPr>
      </w:pPr>
      <w:r>
        <w:rPr>
          <w:rFonts w:hint="eastAsia"/>
          <w:szCs w:val="32"/>
        </w:rPr>
        <w:t>（二十</w:t>
      </w:r>
      <w:r>
        <w:rPr>
          <w:rFonts w:hint="eastAsia"/>
          <w:szCs w:val="32"/>
          <w:lang w:eastAsia="zh-CN"/>
        </w:rPr>
        <w:t>三</w:t>
      </w:r>
      <w:r>
        <w:rPr>
          <w:rFonts w:hint="eastAsia"/>
          <w:szCs w:val="32"/>
        </w:rPr>
        <w:t>） 督促企业制定修订平台进入退出、订单分配、计件单价、抽成比例、报酬构成及支付、工作时间、奖惩等直接涉及劳动者权益的制度规则和平台算法</w:t>
      </w:r>
      <w:r>
        <w:rPr>
          <w:rFonts w:hint="eastAsia"/>
          <w:szCs w:val="32"/>
          <w:lang w:eastAsia="zh-CN"/>
        </w:rPr>
        <w:t>规则</w:t>
      </w:r>
      <w:r>
        <w:rPr>
          <w:rFonts w:hint="eastAsia"/>
          <w:szCs w:val="32"/>
        </w:rPr>
        <w:t>，</w:t>
      </w:r>
      <w:r>
        <w:rPr>
          <w:rFonts w:hint="eastAsia"/>
          <w:szCs w:val="32"/>
          <w:lang w:eastAsia="zh-CN"/>
        </w:rPr>
        <w:t>明确算法规则生效要件，赋予平台对算法合理性的举证责任，规范平台用工管理算法。</w:t>
      </w:r>
      <w:r>
        <w:rPr>
          <w:rFonts w:hint="eastAsia"/>
          <w:szCs w:val="32"/>
        </w:rPr>
        <w:t>充分听取企业工会或劳动者代表的意见建议，将结果公示并告知劳动者</w:t>
      </w:r>
      <w:r>
        <w:rPr>
          <w:rFonts w:hint="eastAsia"/>
          <w:szCs w:val="32"/>
          <w:lang w:eastAsia="zh-CN"/>
        </w:rPr>
        <w:t>，保障劳动者对涉及切身利益重要事项的知情权。支持企业工会加强对企业执行相关制度规则和平台算法情况的有效监督，</w:t>
      </w:r>
      <w:r>
        <w:rPr>
          <w:rFonts w:hint="eastAsia"/>
          <w:szCs w:val="32"/>
        </w:rPr>
        <w:t>企业工会或劳动者代表提出协商要求的，企业应当积极响应，并提供必要的信息和资料。</w:t>
      </w:r>
      <w:r>
        <w:rPr>
          <w:rFonts w:hint="eastAsia"/>
          <w:szCs w:val="32"/>
          <w:lang w:eastAsia="zh-CN"/>
        </w:rPr>
        <w:t>督促平台企业在规章制度制定及算法等重大事项确定中严格遵守法律规定，积极履行社会责任。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（二十</w:t>
      </w:r>
      <w:r>
        <w:rPr>
          <w:rFonts w:hint="eastAsia"/>
          <w:szCs w:val="32"/>
          <w:lang w:eastAsia="zh-CN"/>
        </w:rPr>
        <w:t>四</w:t>
      </w:r>
      <w:r>
        <w:rPr>
          <w:rFonts w:hint="eastAsia"/>
          <w:szCs w:val="32"/>
        </w:rPr>
        <w:t xml:space="preserve">） </w:t>
      </w:r>
      <w:r>
        <w:rPr>
          <w:rFonts w:hint="eastAsia"/>
          <w:szCs w:val="32"/>
          <w:lang w:eastAsia="zh-CN"/>
        </w:rPr>
        <w:t>加强工会劳动法律监督，拓宽工会维权和服务范围，加强矛盾纠纷调处，加大监管力度。充分利用集体协商机制维护新就业形态劳动者的各类合法权益，为权益受到侵害的劳动者提供法律援助等，指导企业建立健全劳动者申诉机制，保障劳动者的申诉得到及时回应和客观公正处理，加强对消费者投诉评价的甄别分类和调查处理，防止恶意投诉索赔和企业“以罚代管”，有效维护用工稳定。</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六、权益维护</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（二十</w:t>
      </w:r>
      <w:r>
        <w:rPr>
          <w:rFonts w:hint="eastAsia"/>
          <w:szCs w:val="32"/>
          <w:lang w:eastAsia="zh-CN"/>
        </w:rPr>
        <w:t>五</w:t>
      </w:r>
      <w:r>
        <w:rPr>
          <w:rFonts w:hint="eastAsia"/>
          <w:szCs w:val="32"/>
        </w:rPr>
        <w:t>）</w:t>
      </w:r>
      <w:r>
        <w:rPr>
          <w:rFonts w:hint="eastAsia"/>
          <w:szCs w:val="32"/>
          <w:lang w:eastAsia="zh-CN"/>
        </w:rPr>
        <w:t>各级各有关部门和单位要认真履行职责，强化工作协同，实施包容审慎监管。建立平台企业用工情况报告制度，规范企业与劳动者之间的协议，督促企业建立具体的用工管理制度和用工办法，加强用工督促指导，</w:t>
      </w:r>
      <w:r>
        <w:rPr>
          <w:rFonts w:hint="eastAsia"/>
          <w:szCs w:val="32"/>
        </w:rPr>
        <w:t>加强劳动关系预警信息收集和报告</w:t>
      </w:r>
      <w:r>
        <w:rPr>
          <w:rFonts w:hint="eastAsia"/>
          <w:szCs w:val="32"/>
          <w:lang w:eastAsia="zh-CN"/>
        </w:rPr>
        <w:t>，</w:t>
      </w:r>
      <w:r>
        <w:rPr>
          <w:rFonts w:hint="eastAsia"/>
          <w:szCs w:val="32"/>
        </w:rPr>
        <w:t>密切关注新业态领域发展变化</w:t>
      </w:r>
      <w:r>
        <w:rPr>
          <w:rFonts w:hint="eastAsia"/>
          <w:szCs w:val="32"/>
          <w:lang w:eastAsia="zh-CN"/>
        </w:rPr>
        <w:t>。</w:t>
      </w:r>
      <w:r>
        <w:rPr>
          <w:rFonts w:hint="eastAsia"/>
          <w:szCs w:val="32"/>
        </w:rPr>
        <w:t>对突发情况开展预防和应急反应，加强对其用工模式和趋势等问题的调研分析</w:t>
      </w:r>
      <w:r>
        <w:rPr>
          <w:rFonts w:hint="eastAsia"/>
          <w:szCs w:val="32"/>
          <w:lang w:eastAsia="zh-CN"/>
        </w:rPr>
        <w:t>。</w:t>
      </w:r>
      <w:r>
        <w:rPr>
          <w:rFonts w:hint="eastAsia"/>
          <w:szCs w:val="32"/>
        </w:rPr>
        <w:t>要督促新业态企业履行主体责任</w:t>
      </w:r>
      <w:r>
        <w:rPr>
          <w:rFonts w:hint="eastAsia"/>
          <w:szCs w:val="32"/>
          <w:lang w:eastAsia="zh-CN"/>
        </w:rPr>
        <w:t>，通过健全维护新就业形态劳动者权益制度机制、规范平台算法和劳动规则、优化工作生活条件、加强职业技能培训等方式维护劳动者正当权益。</w:t>
      </w:r>
      <w:r>
        <w:rPr>
          <w:rFonts w:hint="eastAsia"/>
          <w:szCs w:val="32"/>
        </w:rPr>
        <w:t>督促指导新业态企业建立集体协商制度，及时处理因新业态用工引发的劳动案件，切实维护劳动者合法权益。</w:t>
      </w:r>
      <w:r>
        <w:rPr>
          <w:rFonts w:hint="eastAsia"/>
          <w:szCs w:val="32"/>
          <w:lang w:eastAsia="zh-CN"/>
        </w:rPr>
        <w:t>要加强综合预防调处机制建设，畅通投诉举报渠道，加大行政执法力度，研究制定相关政策措施，发挥各方职能优势，形成维护劳动者权益工作合力。</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rPr>
        <w:t>（二十</w:t>
      </w:r>
      <w:r>
        <w:rPr>
          <w:rFonts w:hint="eastAsia"/>
          <w:szCs w:val="32"/>
          <w:lang w:eastAsia="zh-CN"/>
        </w:rPr>
        <w:t>六</w:t>
      </w:r>
      <w:r>
        <w:rPr>
          <w:rFonts w:hint="eastAsia"/>
          <w:szCs w:val="32"/>
        </w:rPr>
        <w:t>）</w:t>
      </w:r>
      <w:r>
        <w:rPr>
          <w:rFonts w:hint="eastAsia"/>
          <w:szCs w:val="32"/>
          <w:lang w:eastAsia="zh-CN"/>
        </w:rPr>
        <w:t>各级工会组织要推进平台企业及其关联企业依法建立工会组织，积极吸纳新就业形态劳动者加入工会。建立工会网上公共服务平台，开放服务热线，为劳动者提供法律咨询、心理辅导、纠纷调解、事故救济等公益服务，建设好有效服务和凝聚新就业形态劳动者的服务阵地。</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hint="eastAsia" w:eastAsia="仿宋_GB2312"/>
          <w:szCs w:val="32"/>
          <w:lang w:eastAsia="zh-CN"/>
        </w:rPr>
      </w:pPr>
      <w:r>
        <w:rPr>
          <w:rFonts w:hint="eastAsia"/>
          <w:szCs w:val="32"/>
          <w:lang w:val="en-US" w:eastAsia="zh-CN"/>
        </w:rPr>
        <w:t>（二十七）</w:t>
      </w:r>
      <w:r>
        <w:rPr>
          <w:rFonts w:hint="eastAsia"/>
          <w:szCs w:val="32"/>
          <w:lang w:eastAsia="zh-CN"/>
        </w:rPr>
        <w:t>各级各地</w:t>
      </w:r>
      <w:r>
        <w:rPr>
          <w:rFonts w:hint="eastAsia"/>
          <w:szCs w:val="32"/>
        </w:rPr>
        <w:t>劳动保障监察机构</w:t>
      </w:r>
      <w:r>
        <w:rPr>
          <w:rFonts w:hint="eastAsia"/>
          <w:szCs w:val="32"/>
          <w:lang w:eastAsia="zh-CN"/>
        </w:rPr>
        <w:t>要加大日常劳动保障监察力度，督促新业态行业企业履行规定义务，适时开展以劳动合同</w:t>
      </w:r>
      <w:r>
        <w:rPr>
          <w:rFonts w:hint="eastAsia"/>
          <w:szCs w:val="32"/>
          <w:lang w:val="en-US" w:eastAsia="zh-CN"/>
        </w:rPr>
        <w:t>（协议）</w:t>
      </w:r>
      <w:r>
        <w:rPr>
          <w:rFonts w:hint="eastAsia"/>
          <w:szCs w:val="32"/>
          <w:lang w:eastAsia="zh-CN"/>
        </w:rPr>
        <w:t>签订、参加社会保险等内容为重点的专项或联合执法检查。畅通监察渠道，及时获取新业态企业侵权事件相关信息，保证第一时间监察到位。</w:t>
      </w:r>
      <w:r>
        <w:rPr>
          <w:rFonts w:hint="eastAsia"/>
          <w:szCs w:val="32"/>
        </w:rPr>
        <w:t>对符合受理条件的投诉、举报，应依法受理，加大对新业态行业</w:t>
      </w:r>
      <w:r>
        <w:rPr>
          <w:rFonts w:hint="eastAsia"/>
          <w:szCs w:val="32"/>
          <w:lang w:eastAsia="zh-CN"/>
        </w:rPr>
        <w:t>企业</w:t>
      </w:r>
      <w:r>
        <w:rPr>
          <w:rFonts w:hint="eastAsia"/>
          <w:szCs w:val="32"/>
        </w:rPr>
        <w:t>违法行为</w:t>
      </w:r>
      <w:r>
        <w:rPr>
          <w:rFonts w:hint="eastAsia"/>
          <w:szCs w:val="32"/>
          <w:lang w:eastAsia="zh-CN"/>
        </w:rPr>
        <w:t>查处</w:t>
      </w:r>
      <w:r>
        <w:rPr>
          <w:rFonts w:hint="eastAsia"/>
          <w:szCs w:val="32"/>
        </w:rPr>
        <w:t>力度。</w:t>
      </w:r>
      <w:r>
        <w:rPr>
          <w:rFonts w:hint="eastAsia"/>
          <w:szCs w:val="32"/>
          <w:lang w:eastAsia="zh-CN"/>
        </w:rPr>
        <w:t>通过下发监察建议函、约谈等形式，加强治理违反最低工资规定、拖欠劳动报酬、违法超时加班等突出问题。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（二十</w:t>
      </w:r>
      <w:r>
        <w:rPr>
          <w:rFonts w:hint="eastAsia"/>
          <w:szCs w:val="32"/>
          <w:lang w:eastAsia="zh-CN"/>
        </w:rPr>
        <w:t>八</w:t>
      </w:r>
      <w:r>
        <w:rPr>
          <w:rFonts w:hint="eastAsia"/>
          <w:szCs w:val="32"/>
        </w:rPr>
        <w:t>）</w:t>
      </w:r>
      <w:r>
        <w:rPr>
          <w:rFonts w:hint="eastAsia"/>
          <w:szCs w:val="32"/>
          <w:lang w:eastAsia="zh-CN"/>
        </w:rPr>
        <w:t>各级各地劳动争议调解委员会</w:t>
      </w:r>
      <w:r>
        <w:rPr>
          <w:rFonts w:hint="eastAsia"/>
          <w:szCs w:val="32"/>
        </w:rPr>
        <w:t>推动新业态领域行业性、区域性调解组织建设，</w:t>
      </w:r>
      <w:r>
        <w:rPr>
          <w:rFonts w:hint="eastAsia"/>
          <w:szCs w:val="32"/>
          <w:lang w:eastAsia="zh-CN"/>
        </w:rPr>
        <w:t>加大新就业形态劳动争议调处力度。加强新就业形态经济领域商会、行业协会调解组织建设，建立劳动纠纷在线解决机制</w:t>
      </w:r>
      <w:r>
        <w:rPr>
          <w:rFonts w:hint="eastAsia"/>
          <w:szCs w:val="32"/>
        </w:rPr>
        <w:t>，指导新业态企业建立调解委员会</w:t>
      </w:r>
      <w:r>
        <w:rPr>
          <w:rFonts w:hint="eastAsia"/>
          <w:szCs w:val="32"/>
          <w:lang w:eastAsia="zh-CN"/>
        </w:rPr>
        <w:t>。</w:t>
      </w:r>
      <w:r>
        <w:rPr>
          <w:rFonts w:hint="eastAsia"/>
          <w:szCs w:val="32"/>
        </w:rPr>
        <w:t>提高争议调处质效，保障劳动者的申诉得到及时回应和客观公正处理。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（二十</w:t>
      </w:r>
      <w:r>
        <w:rPr>
          <w:rFonts w:hint="eastAsia"/>
          <w:szCs w:val="32"/>
          <w:lang w:eastAsia="zh-CN"/>
        </w:rPr>
        <w:t>九</w:t>
      </w:r>
      <w:r>
        <w:rPr>
          <w:rFonts w:hint="eastAsia"/>
          <w:szCs w:val="32"/>
        </w:rPr>
        <w:t>）</w:t>
      </w:r>
      <w:r>
        <w:rPr>
          <w:rFonts w:hint="eastAsia"/>
          <w:szCs w:val="32"/>
          <w:lang w:eastAsia="zh-CN"/>
        </w:rPr>
        <w:t>各级</w:t>
      </w:r>
      <w:r>
        <w:rPr>
          <w:rFonts w:hint="eastAsia"/>
          <w:szCs w:val="32"/>
        </w:rPr>
        <w:t>劳动争议</w:t>
      </w:r>
      <w:r>
        <w:rPr>
          <w:rFonts w:hint="eastAsia"/>
          <w:szCs w:val="32"/>
          <w:lang w:eastAsia="zh-CN"/>
        </w:rPr>
        <w:t>争议调解</w:t>
      </w:r>
      <w:r>
        <w:rPr>
          <w:rFonts w:hint="eastAsia"/>
          <w:szCs w:val="32"/>
        </w:rPr>
        <w:t>仲裁机构</w:t>
      </w:r>
      <w:r>
        <w:rPr>
          <w:rFonts w:hint="eastAsia"/>
          <w:szCs w:val="32"/>
          <w:lang w:eastAsia="zh-CN"/>
        </w:rPr>
        <w:t>对于</w:t>
      </w:r>
      <w:r>
        <w:rPr>
          <w:rFonts w:hint="eastAsia"/>
          <w:szCs w:val="32"/>
        </w:rPr>
        <w:t>符合</w:t>
      </w:r>
      <w:r>
        <w:rPr>
          <w:rFonts w:hint="eastAsia"/>
          <w:szCs w:val="32"/>
          <w:lang w:eastAsia="zh-CN"/>
        </w:rPr>
        <w:t>确立劳动关系情形的，要及时处理，符合立案条件的劳动争议案件，应依法快立快审快处。对于不完全符合确立劳动关系情形的，鼓励支持调解组织参与</w:t>
      </w:r>
      <w:r>
        <w:rPr>
          <w:rFonts w:hint="eastAsia"/>
          <w:szCs w:val="32"/>
        </w:rPr>
        <w:t>“一站式”多元化调处机制</w:t>
      </w:r>
      <w:r>
        <w:rPr>
          <w:rFonts w:hint="eastAsia"/>
          <w:szCs w:val="32"/>
          <w:lang w:eastAsia="zh-CN"/>
        </w:rPr>
        <w:t>工作，多元化解劳动争议。要探索适合新业态的简易劳动争议仲裁办法，强化终局裁决，降低劳动者维权成本。要加强劳动争议综合预防调处机制建设，研究在线调解办法，</w:t>
      </w:r>
      <w:r>
        <w:rPr>
          <w:rFonts w:hint="eastAsia"/>
          <w:szCs w:val="32"/>
        </w:rPr>
        <w:t>畅通法律援助救济渠道，加大劳动权益救济力度。</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rFonts w:ascii="黑体" w:hAnsi="黑体" w:eastAsia="黑体"/>
          <w:szCs w:val="32"/>
        </w:rPr>
      </w:pPr>
      <w:r>
        <w:rPr>
          <w:rFonts w:hint="eastAsia" w:ascii="黑体" w:hAnsi="黑体" w:eastAsia="黑体"/>
          <w:szCs w:val="32"/>
        </w:rPr>
        <w:t>七、其他</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szCs w:val="32"/>
        </w:rPr>
      </w:pPr>
      <w:r>
        <w:rPr>
          <w:rFonts w:hint="eastAsia"/>
          <w:szCs w:val="32"/>
        </w:rPr>
        <w:t>（</w:t>
      </w:r>
      <w:r>
        <w:rPr>
          <w:rFonts w:hint="eastAsia"/>
          <w:szCs w:val="32"/>
          <w:lang w:eastAsia="zh-CN"/>
        </w:rPr>
        <w:t>三十</w:t>
      </w:r>
      <w:r>
        <w:rPr>
          <w:rFonts w:hint="eastAsia"/>
          <w:szCs w:val="32"/>
        </w:rPr>
        <w:t>）本</w:t>
      </w:r>
      <w:r>
        <w:rPr>
          <w:rFonts w:hint="eastAsia"/>
          <w:szCs w:val="32"/>
          <w:lang w:eastAsia="zh-CN"/>
        </w:rPr>
        <w:t>合规管理规范</w:t>
      </w:r>
      <w:r>
        <w:rPr>
          <w:rFonts w:hint="eastAsia"/>
          <w:szCs w:val="32"/>
        </w:rPr>
        <w:t>适用于在</w:t>
      </w:r>
      <w:r>
        <w:rPr>
          <w:rFonts w:hint="eastAsia"/>
          <w:szCs w:val="32"/>
          <w:lang w:eastAsia="zh-CN"/>
        </w:rPr>
        <w:t>怀化</w:t>
      </w:r>
      <w:r>
        <w:rPr>
          <w:rFonts w:hint="eastAsia"/>
          <w:szCs w:val="32"/>
        </w:rPr>
        <w:t>市登记注册的新业态企业及其在</w:t>
      </w:r>
      <w:r>
        <w:rPr>
          <w:rFonts w:hint="eastAsia"/>
          <w:szCs w:val="32"/>
          <w:lang w:eastAsia="zh-CN"/>
        </w:rPr>
        <w:t>怀</w:t>
      </w:r>
      <w:r>
        <w:rPr>
          <w:rFonts w:hint="eastAsia"/>
          <w:szCs w:val="32"/>
        </w:rPr>
        <w:t>合作商。</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kern w:val="0"/>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rPr>
          <w:kern w:val="0"/>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kern w:val="0"/>
          <w:szCs w:val="32"/>
        </w:rPr>
      </w:pPr>
      <w:r>
        <w:rPr>
          <w:rFonts w:hint="eastAsia"/>
          <w:kern w:val="0"/>
          <w:szCs w:val="32"/>
        </w:rPr>
        <w:t>（此件主动公开）</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kern w:val="0"/>
          <w:szCs w:val="32"/>
        </w:rPr>
      </w:pPr>
      <w:r>
        <w:rPr>
          <w:rFonts w:hint="eastAsia"/>
          <w:kern w:val="0"/>
          <w:szCs w:val="32"/>
        </w:rPr>
        <w:t>（联系单位：市</w:t>
      </w:r>
      <w:r>
        <w:rPr>
          <w:rFonts w:hint="eastAsia"/>
          <w:kern w:val="0"/>
          <w:szCs w:val="32"/>
          <w:lang w:eastAsia="zh-CN"/>
        </w:rPr>
        <w:t>构建和谐劳动关系联席会议办公室</w:t>
      </w:r>
      <w:r>
        <w:rPr>
          <w:rFonts w:hint="eastAsia"/>
          <w:kern w:val="0"/>
          <w:szCs w:val="32"/>
        </w:rPr>
        <w:t xml:space="preserve"> </w:t>
      </w:r>
      <w:r>
        <w:rPr>
          <w:rFonts w:hint="eastAsia"/>
          <w:kern w:val="0"/>
          <w:szCs w:val="32"/>
          <w:lang w:val="en-US" w:eastAsia="zh-CN"/>
        </w:rPr>
        <w:t>0745-2714252</w:t>
      </w:r>
      <w:r>
        <w:rPr>
          <w:rFonts w:hint="eastAsia"/>
          <w:kern w:val="0"/>
          <w:szCs w:val="32"/>
        </w:rPr>
        <w:t>）</w:t>
      </w:r>
    </w:p>
    <w:sectPr>
      <w:headerReference r:id="rId4" w:type="first"/>
      <w:headerReference r:id="rId3" w:type="default"/>
      <w:footerReference r:id="rId5" w:type="default"/>
      <w:footerReference r:id="rId6"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5</w:t>
    </w:r>
    <w:r>
      <w:rPr>
        <w:sz w:val="22"/>
        <w:szCs w:val="22"/>
      </w:rPr>
      <w:fldChar w:fldCharType="end"/>
    </w:r>
    <w:r>
      <w:rPr>
        <w:rFonts w:hint="eastAsia"/>
        <w:sz w:val="22"/>
        <w:szCs w:val="22"/>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sz w:val="28"/>
        <w:szCs w:val="28"/>
      </w:rPr>
      <w:t>　-</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２</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zk4NjRmM2MwMWJlNjliNWJlZDJmMGZkNTk5YjIifQ=="/>
  </w:docVars>
  <w:rsids>
    <w:rsidRoot w:val="003D7855"/>
    <w:rsid w:val="000313C8"/>
    <w:rsid w:val="00036CC6"/>
    <w:rsid w:val="0004000E"/>
    <w:rsid w:val="000743EE"/>
    <w:rsid w:val="00075ECE"/>
    <w:rsid w:val="00080A5E"/>
    <w:rsid w:val="0008291C"/>
    <w:rsid w:val="0009540D"/>
    <w:rsid w:val="0009669A"/>
    <w:rsid w:val="000A1CC2"/>
    <w:rsid w:val="000A33EB"/>
    <w:rsid w:val="000C213A"/>
    <w:rsid w:val="000C4958"/>
    <w:rsid w:val="000D165C"/>
    <w:rsid w:val="000E4C66"/>
    <w:rsid w:val="001018EE"/>
    <w:rsid w:val="00117CDF"/>
    <w:rsid w:val="001465E6"/>
    <w:rsid w:val="00154CB7"/>
    <w:rsid w:val="001772C4"/>
    <w:rsid w:val="001811FC"/>
    <w:rsid w:val="00182E87"/>
    <w:rsid w:val="00187247"/>
    <w:rsid w:val="00192514"/>
    <w:rsid w:val="00196FDF"/>
    <w:rsid w:val="001A5A1B"/>
    <w:rsid w:val="001D6BC3"/>
    <w:rsid w:val="001E0718"/>
    <w:rsid w:val="001E2D16"/>
    <w:rsid w:val="001F4F47"/>
    <w:rsid w:val="00220587"/>
    <w:rsid w:val="00236D5F"/>
    <w:rsid w:val="00241466"/>
    <w:rsid w:val="00250CA4"/>
    <w:rsid w:val="00261C2E"/>
    <w:rsid w:val="002624BE"/>
    <w:rsid w:val="002877CD"/>
    <w:rsid w:val="002A26F5"/>
    <w:rsid w:val="002B6D8B"/>
    <w:rsid w:val="002C31EF"/>
    <w:rsid w:val="002C4258"/>
    <w:rsid w:val="002D6024"/>
    <w:rsid w:val="002E3BAB"/>
    <w:rsid w:val="002E5255"/>
    <w:rsid w:val="002F3B69"/>
    <w:rsid w:val="002F493C"/>
    <w:rsid w:val="002F50F2"/>
    <w:rsid w:val="00310363"/>
    <w:rsid w:val="00335974"/>
    <w:rsid w:val="003459AB"/>
    <w:rsid w:val="00353771"/>
    <w:rsid w:val="00354720"/>
    <w:rsid w:val="00357C24"/>
    <w:rsid w:val="00362C4A"/>
    <w:rsid w:val="003810A8"/>
    <w:rsid w:val="003B0BDD"/>
    <w:rsid w:val="003D7855"/>
    <w:rsid w:val="004071EF"/>
    <w:rsid w:val="00417DCE"/>
    <w:rsid w:val="00422DFD"/>
    <w:rsid w:val="004450E4"/>
    <w:rsid w:val="00453AA0"/>
    <w:rsid w:val="00475912"/>
    <w:rsid w:val="00477114"/>
    <w:rsid w:val="00487476"/>
    <w:rsid w:val="00491EAC"/>
    <w:rsid w:val="004B38F1"/>
    <w:rsid w:val="004C7095"/>
    <w:rsid w:val="004D1B4B"/>
    <w:rsid w:val="004D2F44"/>
    <w:rsid w:val="004F7C1F"/>
    <w:rsid w:val="005005FF"/>
    <w:rsid w:val="00504204"/>
    <w:rsid w:val="00511401"/>
    <w:rsid w:val="0052037C"/>
    <w:rsid w:val="0054698F"/>
    <w:rsid w:val="005601C5"/>
    <w:rsid w:val="00560669"/>
    <w:rsid w:val="005617E6"/>
    <w:rsid w:val="00571DD0"/>
    <w:rsid w:val="00574569"/>
    <w:rsid w:val="00574E51"/>
    <w:rsid w:val="00591665"/>
    <w:rsid w:val="0059262F"/>
    <w:rsid w:val="005A77E4"/>
    <w:rsid w:val="005B340E"/>
    <w:rsid w:val="005C12B5"/>
    <w:rsid w:val="005C3E11"/>
    <w:rsid w:val="005C4C26"/>
    <w:rsid w:val="005C5653"/>
    <w:rsid w:val="005C7BB2"/>
    <w:rsid w:val="005F19F8"/>
    <w:rsid w:val="00603080"/>
    <w:rsid w:val="0060406E"/>
    <w:rsid w:val="006140F1"/>
    <w:rsid w:val="00634CC6"/>
    <w:rsid w:val="006443B3"/>
    <w:rsid w:val="006636E3"/>
    <w:rsid w:val="00671973"/>
    <w:rsid w:val="006850BB"/>
    <w:rsid w:val="006903CB"/>
    <w:rsid w:val="006911E4"/>
    <w:rsid w:val="006913C3"/>
    <w:rsid w:val="006A0C9A"/>
    <w:rsid w:val="006A39AE"/>
    <w:rsid w:val="006A41C5"/>
    <w:rsid w:val="006B0CAE"/>
    <w:rsid w:val="006E55F7"/>
    <w:rsid w:val="006F3FC3"/>
    <w:rsid w:val="006F548A"/>
    <w:rsid w:val="00721908"/>
    <w:rsid w:val="007248E3"/>
    <w:rsid w:val="0072649E"/>
    <w:rsid w:val="00726B56"/>
    <w:rsid w:val="00742245"/>
    <w:rsid w:val="0075553F"/>
    <w:rsid w:val="00777334"/>
    <w:rsid w:val="00777A8F"/>
    <w:rsid w:val="00780581"/>
    <w:rsid w:val="00786E47"/>
    <w:rsid w:val="00793FF3"/>
    <w:rsid w:val="007A1361"/>
    <w:rsid w:val="007A285E"/>
    <w:rsid w:val="007B66B9"/>
    <w:rsid w:val="007C73B7"/>
    <w:rsid w:val="007F462D"/>
    <w:rsid w:val="00811A69"/>
    <w:rsid w:val="0081282C"/>
    <w:rsid w:val="008230C3"/>
    <w:rsid w:val="00823EE6"/>
    <w:rsid w:val="00833FCD"/>
    <w:rsid w:val="00854A38"/>
    <w:rsid w:val="00861357"/>
    <w:rsid w:val="00861786"/>
    <w:rsid w:val="0086265B"/>
    <w:rsid w:val="008717ED"/>
    <w:rsid w:val="00874C2C"/>
    <w:rsid w:val="00882B65"/>
    <w:rsid w:val="008867E6"/>
    <w:rsid w:val="00887121"/>
    <w:rsid w:val="0089171C"/>
    <w:rsid w:val="008D34BB"/>
    <w:rsid w:val="008E6432"/>
    <w:rsid w:val="008F538A"/>
    <w:rsid w:val="00900945"/>
    <w:rsid w:val="0091357C"/>
    <w:rsid w:val="0092172D"/>
    <w:rsid w:val="0092509A"/>
    <w:rsid w:val="00926A52"/>
    <w:rsid w:val="0093260E"/>
    <w:rsid w:val="009506EA"/>
    <w:rsid w:val="00953816"/>
    <w:rsid w:val="0095464C"/>
    <w:rsid w:val="00960094"/>
    <w:rsid w:val="00982AE9"/>
    <w:rsid w:val="00990C35"/>
    <w:rsid w:val="009A788D"/>
    <w:rsid w:val="009D2AFA"/>
    <w:rsid w:val="009E1393"/>
    <w:rsid w:val="009F6F7F"/>
    <w:rsid w:val="009F776A"/>
    <w:rsid w:val="00A0060F"/>
    <w:rsid w:val="00A12973"/>
    <w:rsid w:val="00A3377F"/>
    <w:rsid w:val="00A36C6C"/>
    <w:rsid w:val="00A45467"/>
    <w:rsid w:val="00A55F74"/>
    <w:rsid w:val="00A840D6"/>
    <w:rsid w:val="00A86E28"/>
    <w:rsid w:val="00A96461"/>
    <w:rsid w:val="00AB71BA"/>
    <w:rsid w:val="00AC5601"/>
    <w:rsid w:val="00AC77C9"/>
    <w:rsid w:val="00AD172A"/>
    <w:rsid w:val="00AD23AD"/>
    <w:rsid w:val="00AE5A8B"/>
    <w:rsid w:val="00AF25EE"/>
    <w:rsid w:val="00B0778A"/>
    <w:rsid w:val="00B147AA"/>
    <w:rsid w:val="00B3649F"/>
    <w:rsid w:val="00B42A63"/>
    <w:rsid w:val="00B51F71"/>
    <w:rsid w:val="00B6114E"/>
    <w:rsid w:val="00B628C5"/>
    <w:rsid w:val="00B9053B"/>
    <w:rsid w:val="00B96D2E"/>
    <w:rsid w:val="00BA5C3F"/>
    <w:rsid w:val="00BA615B"/>
    <w:rsid w:val="00BA63EE"/>
    <w:rsid w:val="00BB071C"/>
    <w:rsid w:val="00BB0C15"/>
    <w:rsid w:val="00BB4049"/>
    <w:rsid w:val="00BB5FA7"/>
    <w:rsid w:val="00BB6E0D"/>
    <w:rsid w:val="00BC24A8"/>
    <w:rsid w:val="00BC5D09"/>
    <w:rsid w:val="00BD4143"/>
    <w:rsid w:val="00BD4A90"/>
    <w:rsid w:val="00BE1EFA"/>
    <w:rsid w:val="00C135DE"/>
    <w:rsid w:val="00C1635B"/>
    <w:rsid w:val="00C33AF8"/>
    <w:rsid w:val="00C61EFE"/>
    <w:rsid w:val="00C86516"/>
    <w:rsid w:val="00C86E07"/>
    <w:rsid w:val="00CB61F5"/>
    <w:rsid w:val="00CC0DEF"/>
    <w:rsid w:val="00CF7E88"/>
    <w:rsid w:val="00D00CAB"/>
    <w:rsid w:val="00D010DD"/>
    <w:rsid w:val="00D0790C"/>
    <w:rsid w:val="00D21A29"/>
    <w:rsid w:val="00D23758"/>
    <w:rsid w:val="00D5385C"/>
    <w:rsid w:val="00D55559"/>
    <w:rsid w:val="00D65C76"/>
    <w:rsid w:val="00D70ED0"/>
    <w:rsid w:val="00D716F0"/>
    <w:rsid w:val="00D75411"/>
    <w:rsid w:val="00D81A2B"/>
    <w:rsid w:val="00D82C8E"/>
    <w:rsid w:val="00D92EAB"/>
    <w:rsid w:val="00DA02F6"/>
    <w:rsid w:val="00DA16B7"/>
    <w:rsid w:val="00DB0E6D"/>
    <w:rsid w:val="00DB45D8"/>
    <w:rsid w:val="00DC30C3"/>
    <w:rsid w:val="00DE0751"/>
    <w:rsid w:val="00DE3C70"/>
    <w:rsid w:val="00E07D9C"/>
    <w:rsid w:val="00E07F8E"/>
    <w:rsid w:val="00E12ABF"/>
    <w:rsid w:val="00E13379"/>
    <w:rsid w:val="00E36979"/>
    <w:rsid w:val="00E449A4"/>
    <w:rsid w:val="00E57A41"/>
    <w:rsid w:val="00E636F0"/>
    <w:rsid w:val="00E7682E"/>
    <w:rsid w:val="00E8430D"/>
    <w:rsid w:val="00E902C3"/>
    <w:rsid w:val="00E95C06"/>
    <w:rsid w:val="00EA0C1E"/>
    <w:rsid w:val="00EC760F"/>
    <w:rsid w:val="00ED2AFF"/>
    <w:rsid w:val="00ED5608"/>
    <w:rsid w:val="00ED7269"/>
    <w:rsid w:val="00EE22FF"/>
    <w:rsid w:val="00EE5BFC"/>
    <w:rsid w:val="00EF61CF"/>
    <w:rsid w:val="00F10AB2"/>
    <w:rsid w:val="00F3087A"/>
    <w:rsid w:val="00F338AF"/>
    <w:rsid w:val="00F37C93"/>
    <w:rsid w:val="00F42409"/>
    <w:rsid w:val="00F6309B"/>
    <w:rsid w:val="00F6516F"/>
    <w:rsid w:val="00F71EB9"/>
    <w:rsid w:val="00F730EA"/>
    <w:rsid w:val="00F8017E"/>
    <w:rsid w:val="00F811BC"/>
    <w:rsid w:val="00F81E6C"/>
    <w:rsid w:val="00F829DA"/>
    <w:rsid w:val="00F83FEF"/>
    <w:rsid w:val="00F90804"/>
    <w:rsid w:val="00F95F48"/>
    <w:rsid w:val="00FA0909"/>
    <w:rsid w:val="00FA5C3C"/>
    <w:rsid w:val="00FB6A25"/>
    <w:rsid w:val="00FC23A4"/>
    <w:rsid w:val="00FD3944"/>
    <w:rsid w:val="00FD5D5B"/>
    <w:rsid w:val="00FE1A8D"/>
    <w:rsid w:val="00FF399E"/>
    <w:rsid w:val="00FF7B0A"/>
    <w:rsid w:val="04F769B0"/>
    <w:rsid w:val="0BF0609F"/>
    <w:rsid w:val="0C8E7BD5"/>
    <w:rsid w:val="0CFD5AEB"/>
    <w:rsid w:val="15D9518F"/>
    <w:rsid w:val="20BF11C0"/>
    <w:rsid w:val="22A254C0"/>
    <w:rsid w:val="294D6946"/>
    <w:rsid w:val="303B7C0D"/>
    <w:rsid w:val="32D65CB7"/>
    <w:rsid w:val="388B61ED"/>
    <w:rsid w:val="3B36397F"/>
    <w:rsid w:val="3BB61350"/>
    <w:rsid w:val="43BC4553"/>
    <w:rsid w:val="48E41F0B"/>
    <w:rsid w:val="4B226A5F"/>
    <w:rsid w:val="5A09540F"/>
    <w:rsid w:val="635078E8"/>
    <w:rsid w:val="6CF23911"/>
    <w:rsid w:val="6FBE19E1"/>
    <w:rsid w:val="70971B86"/>
    <w:rsid w:val="70D766C9"/>
    <w:rsid w:val="71C83686"/>
    <w:rsid w:val="78595DF3"/>
    <w:rsid w:val="7D1C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link w:val="24"/>
    <w:qFormat/>
    <w:uiPriority w:val="99"/>
    <w:pPr>
      <w:adjustRightInd w:val="0"/>
      <w:snapToGrid w:val="0"/>
      <w:spacing w:beforeLines="100" w:afterLines="100" w:line="480" w:lineRule="exact"/>
      <w:jc w:val="center"/>
      <w:outlineLvl w:val="0"/>
    </w:pPr>
    <w:rPr>
      <w:rFonts w:ascii="黑体" w:hAnsi="黑体" w:eastAsia="黑体" w:cs="Times New Roman"/>
      <w:bCs/>
      <w:kern w:val="2"/>
      <w:sz w:val="32"/>
      <w:szCs w:val="4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qFormat/>
    <w:uiPriority w:val="0"/>
    <w:pPr>
      <w:spacing w:after="120"/>
    </w:pPr>
    <w:rPr>
      <w:rFonts w:ascii="Calibri" w:hAnsi="Calibri" w:eastAsia="宋体"/>
      <w:sz w:val="21"/>
    </w:rPr>
  </w:style>
  <w:style w:type="paragraph" w:styleId="4">
    <w:name w:val="Plain Text"/>
    <w:basedOn w:val="1"/>
    <w:link w:val="26"/>
    <w:qFormat/>
    <w:uiPriority w:val="0"/>
    <w:rPr>
      <w:rFonts w:ascii="宋体" w:hAnsi="Courier New" w:cs="Courier New" w:eastAsiaTheme="minorEastAsia"/>
      <w:sz w:val="21"/>
      <w:szCs w:val="21"/>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style>
  <w:style w:type="character" w:styleId="15">
    <w:name w:val="Hyperlink"/>
    <w:basedOn w:val="13"/>
    <w:qFormat/>
    <w:uiPriority w:val="99"/>
    <w:rPr>
      <w:color w:val="0000FF"/>
      <w:u w:val="single"/>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Char"/>
    <w:basedOn w:val="13"/>
    <w:link w:val="5"/>
    <w:semiHidden/>
    <w:qFormat/>
    <w:uiPriority w:val="99"/>
    <w:rPr>
      <w:rFonts w:ascii="Times New Roman" w:hAnsi="Times New Roman" w:eastAsia="仿宋_GB2312" w:cs="Times New Roman"/>
      <w:sz w:val="32"/>
      <w:szCs w:val="24"/>
    </w:rPr>
  </w:style>
  <w:style w:type="character" w:customStyle="1" w:styleId="20">
    <w:name w:val="批注框文本 Char"/>
    <w:basedOn w:val="13"/>
    <w:link w:val="6"/>
    <w:qFormat/>
    <w:uiPriority w:val="0"/>
    <w:rPr>
      <w:rFonts w:ascii="Times New Roman" w:hAnsi="Times New Roman" w:eastAsia="仿宋_GB2312" w:cs="Times New Roman"/>
      <w:sz w:val="18"/>
      <w:szCs w:val="18"/>
    </w:rPr>
  </w:style>
  <w:style w:type="character" w:customStyle="1" w:styleId="21">
    <w:name w:val="10"/>
    <w:basedOn w:val="13"/>
    <w:qFormat/>
    <w:uiPriority w:val="0"/>
    <w:rPr>
      <w:rFonts w:hint="default" w:ascii="Times New Roman" w:hAnsi="Times New Roman" w:cs="Times New Roman"/>
    </w:rPr>
  </w:style>
  <w:style w:type="character" w:customStyle="1" w:styleId="22">
    <w:name w:val="15"/>
    <w:basedOn w:val="13"/>
    <w:qFormat/>
    <w:uiPriority w:val="0"/>
    <w:rPr>
      <w:rFonts w:hint="eastAsia" w:ascii="宋体" w:hAnsi="宋体" w:eastAsia="宋体"/>
      <w:color w:val="000000"/>
      <w:sz w:val="20"/>
      <w:szCs w:val="20"/>
    </w:rPr>
  </w:style>
  <w:style w:type="character" w:customStyle="1" w:styleId="23">
    <w:name w:val="16"/>
    <w:basedOn w:val="13"/>
    <w:qFormat/>
    <w:uiPriority w:val="0"/>
    <w:rPr>
      <w:rFonts w:hint="eastAsia" w:ascii="宋体" w:hAnsi="宋体" w:eastAsia="宋体"/>
      <w:color w:val="000000"/>
      <w:sz w:val="20"/>
      <w:szCs w:val="20"/>
    </w:rPr>
  </w:style>
  <w:style w:type="character" w:customStyle="1" w:styleId="24">
    <w:name w:val="标题 1 Char"/>
    <w:basedOn w:val="13"/>
    <w:link w:val="2"/>
    <w:qFormat/>
    <w:uiPriority w:val="99"/>
    <w:rPr>
      <w:rFonts w:ascii="黑体" w:hAnsi="黑体" w:eastAsia="黑体" w:cs="Times New Roman"/>
      <w:bCs/>
      <w:sz w:val="32"/>
      <w:szCs w:val="48"/>
    </w:rPr>
  </w:style>
  <w:style w:type="paragraph" w:customStyle="1" w:styleId="25">
    <w:name w:val="p0"/>
    <w:qFormat/>
    <w:uiPriority w:val="99"/>
    <w:pPr>
      <w:jc w:val="both"/>
    </w:pPr>
    <w:rPr>
      <w:rFonts w:ascii="Times New Roman" w:hAnsi="Times New Roman" w:eastAsia="宋体" w:cs="Times New Roman"/>
      <w:kern w:val="0"/>
      <w:sz w:val="21"/>
      <w:szCs w:val="21"/>
      <w:lang w:val="en-US" w:eastAsia="zh-CN" w:bidi="ar-SA"/>
    </w:rPr>
  </w:style>
  <w:style w:type="character" w:customStyle="1" w:styleId="26">
    <w:name w:val="纯文本 Char"/>
    <w:basedOn w:val="13"/>
    <w:link w:val="4"/>
    <w:qFormat/>
    <w:locked/>
    <w:uiPriority w:val="0"/>
    <w:rPr>
      <w:rFonts w:ascii="宋体" w:hAnsi="Courier New" w:cs="Courier New"/>
      <w:szCs w:val="21"/>
    </w:rPr>
  </w:style>
  <w:style w:type="character" w:customStyle="1" w:styleId="27">
    <w:name w:val="纯文本 Char1"/>
    <w:basedOn w:val="13"/>
    <w:semiHidden/>
    <w:qFormat/>
    <w:uiPriority w:val="99"/>
    <w:rPr>
      <w:rFonts w:ascii="宋体" w:hAnsi="Courier New" w:eastAsia="宋体" w:cs="Courier New"/>
      <w:szCs w:val="21"/>
    </w:rPr>
  </w:style>
  <w:style w:type="character" w:customStyle="1" w:styleId="28">
    <w:name w:val="正文文本 Char"/>
    <w:basedOn w:val="13"/>
    <w:link w:val="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DC66-D0CF-497D-BDF6-1C799FD0E22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5657</Words>
  <Characters>5690</Characters>
  <Lines>23</Lines>
  <Paragraphs>6</Paragraphs>
  <TotalTime>58</TotalTime>
  <ScaleCrop>false</ScaleCrop>
  <LinksUpToDate>false</LinksUpToDate>
  <CharactersWithSpaces>5693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2001-12-25T10:45:00Z</dcterms:created>
  <dc:creator>陈雨晴</dc:creator>
  <cp:lastModifiedBy>kkm</cp:lastModifiedBy>
  <cp:lastPrinted>2022-08-10T09:43:00Z</cp:lastPrinted>
  <dcterms:modified xsi:type="dcterms:W3CDTF">2022-08-19T01:13:03Z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452D553A1C8E459295C70A76E5AC3A00</vt:lpwstr>
  </property>
</Properties>
</file>