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                                       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122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115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94.3%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13.45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58.1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10.7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48.88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20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10.7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28.88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7.22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2.75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7228.5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10186.2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6657.86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302.5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  <w:t>310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54.45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76.75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76.75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1582.17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1793.94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1788.94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624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慈善基金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  <w:t>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624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  <w:t>一次性抚恤费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1542.17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1758.94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1758.94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624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“迎新春送温暖”专项经费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16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5289.38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8005.51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4482.17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361.45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 w:eastAsia="zh-CN"/>
              </w:rPr>
              <w:t>419.9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"/>
              </w:rPr>
              <w:t>419.9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21.4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 w:eastAsia="zh-CN"/>
              </w:rPr>
              <w:t>15.6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43.33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66.39</w:t>
            </w:r>
            <w:bookmarkStart w:id="0" w:name="_GoBack"/>
            <w:bookmarkEnd w:id="0"/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66.39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1.84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2.01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230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"/>
              </w:rPr>
              <w:t>1427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2025年完工情况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6" w:firstLineChars="200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坚持从严管控、源头治理、全员参与、长效常态原则，聚焦经费开支、公务活动、资源能耗、资产管理等重点领域，压减非刚性、非重点、非必要支出，坚决杜绝铺张浪费、违规开支行为，全面提升单位资源使用效益，树立勤俭节约、务实高效的机关作风。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6" w:firstLineChars="200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姚升延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2026年6月12日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2235336 </w:t>
      </w:r>
    </w:p>
    <w:p/>
    <w:sectPr>
      <w:pgSz w:w="11900" w:h="16838"/>
      <w:pgMar w:top="1587" w:right="1871" w:bottom="1587" w:left="1984" w:header="851" w:footer="1559" w:gutter="0"/>
      <w:pgNumType w:start="1"/>
      <w:cols w:space="0" w:num="1"/>
      <w:rtlGutter w:val="0"/>
      <w:docGrid w:type="linesAndChars" w:linePitch="579" w:charSpace="17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20CC"/>
    <w:rsid w:val="5CAA3BDE"/>
    <w:rsid w:val="677F2B56"/>
    <w:rsid w:val="79FEC3D4"/>
    <w:rsid w:val="7DFEBC4A"/>
    <w:rsid w:val="7F7720CC"/>
    <w:rsid w:val="7FF73541"/>
    <w:rsid w:val="7FFEDF32"/>
    <w:rsid w:val="DFF1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ind w:firstLine="630" w:firstLineChars="200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标题1"/>
    <w:basedOn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2026-06-27T01:45:00Z</dcterms:created>
  <dc:creator>greatwall</dc:creator>
  <cp:lastModifiedBy>greatwall</cp:lastModifiedBy>
  <cp:lastPrinted>2026-07-20T17:02:43Z</cp:lastPrinted>
  <dcterms:modified xsi:type="dcterms:W3CDTF">2026-07-20T17:05:27Z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