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微软雅黑" w:cs="Times New Roman"/>
          <w:i w:val="0"/>
          <w:iCs w:val="0"/>
          <w:caps w:val="0"/>
          <w:color w:val="000000"/>
          <w:spacing w:val="0"/>
          <w:sz w:val="44"/>
          <w:szCs w:val="44"/>
          <w:shd w:val="clear" w:fill="FFFFFF"/>
          <w:lang w:val="en-US" w:eastAsia="zh-CN"/>
        </w:rPr>
      </w:pPr>
    </w:p>
    <w:p>
      <w:pPr>
        <w:jc w:val="center"/>
        <w:rPr>
          <w:rFonts w:hint="eastAsia" w:ascii="微软雅黑" w:hAnsi="微软雅黑" w:eastAsia="微软雅黑" w:cs="微软雅黑"/>
          <w:sz w:val="44"/>
          <w:szCs w:val="44"/>
          <w:lang w:val="en-US" w:eastAsia="zh-CN"/>
        </w:rPr>
      </w:pPr>
      <w:r>
        <w:rPr>
          <w:rFonts w:hint="default" w:ascii="Times New Roman" w:hAnsi="Times New Roman" w:eastAsia="微软雅黑" w:cs="Times New Roman"/>
          <w:i w:val="0"/>
          <w:iCs w:val="0"/>
          <w:caps w:val="0"/>
          <w:color w:val="000000"/>
          <w:spacing w:val="0"/>
          <w:sz w:val="44"/>
          <w:szCs w:val="44"/>
          <w:shd w:val="clear" w:fill="FFFFFF"/>
          <w:lang w:val="en-US" w:eastAsia="zh-CN"/>
        </w:rPr>
        <w:t>2025</w:t>
      </w:r>
      <w:r>
        <w:rPr>
          <w:rFonts w:hint="eastAsia" w:ascii="微软雅黑" w:hAnsi="微软雅黑" w:eastAsia="微软雅黑" w:cs="微软雅黑"/>
          <w:i w:val="0"/>
          <w:iCs w:val="0"/>
          <w:caps w:val="0"/>
          <w:color w:val="000000"/>
          <w:spacing w:val="0"/>
          <w:sz w:val="44"/>
          <w:szCs w:val="44"/>
          <w:shd w:val="clear" w:fill="FFFFFF"/>
          <w:lang w:val="en-US" w:eastAsia="zh-CN"/>
        </w:rPr>
        <w:t>年</w:t>
      </w:r>
      <w:r>
        <w:rPr>
          <w:rFonts w:hint="eastAsia" w:ascii="微软雅黑" w:hAnsi="微软雅黑" w:eastAsia="微软雅黑" w:cs="微软雅黑"/>
          <w:b w:val="0"/>
          <w:bCs w:val="0"/>
          <w:i w:val="0"/>
          <w:iCs w:val="0"/>
          <w:caps w:val="0"/>
          <w:color w:val="000000"/>
          <w:spacing w:val="0"/>
          <w:sz w:val="44"/>
          <w:szCs w:val="44"/>
          <w:shd w:val="clear" w:fill="FFFFFF"/>
          <w:lang w:val="en-US" w:eastAsia="zh-CN"/>
        </w:rPr>
        <w:t>度</w:t>
      </w:r>
      <w:r>
        <w:rPr>
          <w:rFonts w:hint="eastAsia" w:ascii="微软雅黑" w:hAnsi="微软雅黑" w:eastAsia="微软雅黑" w:cs="微软雅黑"/>
          <w:sz w:val="44"/>
          <w:szCs w:val="44"/>
          <w:lang w:val="en-US" w:eastAsia="zh-CN"/>
        </w:rPr>
        <w:t>湖南中坡国家森林公园管理处</w:t>
      </w: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整体支出绩效自评报告</w:t>
      </w: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jc w:val="center"/>
        <w:textAlignment w:val="auto"/>
        <w:rPr>
          <w:rFonts w:hint="eastAsia" w:ascii="方正黑体_GBK" w:hAnsi="方正黑体_GBK" w:eastAsia="方正黑体_GBK" w:cs="方正黑体_GBK"/>
          <w:b/>
          <w:bCs/>
          <w:color w:val="auto"/>
          <w:sz w:val="28"/>
          <w:szCs w:val="28"/>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单位名称（盖章）：</w:t>
      </w:r>
      <w:r>
        <w:rPr>
          <w:rFonts w:hint="eastAsia" w:ascii="微软雅黑" w:hAnsi="微软雅黑" w:eastAsia="微软雅黑" w:cs="微软雅黑"/>
          <w:sz w:val="28"/>
          <w:szCs w:val="28"/>
          <w:lang w:val="en-US" w:eastAsia="zh-CN"/>
        </w:rPr>
        <w:t>湖南中坡国家森林公园管理处</w:t>
      </w: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eastAsia" w:ascii="方正黑体_GBK" w:hAnsi="方正黑体_GBK" w:eastAsia="方正黑体_GBK" w:cs="方正黑体_GBK"/>
          <w:b/>
          <w:bCs/>
          <w:color w:val="auto"/>
          <w:sz w:val="32"/>
          <w:szCs w:val="32"/>
          <w:highlight w:val="none"/>
          <w:lang w:val="en-US" w:eastAsia="zh-CN"/>
        </w:rPr>
      </w:pPr>
    </w:p>
    <w:p>
      <w:pPr>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br w:type="page"/>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一、部门概况</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（一）部门基本情况</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湖南中坡国家森林公园管理处（以下简称中坡公园）成立于2010 年 7 月，为隶属市林业局管辖的副处级公益一类差额拨款事业单位，与“怀化市林业科学研究所”“怀化市中坡风景名胜管理处”“怀化市中坡国有林场”合署办公，实行“四块牌子，一套人马” 的管理体制。2023年10月，怀化市委机构编制委员会核定单位核定事业编制 137 个（最终控制数 90 个），班子成员 5 人，内设 8 个副科级机构。内设机构分别是综合部、人事教育部、计划财务部、规划建设部、森林防火与安全保卫部、旅游服务部、林场管理部、林业科技研究推广部。2025年末职工总人数 228人，其中在职 118人，退休110人。</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w:t>
      </w:r>
      <w:r>
        <w:rPr>
          <w:rFonts w:hint="default" w:ascii="楷体_GB2312" w:hAnsi="楷体_GB2312" w:eastAsia="楷体_GB2312" w:cs="楷体_GB2312"/>
          <w:b w:val="0"/>
          <w:bCs w:val="0"/>
          <w:color w:val="auto"/>
          <w:sz w:val="32"/>
          <w:szCs w:val="32"/>
          <w:highlight w:val="none"/>
          <w:lang w:val="en-US" w:eastAsia="zh-CN"/>
        </w:rPr>
        <w:t>部门整体支出规模及使用方向</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2025年度部门预算收入</w:t>
      </w:r>
      <w:r>
        <w:rPr>
          <w:rFonts w:hint="default" w:ascii="Times New Roman" w:hAnsi="Times New Roman" w:eastAsia="仿宋" w:cs="Times New Roman"/>
          <w:b w:val="0"/>
          <w:bCs w:val="0"/>
          <w:sz w:val="30"/>
          <w:szCs w:val="30"/>
          <w:lang w:val="en-US" w:eastAsia="zh-CN"/>
        </w:rPr>
        <w:t>2817.19</w:t>
      </w:r>
      <w:r>
        <w:rPr>
          <w:rFonts w:hint="default" w:ascii="Times New Roman" w:hAnsi="Times New Roman" w:eastAsia="仿宋" w:cs="Times New Roman"/>
          <w:b w:val="0"/>
          <w:bCs w:val="0"/>
          <w:sz w:val="30"/>
          <w:szCs w:val="30"/>
        </w:rPr>
        <w:t>万元</w:t>
      </w:r>
      <w:r>
        <w:rPr>
          <w:rFonts w:hint="default" w:ascii="Times New Roman" w:hAnsi="Times New Roman" w:eastAsia="仿宋" w:cs="Times New Roman"/>
          <w:b w:val="0"/>
          <w:bCs w:val="0"/>
          <w:color w:val="000000"/>
          <w:kern w:val="0"/>
          <w:sz w:val="30"/>
          <w:szCs w:val="30"/>
          <w:shd w:val="clear" w:color="auto" w:fill="FFFFFF"/>
          <w:lang w:val="en-US" w:eastAsia="zh-CN"/>
        </w:rPr>
        <w:t>，其中财政拨款预算收入</w:t>
      </w:r>
      <w:r>
        <w:rPr>
          <w:rFonts w:hint="default" w:ascii="Times New Roman" w:hAnsi="Times New Roman" w:eastAsia="仿宋" w:cs="Times New Roman"/>
          <w:b w:val="0"/>
          <w:bCs w:val="0"/>
          <w:sz w:val="30"/>
          <w:szCs w:val="30"/>
        </w:rPr>
        <w:t>2</w:t>
      </w:r>
      <w:r>
        <w:rPr>
          <w:rFonts w:hint="default" w:ascii="Times New Roman" w:hAnsi="Times New Roman" w:eastAsia="仿宋" w:cs="Times New Roman"/>
          <w:b w:val="0"/>
          <w:bCs w:val="0"/>
          <w:sz w:val="30"/>
          <w:szCs w:val="30"/>
          <w:lang w:val="en-US" w:eastAsia="zh-CN"/>
        </w:rPr>
        <w:t>692.69</w:t>
      </w:r>
      <w:r>
        <w:rPr>
          <w:rFonts w:hint="default" w:ascii="Times New Roman" w:hAnsi="Times New Roman" w:eastAsia="仿宋" w:cs="Times New Roman"/>
          <w:b w:val="0"/>
          <w:bCs w:val="0"/>
          <w:color w:val="000000"/>
          <w:kern w:val="0"/>
          <w:sz w:val="30"/>
          <w:szCs w:val="30"/>
          <w:shd w:val="clear" w:color="auto" w:fill="FFFFFF"/>
          <w:lang w:val="en-US" w:eastAsia="zh-CN"/>
        </w:rPr>
        <w:t>万元，其他预算收入124.5万元。部门预算支出2924.19万元；收支的资金缺口107万元由上年结转资金弥补。使用方向：其中工资福利支出1910.01万元，商品和服务支出528.38万元。对家庭和个人补助支出84.63万元，资本性支出401.17万元。部门预算支出主要用于单位林业科学研究，林业科技推广，促进林业生产发展；加强中坡公园森林资源和公共设施的管理与保护，提升中坡公园景点旅游设施；引进人才工作经费，引进人才住房补贴和生活补贴；对中坡公园的林道进行维修和养护，加强森林防火的预警、监测和应急防控能力；积极推进森林培育项目建设，促进森林资源培育，对园区绿化美化、园林绿地养护；对中坡公园的公益林、联营林租赁费按标准发放，形成健康稳定的森林生态系统。</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default" w:ascii="黑体" w:hAnsi="黑体" w:eastAsia="黑体" w:cs="黑体"/>
          <w:b w:val="0"/>
          <w:bCs w:val="0"/>
          <w:color w:val="auto"/>
          <w:sz w:val="32"/>
          <w:szCs w:val="32"/>
          <w:highlight w:val="none"/>
          <w:lang w:val="en-US" w:eastAsia="zh-CN"/>
        </w:rPr>
        <w:t>二、一般公共预算支出情况</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楷体_GB2312" w:hAnsi="楷体_GB2312" w:eastAsia="楷体_GB2312" w:cs="楷体_GB2312"/>
          <w:b w:val="0"/>
          <w:bCs w:val="0"/>
          <w:color w:val="auto"/>
          <w:sz w:val="32"/>
          <w:szCs w:val="32"/>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（一）基本支出</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2025年基本支出2253.29万元，其中工资福利支出1886.7万元，商品和服务支出281.42万元，对个人和家庭的补助84.63万元，资本性支出0.54万元，与2024年基本支出2015万元相比增加238.29万元，主要是2025年全体职工工资标准提高，人员经费增加。</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2025年“三公”经费统计数178000元。其中公务用车运行维护费为176639元；公务接待费为1361元。“三公”经费预算为178000元，其中公务用车运行维护费预算为176639元，公务接待费预算为1361元。2024年“三公”经费统计数344802.85元，其中其中公务用车购置费为177715元；公务用车运行维护费为149999.92元；公务接待费为17087.93元。“三公”经费总体与去年相比减少了48.4%。</w:t>
      </w:r>
    </w:p>
    <w:p>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2025年公务用车运行维护费用与去年相比增加了26639.08元，主要是公车数量增加，且经批准将公务接待费部分指标调至公车运行维护费；2025年公务接待费与去年相比减少了15726.93元，主要是我单位今年逐步推行无公务接待，公务接待费减少。我单位共接待批次3次，</w:t>
      </w:r>
      <w:r>
        <w:rPr>
          <w:rFonts w:hint="default" w:ascii="Times New Roman" w:hAnsi="Times New Roman" w:eastAsia="仿宋" w:cs="Times New Roman"/>
          <w:b w:val="0"/>
          <w:bCs w:val="0"/>
          <w:color w:val="auto"/>
          <w:kern w:val="0"/>
          <w:sz w:val="30"/>
          <w:szCs w:val="30"/>
          <w:highlight w:val="none"/>
          <w:shd w:val="clear" w:color="auto" w:fill="FFFFFF"/>
          <w:lang w:val="en-US" w:eastAsia="zh-CN"/>
        </w:rPr>
        <w:t>接待人次17人，人均接待费用80.06元</w:t>
      </w:r>
      <w:r>
        <w:rPr>
          <w:rFonts w:hint="default" w:ascii="Times New Roman" w:hAnsi="Times New Roman" w:eastAsia="仿宋" w:cs="Times New Roman"/>
          <w:b w:val="0"/>
          <w:bCs w:val="0"/>
          <w:color w:val="000000"/>
          <w:kern w:val="0"/>
          <w:sz w:val="30"/>
          <w:szCs w:val="30"/>
          <w:shd w:val="clear" w:color="auto" w:fill="FFFFFF"/>
          <w:lang w:val="en-US" w:eastAsia="zh-CN"/>
        </w:rPr>
        <w:t>。</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楷体_GB2312" w:hAnsi="楷体_GB2312" w:eastAsia="楷体_GB2312" w:cs="楷体_GB2312"/>
          <w:b w:val="0"/>
          <w:bCs w:val="0"/>
          <w:color w:val="auto"/>
          <w:sz w:val="32"/>
          <w:szCs w:val="32"/>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（二）项目支出</w:t>
      </w:r>
    </w:p>
    <w:p>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2024年项目支出670.9万元。其中财政补助项目支出649.05万元，非财政补助支出项目支出21.85万元。</w:t>
      </w:r>
    </w:p>
    <w:p>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中坡公园项目资金主要用于以下几个方面：</w:t>
      </w:r>
    </w:p>
    <w:p>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①公园</w:t>
      </w:r>
      <w:r>
        <w:rPr>
          <w:rFonts w:hint="default" w:ascii="Times New Roman" w:hAnsi="Times New Roman" w:eastAsia="仿宋" w:cs="Times New Roman"/>
          <w:b w:val="0"/>
          <w:bCs w:val="0"/>
          <w:color w:val="000000"/>
          <w:kern w:val="0"/>
          <w:sz w:val="30"/>
          <w:szCs w:val="30"/>
          <w:highlight w:val="none"/>
          <w:shd w:val="clear" w:color="auto" w:fill="FFFFFF"/>
          <w:lang w:val="en-US" w:eastAsia="zh-CN"/>
        </w:rPr>
        <w:t>联营林补偿及租赁费资</w:t>
      </w:r>
      <w:r>
        <w:rPr>
          <w:rFonts w:hint="default" w:ascii="Times New Roman" w:hAnsi="Times New Roman" w:eastAsia="仿宋" w:cs="Times New Roman"/>
          <w:b w:val="0"/>
          <w:bCs w:val="0"/>
          <w:color w:val="000000"/>
          <w:kern w:val="0"/>
          <w:sz w:val="30"/>
          <w:szCs w:val="30"/>
          <w:shd w:val="clear" w:color="auto" w:fill="FFFFFF"/>
          <w:lang w:val="en-US" w:eastAsia="zh-CN"/>
        </w:rPr>
        <w:t>金259.8万元。公园</w:t>
      </w:r>
      <w:r>
        <w:rPr>
          <w:rFonts w:hint="default" w:ascii="Times New Roman" w:hAnsi="Times New Roman" w:eastAsia="仿宋" w:cs="Times New Roman"/>
          <w:b w:val="0"/>
          <w:bCs w:val="0"/>
          <w:color w:val="000000"/>
          <w:kern w:val="0"/>
          <w:sz w:val="30"/>
          <w:szCs w:val="30"/>
          <w:highlight w:val="none"/>
          <w:shd w:val="clear" w:color="auto" w:fill="FFFFFF"/>
          <w:lang w:val="en-US" w:eastAsia="zh-CN"/>
        </w:rPr>
        <w:t>联营林及代管林租赁费</w:t>
      </w:r>
      <w:r>
        <w:rPr>
          <w:rFonts w:hint="default" w:ascii="Times New Roman" w:hAnsi="Times New Roman" w:eastAsia="仿宋" w:cs="Times New Roman"/>
          <w:b w:val="0"/>
          <w:bCs w:val="0"/>
          <w:color w:val="000000"/>
          <w:kern w:val="0"/>
          <w:sz w:val="30"/>
          <w:szCs w:val="30"/>
          <w:shd w:val="clear" w:color="auto" w:fill="FFFFFF"/>
          <w:lang w:val="en-US" w:eastAsia="zh-CN"/>
        </w:rPr>
        <w:t>项目根据《关于中坡公园联营林合同兑现及林地租赁工作汇报》的呈鉴内容要求及《关于解决中坡公园规划范围内集体林地租赁到期有关问题的请示》的批复，支付给团结村、新家庄村、板山村、炉天冲村、新垦村等村组集体及个人的林地租赁费，直接转账至农户银行卡或村组财政所账户，项目支出合计259.8万元。中坡公园联营林合同兑现利润分成及林地租赁资金的发放，有利于保护好现有的森林风景资源的优势，实现可持续经营，形成健康稳定的森林生态系统。</w:t>
      </w:r>
    </w:p>
    <w:p>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②2024年林路养护资金支出14.29万元。实施完成了中坡公园林路养护项目建设，</w:t>
      </w:r>
      <w:r>
        <w:rPr>
          <w:rFonts w:hint="default" w:ascii="Times New Roman" w:hAnsi="Times New Roman" w:eastAsia="方正仿宋_GBK" w:cs="Times New Roman"/>
          <w:b w:val="0"/>
          <w:bCs w:val="0"/>
          <w:color w:val="000000" w:themeColor="text1"/>
          <w:spacing w:val="-4"/>
          <w:sz w:val="32"/>
          <w:szCs w:val="32"/>
          <w14:textFill>
            <w14:solidFill>
              <w14:schemeClr w14:val="tx1"/>
            </w14:solidFill>
          </w14:textFill>
        </w:rPr>
        <w:t>对园内约1300㎡的主干道进行全面修复与保养，有效消除路面安全隐患</w:t>
      </w:r>
      <w:r>
        <w:rPr>
          <w:rFonts w:hint="default" w:ascii="Times New Roman" w:hAnsi="Times New Roman" w:eastAsia="方正仿宋_GBK" w:cs="Times New Roman"/>
          <w:b w:val="0"/>
          <w:bCs w:val="0"/>
          <w:color w:val="000000" w:themeColor="text1"/>
          <w:spacing w:val="-4"/>
          <w:sz w:val="32"/>
          <w:szCs w:val="32"/>
          <w:lang w:eastAsia="zh-CN"/>
          <w14:textFill>
            <w14:solidFill>
              <w14:schemeClr w14:val="tx1"/>
            </w14:solidFill>
          </w14:textFill>
        </w:rPr>
        <w:t>。</w:t>
      </w:r>
      <w:r>
        <w:rPr>
          <w:rFonts w:hint="default" w:ascii="Times New Roman" w:hAnsi="Times New Roman" w:eastAsia="仿宋" w:cs="Times New Roman"/>
          <w:b w:val="0"/>
          <w:bCs w:val="0"/>
          <w:color w:val="000000"/>
          <w:kern w:val="0"/>
          <w:sz w:val="30"/>
          <w:szCs w:val="30"/>
          <w:shd w:val="clear" w:color="auto" w:fill="FFFFFF"/>
          <w:lang w:val="en-US" w:eastAsia="zh-CN"/>
        </w:rPr>
        <w:t>林区公路养护资金的使用加强了中坡公园的道路建设和维护，对路面有破损的情况有计划地进行恢复处理，经常保持道路坚实平整，防止破损面积扩大，加强雨后道路的保养，及时清除路面车辙，疏通道路两侧排水沟，更好的保持中坡公园干净舒适的休闲环境。</w:t>
      </w:r>
    </w:p>
    <w:p>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③中坡公园公用设施管理费项目支出37.64万元。开支范围：定期对园内的路灯、体育器材、厕所、雨水箅子、垃圾箱、亭廊、木栈道等基础设施进行维护，园区面貌明显改善。全年处理智慧城管交办案40起，案件响应率与办结率均为100%，包括但不限于处理边坡塌方50余处，更换破损雨水箅子139块，维修及更换垃圾箱门体、内胆130余个，维修亭廊美人靠、坐凳、破裂瓷砖20余处，维修园区损坏路灯129盏，更换公厕冲水阀16个、冲水箱28套、洗手盆感应器10套，确保园区环境清洁美观。中坡公园公用设施的管理与维护，完善了中坡公园旅游设施、基础设施、配套设施，使中坡公园成为一个设施齐全、整洁、安全、空气质量优良的休闲胜地，保障中坡公园安全发展，充分发挥其社会效益，使中坡公园更好成为天然森林屏障和城市居民重要的休闲场所，有利于提升城市品质，推动经济发展，优化人居环境，成为人们休闲度假，旅游观光、陶冶情操和享受优美自然景观的理想场所。</w:t>
      </w:r>
    </w:p>
    <w:p>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④森林生态效益补偿专项资金22.97万元。其中市级森林生态效益补偿资金17.52万元，该资金是对中坡公园范围内的2.5万亩林木和林地，按10元/亩进行森林管护，用于森林管护人员的管护劳务费；第二批中央林业草原生态保护恢复资金5.45万元，该资金为对中坡公园6366亩国家级国有公益林保护修复资金。按《省级财政森林生态效益补偿基金管理办法》的规定建立该项目资金的专账，无挤占和挪用资金，确保专款专用。做好林农公益林补偿基金的发放工作，建立公益林管理台账和公益林数据库的建立。坚持巡山制度，保护责任区内的森林、林木、林地。中央级、市级森林生态效益补偿资金确保现有的森林资源良性发展，进一步保护好现有的森林生态资源并进行有效管理。</w:t>
      </w:r>
    </w:p>
    <w:p>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⑤森林防火资金49.95万元。管理处坚决执行中央《关于全面加强新形势下森林草原防灭火工作的意见》以及《湖南省森林火灾隐患排查整治和查处违规用火行为专项行动工作方案》的一系列指示精神，通过落实防火责任、加强防火宣传、强化值班值守、开展防火演练、开展督查巡查消除防火隐患等手段严防森林火灾发生，中坡公园森林火灾已连续十年保持“零发生”记录。一是压实防控责任。严格实行24小时值班和领导带班制度，落实网格化巡护全天候全境域覆盖；与周边乡镇村召开联防联控会议，签署联防联控责任书；连续保持森林火灾“零发生”记录。二是做细防控工作。组织防火队员学习有关森林防灭火、地质灾害防治等应急举措；在城北街道新垦十七组、科普馆等地开展了2次火情早期处置实战化应急演练；清明前完成园区千余座坟头墓地杂草清理，常态化清理林区道路两侧及已建成的生物防火林带和隔离带的枯枝落叶、杂草，从源头消除火灾隐患；在园区三个大门、主要路口、联营林村组及人口集中区域张贴省总林长令、市1号林长令及区林长令共60余份，新增设防火宣传牌22块，防火语音播报杆6处，防火宣传氛围明显浓厚，促进增强群众防火意识。三是加强防火基础设施建设。消防应急物资储备库正式投入使用；当风坳林火观测瞭望台地基配套工程也已完工。</w:t>
      </w:r>
    </w:p>
    <w:p>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⑥林业科技推广项目专项资金支出19万元。其中2025年度怀化市秤锤树种群遗传多样性分析和保育基数研究10万元，笋用乌壳雷竹产业化栽培与利用关键技术应用示范6万元，木材战略储备基地建设项目3万元。</w:t>
      </w:r>
    </w:p>
    <w:p>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⑦人才资源开发专项资金30.8万元。其中人才资源开发专项资金22.8万元，根据怀人才办发〔2023〕7号关于开展市直企事业单位全职引进人才2023年度第二次补贴申报工作的通知，引进副高级专业技术职称人才1人，项目支出用于支付副高级专业技术职称人才2025年度补贴生活补助及住房补助；五溪智汇柔性引进人才工作补助8万元。</w:t>
      </w:r>
    </w:p>
    <w:p>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⑧森林管护经费4.41万元。森林管护主要用于开展病虫害精准防治，通过无人机飞防、人工喷洒完成了1725亩森林的针对性药物喷洒防治，对450株大径马尾松（胸径≥40cm）进行打孔药剂注射作业；严格按照《森林病虫害防治条例》等相关文件要求，规范处置马尾松病死木1220株，有效切断病原传播链，维护了森林生态安全。</w:t>
      </w:r>
    </w:p>
    <w:p>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⑨中坡公园五溪广场提质改造项目92.37万元。主要支出内容为对五溪广场（面积约3500㎡）进行地面铲除、地基修复、麻石板铺装、排水沟砌筑、景观池改造、照明系统升级等。项目的实施有效提高了公园游客的体验感。</w:t>
      </w:r>
    </w:p>
    <w:p>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⑩种业创新工作经费11.85万元和中 坡公园绿化提质项目20万元。主要支出内容为完成了茶花园、祠堂坪、樱花谷的景观优化，补植观赏乔灌木3100余株；在园区重要生态区域及主干道沿线，有序清理杂灌木约1934亩；提质改造大花红山茶种质资源库，开展了两次全面抚育、施肥、修枝及病虫害防治工作；收集大花红山茶野生资源、品种，完成3000余株多品种野外嫁接；补植大花红山茶苗3000余株；种子育苗5000株。</w:t>
      </w:r>
    </w:p>
    <w:p>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⑪2025年中坡公园核减编制置换政府购买服务人员经费107.82万元。为了保障中坡公园的正常运转和良性发展，市编办出具了“同意退休后的空余编制由市编办收回，将编制置换为政府购买服务人员”的意见，市财政按6万元/人的标准下达专项工作经费，该项目支出用于支付中标物业公司的物业服务费。每月服务费的发放都以相关部门的评分为依据，评                                                                                                分合格才足额发放。</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default" w:ascii="黑体" w:hAnsi="黑体" w:eastAsia="黑体" w:cs="黑体"/>
          <w:b w:val="0"/>
          <w:bCs w:val="0"/>
          <w:color w:val="auto"/>
          <w:sz w:val="32"/>
          <w:szCs w:val="32"/>
          <w:highlight w:val="none"/>
          <w:lang w:val="en-US" w:eastAsia="zh-CN"/>
        </w:rPr>
        <w:t>三、项目组织实施情况</w:t>
      </w:r>
    </w:p>
    <w:p>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仿宋" w:cs="Times New Roman"/>
          <w:b w:val="0"/>
          <w:bCs w:val="0"/>
          <w:color w:val="auto"/>
          <w:sz w:val="30"/>
          <w:szCs w:val="30"/>
          <w:highlight w:val="none"/>
          <w:lang w:val="en-US" w:eastAsia="zh-CN"/>
        </w:rPr>
      </w:pPr>
      <w:r>
        <w:rPr>
          <w:rFonts w:hint="default" w:ascii="Times New Roman" w:hAnsi="Times New Roman" w:eastAsia="仿宋" w:cs="Times New Roman"/>
          <w:b w:val="0"/>
          <w:bCs w:val="0"/>
          <w:color w:val="auto"/>
          <w:sz w:val="30"/>
          <w:szCs w:val="30"/>
          <w:highlight w:val="none"/>
          <w:lang w:val="en-US" w:eastAsia="zh-CN"/>
        </w:rPr>
        <w:t>项目立项、计划批复和预算审批必须按单位规章制度规定的审批权限审批，2万元以上的支出项目由处务会集体研究决定。在项目实施中，如有计划或预算的变更，必须按照政府预决算管理办法履行相关审批程序，通过后才能变更。项目实施按照申报计划、编制方案、预算评审、经费审批、采购流程、合同审核签订、工程施工、竣工验收、档案归档等流程实施，工程审批和实施质量由实施部门负责，竣工验收要有项目实施部门、监理（或三方）、纪检人员参与，并在验收单上签署意见。单位纪检人员按照《湖南中坡国家森林公园管理处政府采购内部控制制度》的规定，负责对单位所有的项目建设和资金使用的程序合法性进行监督，受理、查处相关举报问题。</w:t>
      </w:r>
    </w:p>
    <w:p>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仿宋" w:cs="Times New Roman"/>
          <w:b w:val="0"/>
          <w:bCs w:val="0"/>
          <w:color w:val="auto"/>
          <w:sz w:val="30"/>
          <w:szCs w:val="30"/>
          <w:highlight w:val="none"/>
          <w:lang w:val="en-US" w:eastAsia="zh-CN"/>
        </w:rPr>
      </w:pPr>
      <w:r>
        <w:rPr>
          <w:rFonts w:hint="default" w:ascii="Times New Roman" w:hAnsi="Times New Roman" w:eastAsia="仿宋" w:cs="Times New Roman"/>
          <w:b w:val="0"/>
          <w:bCs w:val="0"/>
          <w:color w:val="auto"/>
          <w:sz w:val="30"/>
          <w:szCs w:val="30"/>
          <w:highlight w:val="none"/>
          <w:lang w:val="en-US" w:eastAsia="zh-CN"/>
        </w:rPr>
        <w:t>内部控制管理方面，修订完善了相关制度，未发生重大违纪违规事项，配合内控管理系统，单位相关内部管理制度进一步优化。严格按政府采购要求管理，限额以下的工程和采购全部纳入电子卖场管理，限额以上的按政府采购要求实施代理采购或公开招标。在项目实施过程中，坚决执行预决算制度、政府采购制度、合同制和监理制，严禁无审批超概算预算结算。</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default" w:ascii="黑体" w:hAnsi="黑体" w:eastAsia="黑体" w:cs="黑体"/>
          <w:b w:val="0"/>
          <w:bCs w:val="0"/>
          <w:color w:val="auto"/>
          <w:sz w:val="32"/>
          <w:szCs w:val="32"/>
          <w:highlight w:val="none"/>
          <w:lang w:val="en-US" w:eastAsia="zh-CN"/>
        </w:rPr>
        <w:t>四、资产管理情况</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 w:cs="Times New Roman"/>
          <w:b w:val="0"/>
          <w:bCs w:val="0"/>
          <w:color w:val="auto"/>
          <w:sz w:val="30"/>
          <w:szCs w:val="30"/>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（一）资产管理。</w:t>
      </w:r>
      <w:r>
        <w:rPr>
          <w:rFonts w:hint="default" w:ascii="Times New Roman" w:hAnsi="Times New Roman" w:eastAsia="仿宋" w:cs="Times New Roman"/>
          <w:b w:val="0"/>
          <w:bCs w:val="0"/>
          <w:color w:val="auto"/>
          <w:sz w:val="30"/>
          <w:szCs w:val="30"/>
          <w:highlight w:val="none"/>
          <w:lang w:val="en-US" w:eastAsia="zh-CN"/>
        </w:rPr>
        <w:t>对单位确需购置的固定资产，由使用部门提出申请，分管部门的领导签署同意的意见后，报主要领导审批。对属于政府采购的项目必须执行政府采购。采购与验收实行专人负责。对于经市机关事务局、市财政资产科审批的资产，及时创建资产卡片、录入资产信息、登记入账；办公设备设施等由综合部统一采购，统一分发，统一管理严格采购程序。对重大项目的采购实行询价制度，并严格执行货物验收程序。日常办公用品由综合部统一保管和分发，各科室到综合部领取办公用品，应根据工作的需要，坚持“勤俭节约、即用即领”不乱领，不多领。</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 w:cs="Times New Roman"/>
          <w:b w:val="0"/>
          <w:bCs w:val="0"/>
          <w:color w:val="auto"/>
          <w:sz w:val="30"/>
          <w:szCs w:val="30"/>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（二）处置资产的程序。</w:t>
      </w:r>
      <w:r>
        <w:rPr>
          <w:rFonts w:hint="default" w:ascii="Times New Roman" w:hAnsi="Times New Roman" w:eastAsia="仿宋" w:cs="Times New Roman"/>
          <w:b w:val="0"/>
          <w:bCs w:val="0"/>
          <w:color w:val="auto"/>
          <w:sz w:val="30"/>
          <w:szCs w:val="30"/>
          <w:highlight w:val="none"/>
          <w:lang w:val="en-US" w:eastAsia="zh-CN"/>
        </w:rPr>
        <w:t>我单位处置固定资产时，由财务人员到财政部门领取并填写《国有资产处置审批表》，同时提供被处置资产的有关资料（包括被处置资产原始凭证复印件、鉴定资料及有关证明等），按权限报分管领导、主要领导审批决定，并经财政部门审查批准后进行处置。</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 w:cs="Times New Roman"/>
          <w:b w:val="0"/>
          <w:bCs w:val="0"/>
          <w:color w:val="auto"/>
          <w:sz w:val="30"/>
          <w:szCs w:val="30"/>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（三）资产清查。</w:t>
      </w:r>
      <w:r>
        <w:rPr>
          <w:rFonts w:hint="default" w:ascii="Times New Roman" w:hAnsi="Times New Roman" w:eastAsia="仿宋" w:cs="Times New Roman"/>
          <w:b w:val="0"/>
          <w:bCs w:val="0"/>
          <w:color w:val="auto"/>
          <w:sz w:val="30"/>
          <w:szCs w:val="30"/>
          <w:highlight w:val="none"/>
          <w:lang w:val="en-US" w:eastAsia="zh-CN"/>
        </w:rPr>
        <w:t>为保证单位财产物资的账实相符，每年进行财产物资清查盘点工作，按照自清自查、账实核查的方式，对单位的固定资产进行全面的清查，建立实物台账，对实物资产进行贴标动态管理。按清查结果进行相应的财务处理，对盘亏的财产物资应查明原因，落实责任。清查盘点工作，由财务部门牵头，使用部门、保管部门配合，对单位财产物资进行具体的清查盘点。</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default" w:ascii="黑体" w:hAnsi="黑体" w:eastAsia="黑体" w:cs="黑体"/>
          <w:b w:val="0"/>
          <w:bCs w:val="0"/>
          <w:color w:val="auto"/>
          <w:sz w:val="32"/>
          <w:szCs w:val="32"/>
          <w:highlight w:val="none"/>
          <w:lang w:val="en-US" w:eastAsia="zh-CN"/>
        </w:rPr>
        <w:t>五、政府性基金预算支出情况</w:t>
      </w:r>
    </w:p>
    <w:p>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2025年无政府性基金预算收入及预算支出。</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六、</w:t>
      </w:r>
      <w:r>
        <w:rPr>
          <w:rFonts w:hint="default" w:ascii="黑体" w:hAnsi="黑体" w:eastAsia="黑体" w:cs="黑体"/>
          <w:b w:val="0"/>
          <w:bCs w:val="0"/>
          <w:color w:val="auto"/>
          <w:sz w:val="32"/>
          <w:szCs w:val="32"/>
          <w:highlight w:val="none"/>
          <w:lang w:val="en-US" w:eastAsia="zh-CN"/>
        </w:rPr>
        <w:t>国有资本经营预算支出情况</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2025年无国有资本经营预算收入及预算支出。</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七、</w:t>
      </w:r>
      <w:r>
        <w:rPr>
          <w:rFonts w:hint="default" w:ascii="黑体" w:hAnsi="黑体" w:eastAsia="黑体" w:cs="黑体"/>
          <w:b w:val="0"/>
          <w:bCs w:val="0"/>
          <w:color w:val="auto"/>
          <w:sz w:val="32"/>
          <w:szCs w:val="32"/>
          <w:highlight w:val="none"/>
          <w:lang w:val="en-US" w:eastAsia="zh-CN"/>
        </w:rPr>
        <w:t>社会保险基金预算支出情况</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Chars="0" w:firstLine="60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2025年无社会保险基金预算收入及预算支出。</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default" w:ascii="黑体" w:hAnsi="黑体" w:eastAsia="黑体" w:cs="黑体"/>
          <w:b w:val="0"/>
          <w:bCs w:val="0"/>
          <w:color w:val="auto"/>
          <w:sz w:val="32"/>
          <w:szCs w:val="32"/>
          <w:highlight w:val="none"/>
          <w:lang w:val="en-US" w:eastAsia="zh-CN"/>
        </w:rPr>
        <w:t>八、部门整体支出绩效情况</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楷体_GB2312" w:hAnsi="楷体_GB2312" w:eastAsia="楷体_GB2312" w:cs="楷体_GB2312"/>
          <w:b w:val="0"/>
          <w:bCs w:val="0"/>
          <w:color w:val="auto"/>
          <w:sz w:val="32"/>
          <w:szCs w:val="32"/>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（一）综合评价结论</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 xml:space="preserve"> 我单位根据部门整体支出绩效自查情况，综合自评得分为96.56分，评价等级为优。</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楷体_GB2312" w:hAnsi="楷体_GB2312" w:eastAsia="楷体_GB2312" w:cs="楷体_GB2312"/>
          <w:b w:val="0"/>
          <w:bCs w:val="0"/>
          <w:color w:val="auto"/>
          <w:sz w:val="32"/>
          <w:szCs w:val="32"/>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（二）评价指标分析</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1.部门职责职能</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贯彻执行国家、省、市关于森林公园和风景名胜区及国有林场建设管理的法律、法规和政策；承担湖南中坡国家森林公园的环境建设、园区管理、设施维护、生态保护、安全保卫等工作；负责组织对湖南中坡国家森林公园的旅游资源进行合理开发和利用，开展林业科普宣传教育、研学示范实践与生态休闲康养；负责全市林业科学研究、林业科技成果推广应用、林业科技咨询服务、林业技术培训指导等工作；承担上级下达的植物种质资源调查、收集、扩繁、迁地保护、野外回归等任务；承担全市植物种质资源创新利用工作；开展应用型林业生物技术研究、本市特异种质资源筛选评价和重要基因发掘利用工作；组织开展林业学术交流、技术合作和科研人才培养工作。</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2.部门整体绩效目标</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通过全面推进“林长制”各项工作，实施公益林补偿、天然林管护、林业有害病虫害防治、森林防火、林业科学研究和基础设施管理维护等项目，实现公益林管护完成率100%，森林防火覆盖率100%，火灾受害率控制在0.9‰以内，主要林业有害生物成灾率控制在省定指标2.98‰以下。重点保护2.5万亩国有森林资源，维护公园生产安全，带动周边农户发展，形成良好社会效益；为怀化市市民创造一个舒适的活动场所，使公众对中坡公园的满意度达到95%以上。　</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3.预算执行及预算管理</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为坚决落实市委市政府关于厉行节约各项政策，根据财政要求和中坡公园实际情况，严格控制，不断规范和完善财务支出行为。一是进一步建章建制。严格执行市财政关于机关公务活动用餐、差旅费、培训费、会议费、政府采购等规定，以及怀化市林业局机关财务管理办法等相关制度，在财务活动中不断查漏补缺、总结经验，根据财政最新要求重新制定了相关制度，对现行制度进行补充修订；二是严格执行预算管理。所有支出严格按照财政预算对应的支出用途和下达的控制数执行，严格控制，规范支出，全年各项指标都按规定使用，“三公”经费支出也严格控制在财政批复的指标额度之内使用。资金支出符合国家财政法规和财务管理制度规定以及有关专项资金管理办法的规定；资金拨付有完整的审批程序和手续；项目支出按规定景观评估论证；支出符合部门预算批复的用途；资金使用无截留、挤占、挪用、虚列支出等情况。贯彻落实中央“八项规定”和省、市 “九项规定”精神。进一步加强公车管理，严格执行党政机关公务接待管理规定大力压缩“三公”经费等行政支出。按照财政要求对部门预算决算、“三公”经费进行例行公示。严格执行了国库集中支付、政府采购和预算一体化等有关规定，政府采购目录内的货物与服务全部按要求实施了政府采购，确保了支出管理流程、审批手续的完整。</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4.职责履行及履职效益等方面综合分析</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2025年度中坡公园在市委、市政府高度重视和上级部门的的大力支持指导下，继续沿着“强化内部管理、加快景区建设、加大科研投入、提升景区品位”的工作思路，以创新为动力，以争创一流成绩为目标，在中坡公园建设、管理、经营和科研上取得了长足进步。中坡公园在强化业务管理、财务管理和厉行节约方面开展了大量工作，通过加强预算收支的管理，不断建立健全内部管理制度，理顺内部管理流程，取得了明显的经济和社会效益。保护好了森林资源，提升生态环境质量，为社会公众创造更好的游憩活动场地，使中坡公园成为一个设施齐全、整洁、安全、空气质量优良的休闲胜地，充分发挥其经济效益和社会效益。</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为加强城市管理，提升工作效率和质量，实现“三创”目标，2025年市政府继续推行“智慧城管”工作模式，实现责绩挂钩制度，以目标考核为保障，以手机互联为媒，对市容市貌进行综合性管理。全年处理智慧城管交办案40起，案件响应率与办结率均为100%，包括但不限于处理边坡塌方50余处，更换破损雨水箅子139块，维修及更换垃圾箱门体、内胆130余个，维修亭廊美人靠、坐凳、破裂瓷砖20余处，维修园区损坏路灯129盏，更换公厕冲水阀16个、冲水箱28套、洗</w:t>
      </w:r>
      <w:bookmarkStart w:id="0" w:name="_GoBack"/>
      <w:bookmarkEnd w:id="0"/>
      <w:r>
        <w:rPr>
          <w:rFonts w:hint="default" w:ascii="Times New Roman" w:hAnsi="Times New Roman" w:eastAsia="仿宋" w:cs="Times New Roman"/>
          <w:b w:val="0"/>
          <w:bCs w:val="0"/>
          <w:color w:val="000000"/>
          <w:kern w:val="0"/>
          <w:sz w:val="30"/>
          <w:szCs w:val="30"/>
          <w:shd w:val="clear" w:color="auto" w:fill="FFFFFF"/>
          <w:lang w:val="en-US" w:eastAsia="zh-CN"/>
        </w:rPr>
        <w:t>手盆感应器10套，确保园区环境清洁美观。时刻紧盯气象预警，高频度对主干道路、木栈道、游步道、亭廊、游乐设施等开展安全隐患排查，及时处理各类突发事件，保障市民游客的生命财产安全。</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default" w:ascii="黑体" w:hAnsi="黑体" w:eastAsia="黑体" w:cs="黑体"/>
          <w:b w:val="0"/>
          <w:bCs w:val="0"/>
          <w:color w:val="auto"/>
          <w:sz w:val="32"/>
          <w:szCs w:val="32"/>
          <w:highlight w:val="none"/>
          <w:lang w:val="en-US" w:eastAsia="zh-CN"/>
        </w:rPr>
        <w:t>九、存在的问题及原因分析</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sz w:val="30"/>
          <w:szCs w:val="30"/>
          <w:lang w:val="en-US" w:eastAsia="zh-CN"/>
        </w:rPr>
      </w:pPr>
      <w:r>
        <w:rPr>
          <w:rFonts w:hint="default" w:ascii="Times New Roman" w:hAnsi="Times New Roman" w:eastAsia="仿宋" w:cs="Times New Roman"/>
          <w:b w:val="0"/>
          <w:bCs w:val="0"/>
          <w:sz w:val="30"/>
          <w:szCs w:val="30"/>
          <w:lang w:val="en-US" w:eastAsia="zh-CN"/>
        </w:rPr>
        <w:t>中坡公园主要职能为林业基础科研和林业科技推广、森林资源培育和保护、景区景点建设和管理、生态旅游和森林康养开发等，既有管理属性，又是一线科研和生产单位，更是直接面向社会大众的服务单位和窗口示范单位，辖区面积大，地理位置及森林资源属性复杂，造成了一些特殊的问题和困难。</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sz w:val="30"/>
          <w:szCs w:val="30"/>
          <w:lang w:val="en-US" w:eastAsia="zh-CN"/>
        </w:rPr>
      </w:pPr>
      <w:r>
        <w:rPr>
          <w:rFonts w:hint="default" w:ascii="Times New Roman" w:hAnsi="Times New Roman" w:eastAsia="仿宋" w:cs="Times New Roman"/>
          <w:b w:val="0"/>
          <w:bCs w:val="0"/>
          <w:sz w:val="30"/>
          <w:szCs w:val="30"/>
          <w:lang w:val="en-US" w:eastAsia="zh-CN"/>
        </w:rPr>
        <w:t>一是中坡公园建设专项经费紧缺。中坡公园现森林主体之一为1.2万亩林龄已超40年的杉木过熟纯林，大部分保持初植密度，老化过密、功能退化、林相不佳、病虫害侵害严重的矛盾突出，亟需资金开展林种树种结构调整、森林质量提升和病虫害防治。</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sz w:val="30"/>
          <w:szCs w:val="30"/>
          <w:lang w:val="en-US" w:eastAsia="zh-CN"/>
        </w:rPr>
      </w:pPr>
      <w:r>
        <w:rPr>
          <w:rFonts w:hint="default" w:ascii="Times New Roman" w:hAnsi="Times New Roman" w:eastAsia="仿宋" w:cs="Times New Roman"/>
          <w:b w:val="0"/>
          <w:bCs w:val="0"/>
          <w:sz w:val="30"/>
          <w:szCs w:val="30"/>
          <w:lang w:val="en-US" w:eastAsia="zh-CN"/>
        </w:rPr>
        <w:t>二是公共设施管理维护和建设经费严重不足。中坡公园自2010年起全面开放免费入园，已成为怀化市民重要的游憩休闲目的地，但园区建设维护保障不足，与日益增长的市民游客对公园品质要求相距甚远。尤其是我处推行网格化管理后，精细化管理带来的经费不足矛盾越发凸显，安全隐患整治、景点维修维护、服务设施更换等支出捉襟见肘，难以为继。</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十、</w:t>
      </w:r>
      <w:r>
        <w:rPr>
          <w:rFonts w:hint="default" w:ascii="黑体" w:hAnsi="黑体" w:eastAsia="黑体" w:cs="黑体"/>
          <w:b w:val="0"/>
          <w:bCs w:val="0"/>
          <w:color w:val="auto"/>
          <w:sz w:val="32"/>
          <w:szCs w:val="32"/>
          <w:highlight w:val="none"/>
          <w:lang w:val="en-US" w:eastAsia="zh-CN"/>
        </w:rPr>
        <w:t>下一步改进措施</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建议依据中坡公园公益一类事业单位的性质和规定，将中坡公园纳入财政全额拨款单位管理，并加大对中坡公园公共基础设施的资金投入，保障公益性单位各项民生支出和公园持续安全发展。</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default" w:ascii="黑体" w:hAnsi="黑体" w:eastAsia="黑体" w:cs="黑体"/>
          <w:b w:val="0"/>
          <w:bCs w:val="0"/>
          <w:color w:val="auto"/>
          <w:sz w:val="32"/>
          <w:szCs w:val="32"/>
          <w:highlight w:val="none"/>
          <w:lang w:val="en-US" w:eastAsia="zh-CN"/>
        </w:rPr>
        <w:t>十一、绩效自评结果拟应用和公开情况</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w:t>
      </w:r>
      <w:r>
        <w:rPr>
          <w:rFonts w:hint="default" w:ascii="楷体_GB2312" w:hAnsi="楷体_GB2312" w:eastAsia="楷体_GB2312" w:cs="楷体_GB2312"/>
          <w:b w:val="0"/>
          <w:bCs w:val="0"/>
          <w:color w:val="auto"/>
          <w:sz w:val="32"/>
          <w:szCs w:val="32"/>
          <w:highlight w:val="none"/>
          <w:lang w:val="en-US" w:eastAsia="zh-CN"/>
        </w:rPr>
        <w:t>绩效自评结果拟应用</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黑体"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问题整改:针对绩效自评中发现的问题，制定详细的整改措施，明确整改责任人和整改时限，确保问题得到及时有效整改。通过整改，进一步完善项目管理流程，提高项目实施质量和资金使用效益。</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预算调整:将绩效自评结果作为下一年度预算安排和调整的重要依据。对绩效评价结果优秀的项目，在预算安排上给予优先支持和适当倾斜;对绩效评价结果不合格的项目，削减或暂停预算安排，督促项目单位改进管理。</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楷体_GB2312" w:hAnsi="楷体_GB2312" w:eastAsia="楷体_GB2312" w:cs="楷体_GB2312"/>
          <w:b w:val="0"/>
          <w:bCs w:val="0"/>
          <w:color w:val="auto"/>
          <w:sz w:val="32"/>
          <w:szCs w:val="32"/>
          <w:highlight w:val="none"/>
          <w:lang w:val="en-US" w:eastAsia="zh-CN"/>
        </w:rPr>
      </w:pPr>
      <w:r>
        <w:rPr>
          <w:rFonts w:hint="default" w:ascii="楷体_GB2312" w:hAnsi="楷体_GB2312" w:eastAsia="楷体_GB2312" w:cs="楷体_GB2312"/>
          <w:b w:val="0"/>
          <w:bCs w:val="0"/>
          <w:color w:val="auto"/>
          <w:sz w:val="32"/>
          <w:szCs w:val="32"/>
          <w:highlight w:val="none"/>
          <w:lang w:val="en-US" w:eastAsia="zh-CN"/>
        </w:rPr>
        <w:t>（二）绩效自评结果公开情况</w:t>
      </w:r>
    </w:p>
    <w:p>
      <w:pPr>
        <w:keepNext w:val="0"/>
        <w:keepLines w:val="0"/>
        <w:pageBreakBefore w:val="0"/>
        <w:widowControl w:val="0"/>
        <w:kinsoku/>
        <w:wordWrap/>
        <w:overflowPunct/>
        <w:topLinePunct w:val="0"/>
        <w:autoSpaceDE/>
        <w:autoSpaceDN/>
        <w:bidi w:val="0"/>
        <w:adjustRightInd/>
        <w:snapToGrid w:val="0"/>
        <w:spacing w:line="560" w:lineRule="exact"/>
        <w:ind w:firstLine="60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按照信息公开的有关要求，将绩效自评报告在网站或其他公开渠道进行公开，接受社会监督,增强财政资金使用的透明度。</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黑体" w:hAnsi="黑体" w:eastAsia="黑体" w:cs="黑体"/>
          <w:b w:val="0"/>
          <w:bCs w:val="0"/>
          <w:color w:val="auto"/>
          <w:sz w:val="32"/>
          <w:szCs w:val="32"/>
          <w:highlight w:val="none"/>
          <w:lang w:val="en-US" w:eastAsia="zh-CN"/>
        </w:rPr>
      </w:pPr>
      <w:r>
        <w:rPr>
          <w:rFonts w:hint="default" w:ascii="黑体" w:hAnsi="黑体" w:eastAsia="黑体" w:cs="黑体"/>
          <w:b w:val="0"/>
          <w:bCs w:val="0"/>
          <w:color w:val="auto"/>
          <w:sz w:val="32"/>
          <w:szCs w:val="32"/>
          <w:highlight w:val="none"/>
          <w:lang w:val="en-US" w:eastAsia="zh-CN"/>
        </w:rPr>
        <w:t>十二、其他需要说明的情况</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default" w:ascii="Times New Roman" w:hAnsi="Times New Roman" w:eastAsia="仿宋" w:cs="Times New Roman"/>
          <w:b w:val="0"/>
          <w:bCs w:val="0"/>
          <w:color w:val="000000"/>
          <w:kern w:val="0"/>
          <w:sz w:val="30"/>
          <w:szCs w:val="30"/>
          <w:shd w:val="clear" w:color="auto" w:fill="FFFFFF"/>
          <w:lang w:val="en-US" w:eastAsia="zh-CN"/>
        </w:rPr>
      </w:pPr>
      <w:r>
        <w:rPr>
          <w:rFonts w:hint="default" w:ascii="Times New Roman" w:hAnsi="Times New Roman" w:eastAsia="仿宋" w:cs="Times New Roman"/>
          <w:b w:val="0"/>
          <w:bCs w:val="0"/>
          <w:color w:val="000000"/>
          <w:kern w:val="0"/>
          <w:sz w:val="30"/>
          <w:szCs w:val="30"/>
          <w:shd w:val="clear" w:color="auto" w:fill="FFFFFF"/>
          <w:lang w:val="en-US" w:eastAsia="zh-CN"/>
        </w:rPr>
        <w:t>无</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p>
    <w:sectPr>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alibri Light">
    <w:altName w:val="Times New Roman"/>
    <w:panose1 w:val="020F0302020204030204"/>
    <w:charset w:val="00"/>
    <w:family w:val="auto"/>
    <w:pitch w:val="default"/>
    <w:sig w:usb0="00000000" w:usb1="00000000" w:usb2="00000009" w:usb3="00000000" w:csb0="200001FF" w:csb1="00000000"/>
  </w:font>
  <w:font w:name="楷体_GB2312">
    <w:panose1 w:val="020B0500000000000000"/>
    <w:charset w:val="86"/>
    <w:family w:val="auto"/>
    <w:pitch w:val="default"/>
    <w:sig w:usb0="30000083" w:usb1="2BDF3C10" w:usb2="00000016" w:usb3="00000000" w:csb0="602E0107" w:csb1="00000000"/>
  </w:font>
  <w:font w:name="微软雅黑">
    <w:altName w:val="黑体"/>
    <w:panose1 w:val="020B0503020204020204"/>
    <w:charset w:val="86"/>
    <w:family w:val="auto"/>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script"/>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zNzUxOWM4ZDE1MmJlYWNhMTEzM2Y1NGNlN2JjMTYifQ=="/>
    <w:docVar w:name="KSO_WPS_MARK_KEY" w:val="9920a277-c0c3-43b4-93d3-1636fe398e0b"/>
  </w:docVars>
  <w:rsids>
    <w:rsidRoot w:val="753C4E9B"/>
    <w:rsid w:val="044004C3"/>
    <w:rsid w:val="05E95AA6"/>
    <w:rsid w:val="078D7776"/>
    <w:rsid w:val="0C180A78"/>
    <w:rsid w:val="0C1B3AF7"/>
    <w:rsid w:val="0D276746"/>
    <w:rsid w:val="0D464D9C"/>
    <w:rsid w:val="0DD52794"/>
    <w:rsid w:val="0E956870"/>
    <w:rsid w:val="0EB9159E"/>
    <w:rsid w:val="0FD83AB1"/>
    <w:rsid w:val="101E38AF"/>
    <w:rsid w:val="10C666A5"/>
    <w:rsid w:val="1223366A"/>
    <w:rsid w:val="143877FD"/>
    <w:rsid w:val="14B80712"/>
    <w:rsid w:val="17FCFFF6"/>
    <w:rsid w:val="18307BBC"/>
    <w:rsid w:val="19E805B2"/>
    <w:rsid w:val="1AF50C9F"/>
    <w:rsid w:val="1B1C4AE6"/>
    <w:rsid w:val="1CBF872E"/>
    <w:rsid w:val="1FE01275"/>
    <w:rsid w:val="20460E8C"/>
    <w:rsid w:val="215A151F"/>
    <w:rsid w:val="22FE234B"/>
    <w:rsid w:val="23947A3D"/>
    <w:rsid w:val="277E6F02"/>
    <w:rsid w:val="27F8565B"/>
    <w:rsid w:val="29990575"/>
    <w:rsid w:val="2AF6742D"/>
    <w:rsid w:val="2B960C8F"/>
    <w:rsid w:val="312A2265"/>
    <w:rsid w:val="32063B5C"/>
    <w:rsid w:val="333F3E43"/>
    <w:rsid w:val="34CE4595"/>
    <w:rsid w:val="368A0C91"/>
    <w:rsid w:val="36FC0F5D"/>
    <w:rsid w:val="375773F8"/>
    <w:rsid w:val="37CB5D1A"/>
    <w:rsid w:val="393E32BB"/>
    <w:rsid w:val="3E530817"/>
    <w:rsid w:val="3EFDDE87"/>
    <w:rsid w:val="419B2857"/>
    <w:rsid w:val="41D71DA8"/>
    <w:rsid w:val="467A0652"/>
    <w:rsid w:val="4AB1580B"/>
    <w:rsid w:val="4C6611ED"/>
    <w:rsid w:val="4CB44B77"/>
    <w:rsid w:val="4D5D3BD3"/>
    <w:rsid w:val="4EB7F892"/>
    <w:rsid w:val="4EFA2C94"/>
    <w:rsid w:val="528478C5"/>
    <w:rsid w:val="547A6861"/>
    <w:rsid w:val="552A0475"/>
    <w:rsid w:val="56B36A03"/>
    <w:rsid w:val="578D10CB"/>
    <w:rsid w:val="585B0A4C"/>
    <w:rsid w:val="58681A9F"/>
    <w:rsid w:val="5A5915AC"/>
    <w:rsid w:val="5A691E8A"/>
    <w:rsid w:val="5ABBC979"/>
    <w:rsid w:val="5B3FA370"/>
    <w:rsid w:val="5BFC7B3B"/>
    <w:rsid w:val="5E77C7C6"/>
    <w:rsid w:val="5EB9271D"/>
    <w:rsid w:val="5FFFAAE0"/>
    <w:rsid w:val="652A6491"/>
    <w:rsid w:val="66347B2F"/>
    <w:rsid w:val="667FD72C"/>
    <w:rsid w:val="6A061712"/>
    <w:rsid w:val="6A12486A"/>
    <w:rsid w:val="6ABE64BE"/>
    <w:rsid w:val="6B5F16C5"/>
    <w:rsid w:val="6CF3EA5A"/>
    <w:rsid w:val="74A06E54"/>
    <w:rsid w:val="74A85D76"/>
    <w:rsid w:val="753C4E9B"/>
    <w:rsid w:val="7670038B"/>
    <w:rsid w:val="769B7804"/>
    <w:rsid w:val="777A2A32"/>
    <w:rsid w:val="779FCBF0"/>
    <w:rsid w:val="77F7E21B"/>
    <w:rsid w:val="781113A7"/>
    <w:rsid w:val="78753C9F"/>
    <w:rsid w:val="78AD1C69"/>
    <w:rsid w:val="791E6510"/>
    <w:rsid w:val="79E2F975"/>
    <w:rsid w:val="7A461BBE"/>
    <w:rsid w:val="7B3BDBF2"/>
    <w:rsid w:val="7C8D4A41"/>
    <w:rsid w:val="7CFF0A0E"/>
    <w:rsid w:val="7E2954B6"/>
    <w:rsid w:val="7EBDCBBF"/>
    <w:rsid w:val="7EC74CC1"/>
    <w:rsid w:val="7EE6408F"/>
    <w:rsid w:val="7F3EB32E"/>
    <w:rsid w:val="7F5F3F3B"/>
    <w:rsid w:val="7F5FE5E8"/>
    <w:rsid w:val="7F7FC8C5"/>
    <w:rsid w:val="7FD9B405"/>
    <w:rsid w:val="7FFDE9AB"/>
    <w:rsid w:val="7FFEB77D"/>
    <w:rsid w:val="7FFFADA2"/>
    <w:rsid w:val="9ED5792A"/>
    <w:rsid w:val="AEFFB886"/>
    <w:rsid w:val="B9E744B3"/>
    <w:rsid w:val="BDFF878A"/>
    <w:rsid w:val="BEFF7926"/>
    <w:rsid w:val="CF12F568"/>
    <w:rsid w:val="DEBF7731"/>
    <w:rsid w:val="E39F96A6"/>
    <w:rsid w:val="E6DFCF67"/>
    <w:rsid w:val="EBB76B61"/>
    <w:rsid w:val="F6D78CAF"/>
    <w:rsid w:val="F7DA3342"/>
    <w:rsid w:val="FBD266D3"/>
    <w:rsid w:val="FBFF7914"/>
    <w:rsid w:val="FDBFA637"/>
    <w:rsid w:val="FE6B70D4"/>
    <w:rsid w:val="FF2C1D8F"/>
    <w:rsid w:val="FF7BBB0C"/>
    <w:rsid w:val="FFBFC1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basedOn w:val="1"/>
    <w:unhideWhenUsed/>
    <w:qFormat/>
    <w:uiPriority w:val="0"/>
    <w:pPr>
      <w:spacing w:beforeLines="0" w:afterLines="0"/>
      <w:ind w:firstLine="640" w:firstLineChars="200"/>
    </w:pPr>
    <w:rPr>
      <w:rFonts w:hint="default"/>
      <w:sz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3"/>
    <w:unhideWhenUsed/>
    <w:qFormat/>
    <w:uiPriority w:val="99"/>
    <w:pPr>
      <w:spacing w:beforeLines="0" w:afterLines="0"/>
      <w:ind w:firstLine="420"/>
    </w:pPr>
    <w:rPr>
      <w:rFonts w:hint="default"/>
      <w:sz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标题1"/>
    <w:basedOn w:val="2"/>
    <w:qFormat/>
    <w:uiPriority w:val="0"/>
    <w:rPr>
      <w:rFonts w:eastAsia="黑体"/>
    </w:rPr>
  </w:style>
  <w:style w:type="paragraph" w:customStyle="1" w:styleId="12">
    <w:name w:val="首行缩进"/>
    <w:basedOn w:val="1"/>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7228</Words>
  <Characters>7624</Characters>
  <Lines>0</Lines>
  <Paragraphs>0</Paragraphs>
  <TotalTime>39</TotalTime>
  <ScaleCrop>false</ScaleCrop>
  <LinksUpToDate>false</LinksUpToDate>
  <CharactersWithSpaces>7651</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2024-02-24T02:03:00Z</dcterms:created>
  <dc:creator>1402836399</dc:creator>
  <cp:lastModifiedBy>丁立森</cp:lastModifiedBy>
  <cp:lastPrinted>2026-06-11T17:45:00Z</cp:lastPrinted>
  <dcterms:modified xsi:type="dcterms:W3CDTF">2026-10-21T11:28:14Z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95C238A5734141049D669410ABAF36B8_13</vt:lpwstr>
  </property>
  <property fmtid="{D5CDD505-2E9C-101B-9397-08002B2CF9AE}" pid="4" name="KSOTemplateDocerSaveRecord">
    <vt:lpwstr>eyJoZGlkIjoiMTE0ODNjZmRkZDY4ZDE3MTE5MzBiZTc3YjY0ZmJkNzciLCJ1c2VySWQiOiIzNjU3NzcxOTMifQ==</vt:lpwstr>
  </property>
</Properties>
</file>