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E1BE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distribute"/>
        <w:textAlignment w:val="auto"/>
        <w:outlineLvl w:val="9"/>
        <w:rPr>
          <w:rFonts w:hint="eastAsia" w:ascii="Times New Roman" w:hAnsi="Times New Roman" w:eastAsia="方正大标宋简体"/>
          <w:bCs/>
          <w:color w:val="FF0000"/>
          <w:spacing w:val="-11"/>
          <w:w w:val="100"/>
          <w:sz w:val="64"/>
          <w:szCs w:val="64"/>
        </w:rPr>
      </w:pPr>
      <w:r>
        <w:rPr>
          <w:sz w:val="64"/>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-259715</wp:posOffset>
                </wp:positionV>
                <wp:extent cx="2238375" cy="466725"/>
                <wp:effectExtent l="4445" t="4445" r="5080" b="5080"/>
                <wp:wrapNone/>
                <wp:docPr id="4" name="文本框 4"/>
                <wp:cNvGraphicFramePr/>
                <a:graphic xmlns:a="http://schemas.openxmlformats.org/drawingml/2006/main">
                  <a:graphicData uri="http://schemas.microsoft.com/office/word/2010/wordprocessingShape">
                    <wps:wsp>
                      <wps:cNvSpPr txBox="1"/>
                      <wps:spPr>
                        <a:xfrm>
                          <a:off x="1022985" y="848995"/>
                          <a:ext cx="2238375" cy="466725"/>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17F86E7">
                            <w:pPr>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HNPR</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2025</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04014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5pt;margin-top:-20.45pt;height:36.75pt;width:176.25pt;z-index:251659264;mso-width-relative:page;mso-height-relative:page;" fillcolor="#FFFFFF [3212]" filled="t" stroked="t" coordsize="21600,21600" o:gfxdata="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rJsEUtcAAAAJAQAADwAAAAAAAAABACAAAAAiAAAAZHJzL2Rvd25yZXYueG1sUEsBAhQAFAAAAAgA&#10;h07iQKvOVoJfAgAAwwQAAA4AAAAAAAAAAQAgAAAAJgEAAGRycy9lMm9Eb2MueG1sUEsFBgAAAAAG&#10;AAYAWQEAAPcFAAAAAA==&#10;">
                <v:fill on="t" focussize="0,0"/>
                <v:stroke weight="0.5pt" color="#FFFFFF [3212]" joinstyle="round"/>
                <v:imagedata o:title=""/>
                <o:lock v:ext="edit" aspectratio="f"/>
                <v:textbox>
                  <w:txbxContent>
                    <w:p w14:paraId="417F86E7">
                      <w:pPr>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HNPR</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2025</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04014</w:t>
                      </w:r>
                    </w:p>
                  </w:txbxContent>
                </v:textbox>
              </v:shape>
            </w:pict>
          </mc:Fallback>
        </mc:AlternateContent>
      </w:r>
    </w:p>
    <w:p w14:paraId="3279479C">
      <w:pPr>
        <w:pStyle w:val="7"/>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3"/>
      </w:pPr>
    </w:p>
    <w:p w14:paraId="34F2C3D1">
      <w:pPr>
        <w:spacing w:line="336" w:lineRule="auto"/>
        <w:jc w:val="center"/>
        <w:rPr>
          <w:rFonts w:ascii="Times New Roman" w:hAnsi="Times New Roman" w:eastAsia="长城长宋体" w:cs="Times New Roman"/>
          <w:bCs/>
          <w:color w:val="000000"/>
          <w:w w:val="80"/>
          <w:sz w:val="84"/>
          <w:szCs w:val="84"/>
        </w:rPr>
      </w:pPr>
      <w:r>
        <w:rPr>
          <w:rFonts w:ascii="Times New Roman" w:hAnsi="Times New Roman" w:eastAsia="仿宋_GB2312" w:cs="Times New Roman"/>
          <w:color w:val="000000"/>
          <w:sz w:val="32"/>
          <w:szCs w:val="32"/>
        </w:rPr>
        <w:t>湘科</w:t>
      </w:r>
      <w:r>
        <w:rPr>
          <w:rFonts w:hint="eastAsia" w:ascii="Times New Roman" w:hAnsi="Times New Roman" w:eastAsia="仿宋_GB2312" w:cs="Times New Roman"/>
          <w:color w:val="000000"/>
          <w:sz w:val="32"/>
          <w:szCs w:val="32"/>
          <w:lang w:val="en-US" w:eastAsia="zh-CN"/>
        </w:rPr>
        <w:t>发</w:t>
      </w:r>
      <w:r>
        <w:rPr>
          <w:rFonts w:hint="eastAsia" w:ascii="Times New Roman" w:hAnsi="Times New Roman" w:eastAsia="仿宋_GB2312" w:cs="仿宋_GB2312"/>
          <w:color w:val="000000"/>
          <w:sz w:val="32"/>
          <w:szCs w:val="32"/>
        </w:rPr>
        <w:t>〔</w:t>
      </w:r>
      <w:r>
        <w:rPr>
          <w:rFonts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159</w:t>
      </w:r>
      <w:r>
        <w:rPr>
          <w:rFonts w:ascii="Times New Roman" w:hAnsi="Times New Roman" w:eastAsia="仿宋_GB2312" w:cs="Times New Roman"/>
          <w:color w:val="000000"/>
          <w:sz w:val="32"/>
          <w:szCs w:val="32"/>
        </w:rPr>
        <w:t>号</w:t>
      </w:r>
    </w:p>
    <w:p w14:paraId="4BDBFC4F">
      <w:pPr>
        <w:pStyle w:val="17"/>
        <w:keepNext w:val="0"/>
        <w:keepLines w:val="0"/>
        <w:pageBreakBefore w:val="0"/>
        <w:widowControl w:val="0"/>
        <w:kinsoku/>
        <w:wordWrap/>
        <w:overflowPunct/>
        <w:topLinePunct w:val="0"/>
        <w:autoSpaceDE/>
        <w:autoSpaceDN/>
        <w:bidi w:val="0"/>
        <w:adjustRightInd/>
        <w:snapToGrid/>
        <w:spacing w:after="240" w:line="240" w:lineRule="auto"/>
        <w:ind w:left="0" w:leftChars="0" w:right="0" w:rightChars="0" w:firstLine="0" w:firstLineChars="0"/>
        <w:jc w:val="both"/>
        <w:textAlignment w:val="auto"/>
        <w:outlineLvl w:val="9"/>
        <w:rPr>
          <w:rFonts w:hint="eastAsia"/>
        </w:rPr>
      </w:pPr>
    </w:p>
    <w:p w14:paraId="0952F63B">
      <w:pPr>
        <w:spacing w:beforeLines="0" w:after="0" w:afterLines="0" w:line="580" w:lineRule="exact"/>
        <w:jc w:val="center"/>
        <w:rPr>
          <w:rFonts w:hint="eastAsia"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关于印发《湖南省科技成果“先用后付”</w:t>
      </w:r>
    </w:p>
    <w:p w14:paraId="09F746A1">
      <w:pPr>
        <w:spacing w:beforeLines="0" w:after="0" w:afterLines="0"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推广实施方案》的通知</w:t>
      </w:r>
    </w:p>
    <w:p w14:paraId="43EF710D">
      <w:pPr>
        <w:spacing w:line="600" w:lineRule="exact"/>
        <w:jc w:val="both"/>
        <w:rPr>
          <w:rFonts w:hint="default" w:ascii="Times New Roman" w:hAnsi="Times New Roman" w:eastAsia="仿宋_GB2312" w:cs="Times New Roman"/>
          <w:sz w:val="28"/>
          <w:szCs w:val="28"/>
        </w:rPr>
      </w:pPr>
    </w:p>
    <w:bookmarkEnd w:id="1"/>
    <w:p w14:paraId="2BB13DE9">
      <w:pPr>
        <w:keepNext w:val="0"/>
        <w:keepLines w:val="0"/>
        <w:pageBreakBefore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各市州科技局、教育局、卫生健康委、市场监管局，各高新区管委会，各高等院校</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科研院所、公立医疗卫生机构，各有关单位</w:t>
      </w:r>
      <w:r>
        <w:rPr>
          <w:rFonts w:hint="eastAsia" w:ascii="Times New Roman" w:hAnsi="Times New Roman" w:eastAsia="仿宋_GB2312" w:cs="仿宋_GB2312"/>
          <w:sz w:val="32"/>
          <w:szCs w:val="32"/>
        </w:rPr>
        <w:t>：</w:t>
      </w:r>
    </w:p>
    <w:p w14:paraId="1E16858B">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color w:val="000000" w:themeColor="text1"/>
          <w:sz w:val="32"/>
          <w:szCs w:val="32"/>
          <w14:textFill>
            <w14:solidFill>
              <w14:schemeClr w14:val="tx1"/>
            </w14:solidFill>
          </w14:textFill>
        </w:rPr>
        <w:t>为深入贯彻党的二十大和二十届历次全会精神，落实省委、省政府部署要求，完善高校、科研院所按照先使用后付费方式把科技成果许可给中小微企业使用的机制，进一步提升科技成果转化和产业化水平</w:t>
      </w:r>
      <w:r>
        <w:rPr>
          <w:rFonts w:hint="eastAsia" w:ascii="Times New Roman" w:hAnsi="Times New Roman" w:eastAsia="仿宋_GB2312" w:cs="仿宋_GB2312"/>
          <w:sz w:val="32"/>
          <w:szCs w:val="32"/>
          <w:lang w:eastAsia="zh-CN"/>
        </w:rPr>
        <w:t>，现将《湖南省科技成果“先用后付”推广实施方案》印发你们，请结合工作实施。</w:t>
      </w:r>
    </w:p>
    <w:p w14:paraId="400912FF">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eastAsia="zh-CN"/>
        </w:rPr>
      </w:pPr>
    </w:p>
    <w:p w14:paraId="45BF9BEA">
      <w:pPr>
        <w:pStyle w:val="14"/>
        <w:rPr>
          <w:rFonts w:hint="default"/>
          <w:lang w:eastAsia="zh-CN"/>
        </w:rPr>
      </w:pPr>
    </w:p>
    <w:p w14:paraId="59B2753C">
      <w:pPr>
        <w:keepNext w:val="0"/>
        <w:keepLines w:val="0"/>
        <w:pageBreakBefore w:val="0"/>
        <w:kinsoku/>
        <w:wordWrap/>
        <w:overflowPunct/>
        <w:topLinePunct w:val="0"/>
        <w:autoSpaceDE/>
        <w:autoSpaceDN/>
        <w:bidi w:val="0"/>
        <w:adjustRightInd/>
        <w:snapToGrid/>
        <w:spacing w:line="560" w:lineRule="exact"/>
        <w:ind w:firstLine="1264" w:firstLineChars="4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湖南省科</w:t>
      </w:r>
      <w:r>
        <w:rPr>
          <w:rFonts w:hint="eastAsia" w:ascii="Times New Roman" w:hAnsi="Times New Roman" w:eastAsia="仿宋_GB2312" w:cs="Times New Roman"/>
          <w:sz w:val="32"/>
          <w:szCs w:val="32"/>
          <w:lang w:eastAsia="zh-CN"/>
        </w:rPr>
        <w:t>学技术</w:t>
      </w:r>
      <w:r>
        <w:rPr>
          <w:rFonts w:hint="default" w:ascii="Times New Roman" w:hAnsi="Times New Roman" w:eastAsia="仿宋_GB2312" w:cs="Times New Roman"/>
          <w:sz w:val="32"/>
          <w:szCs w:val="32"/>
          <w:lang w:eastAsia="zh-CN"/>
        </w:rPr>
        <w:t xml:space="preserve">厅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湖南省教育厅  </w:t>
      </w:r>
    </w:p>
    <w:p w14:paraId="1E045FCF">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lang w:eastAsia="zh-CN"/>
        </w:rPr>
      </w:pPr>
    </w:p>
    <w:p w14:paraId="72EDAB3E">
      <w:pPr>
        <w:pStyle w:val="15"/>
        <w:spacing w:beforeLines="0" w:after="0" w:afterLines="0" w:line="240" w:lineRule="auto"/>
        <w:ind w:left="0" w:leftChars="0"/>
        <w:rPr>
          <w:rFonts w:hint="default"/>
          <w:lang w:eastAsia="zh-CN"/>
        </w:rPr>
      </w:pPr>
    </w:p>
    <w:p w14:paraId="6021778B">
      <w:pPr>
        <w:pStyle w:val="15"/>
        <w:spacing w:beforeLines="0" w:after="0" w:afterLines="0" w:line="240" w:lineRule="auto"/>
        <w:ind w:left="0" w:leftChars="0"/>
        <w:rPr>
          <w:rFonts w:hint="default"/>
          <w:lang w:eastAsia="zh-CN"/>
        </w:rPr>
      </w:pPr>
    </w:p>
    <w:p w14:paraId="46DB1C26">
      <w:pPr>
        <w:keepNext w:val="0"/>
        <w:keepLines w:val="0"/>
        <w:pageBreakBefore w:val="0"/>
        <w:kinsoku/>
        <w:wordWrap/>
        <w:overflowPunct/>
        <w:topLinePunct w:val="0"/>
        <w:autoSpaceDE/>
        <w:autoSpaceDN/>
        <w:bidi w:val="0"/>
        <w:adjustRightInd/>
        <w:snapToGrid/>
        <w:spacing w:line="560" w:lineRule="exact"/>
        <w:ind w:firstLine="948" w:firstLineChars="3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湖南省卫生健康</w:t>
      </w:r>
      <w:r>
        <w:rPr>
          <w:rFonts w:hint="eastAsia" w:ascii="Times New Roman" w:hAnsi="Times New Roman" w:eastAsia="仿宋_GB2312" w:cs="Times New Roman"/>
          <w:sz w:val="32"/>
          <w:szCs w:val="32"/>
          <w:lang w:eastAsia="zh-CN"/>
        </w:rPr>
        <w:t>委员会</w:t>
      </w:r>
      <w:r>
        <w:rPr>
          <w:rFonts w:hint="default"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湖南省市场监督管理局</w:t>
      </w:r>
    </w:p>
    <w:p w14:paraId="6E2B2E29">
      <w:pPr>
        <w:keepNext w:val="0"/>
        <w:keepLines w:val="0"/>
        <w:pageBreakBefore w:val="0"/>
        <w:kinsoku/>
        <w:wordWrap/>
        <w:overflowPunct/>
        <w:topLinePunct w:val="0"/>
        <w:autoSpaceDE/>
        <w:autoSpaceDN/>
        <w:bidi w:val="0"/>
        <w:adjustRightInd/>
        <w:snapToGrid/>
        <w:spacing w:line="560" w:lineRule="exact"/>
        <w:ind w:firstLine="4108" w:firstLineChars="13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2025年12月24日</w:t>
      </w:r>
    </w:p>
    <w:p w14:paraId="2E9C9EAC">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5" w:type="default"/>
          <w:footerReference r:id="rId6" w:type="even"/>
          <w:pgSz w:w="11906" w:h="16838"/>
          <w:pgMar w:top="1701" w:right="1531" w:bottom="1474" w:left="1587" w:header="992" w:footer="1276" w:gutter="0"/>
          <w:pgBorders>
            <w:top w:val="none" w:sz="0" w:space="0"/>
            <w:left w:val="none" w:sz="0" w:space="0"/>
            <w:bottom w:val="none" w:sz="0" w:space="0"/>
            <w:right w:val="none" w:sz="0" w:space="0"/>
          </w:pgBorders>
          <w:cols w:space="0" w:num="1"/>
          <w:rtlGutter w:val="0"/>
          <w:docGrid w:type="linesAndChars" w:linePitch="579" w:charSpace="-849"/>
        </w:sectPr>
      </w:pPr>
    </w:p>
    <w:p w14:paraId="5D94DC79">
      <w:pPr>
        <w:pStyle w:val="3"/>
        <w:kinsoku/>
        <w:wordWrap/>
        <w:overflowPunct/>
        <w:topLinePunct w:val="0"/>
        <w:autoSpaceDE/>
        <w:autoSpaceDN/>
        <w:bidi w:val="0"/>
        <w:spacing w:before="0" w:beforeLines="0" w:after="0" w:afterLines="0" w:line="600" w:lineRule="exact"/>
        <w:ind w:right="0" w:rightChars="0"/>
        <w:jc w:val="center"/>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14:ligatures w14:val="none"/>
        </w:rPr>
      </w:pPr>
      <w:r>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14:ligatures w14:val="none"/>
        </w:rPr>
        <w:t>湖南省科技成果“先用后付”</w:t>
      </w:r>
    </w:p>
    <w:p w14:paraId="0697F7A0">
      <w:pPr>
        <w:pStyle w:val="3"/>
        <w:kinsoku/>
        <w:wordWrap/>
        <w:overflowPunct/>
        <w:topLinePunct w:val="0"/>
        <w:autoSpaceDE/>
        <w:autoSpaceDN/>
        <w:bidi w:val="0"/>
        <w:spacing w:before="0" w:beforeLines="0" w:after="0" w:afterLines="0" w:line="600" w:lineRule="exact"/>
        <w:ind w:right="0" w:rightChars="0"/>
        <w:jc w:val="center"/>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14:ligatures w14:val="none"/>
        </w:rPr>
      </w:pPr>
      <w:r>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14:ligatures w14:val="none"/>
        </w:rPr>
        <w:t>推广实施方案</w:t>
      </w:r>
    </w:p>
    <w:p w14:paraId="633AE9DD">
      <w:pPr>
        <w:pStyle w:val="4"/>
        <w:kinsoku/>
        <w:wordWrap/>
        <w:overflowPunct/>
        <w:topLinePunct w:val="0"/>
        <w:autoSpaceDE/>
        <w:autoSpaceDN/>
        <w:bidi w:val="0"/>
        <w:spacing w:after="0" w:line="560" w:lineRule="exact"/>
        <w:ind w:right="0" w:rightChars="0" w:firstLine="632"/>
        <w:jc w:val="center"/>
        <w:rPr>
          <w:rFonts w:hint="default" w:ascii="Times New Roman" w:hAnsi="Times New Roman" w:cs="Times New Roman"/>
          <w:color w:val="000000" w:themeColor="text1"/>
          <w:sz w:val="32"/>
          <w:szCs w:val="32"/>
          <w14:textFill>
            <w14:solidFill>
              <w14:schemeClr w14:val="tx1"/>
            </w14:solidFill>
          </w14:textFill>
        </w:rPr>
      </w:pPr>
    </w:p>
    <w:p w14:paraId="7E0FA0C4">
      <w:pPr>
        <w:pStyle w:val="4"/>
        <w:kinsoku/>
        <w:wordWrap/>
        <w:overflowPunct/>
        <w:topLinePunct w:val="0"/>
        <w:autoSpaceDE/>
        <w:autoSpaceDN/>
        <w:bidi w:val="0"/>
        <w:spacing w:after="0" w:line="580" w:lineRule="exact"/>
        <w:ind w:right="0" w:rightChars="0" w:firstLine="632"/>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深入贯彻党的二十大和二十届历次全会精神，落实省委、省政府部署要求，完善高校、科研院所按照先使用后付费方式（以下简称“先用后付”）把科技成果许可给中小微企业使用的机制，进一步提升科技成果转化和产业化水平，在长株潭三市试点的基础上，将科技成果“先用后付”模式向全省推广，特制定本实施方案。</w:t>
      </w:r>
    </w:p>
    <w:p w14:paraId="12F34A3E">
      <w:pPr>
        <w:pStyle w:val="4"/>
        <w:kinsoku/>
        <w:wordWrap/>
        <w:overflowPunct/>
        <w:topLinePunct w:val="0"/>
        <w:autoSpaceDE/>
        <w:autoSpaceDN/>
        <w:bidi w:val="0"/>
        <w:spacing w:after="0" w:line="580" w:lineRule="exact"/>
        <w:ind w:right="0" w:rightChars="0" w:firstLine="632"/>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一、总体要求</w:t>
      </w:r>
    </w:p>
    <w:p w14:paraId="6BF07F5C">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（一）工作思路。</w:t>
      </w:r>
      <w:r>
        <w:rPr>
          <w:rFonts w:hint="eastAsia" w:ascii="Times New Roman" w:hAnsi="Times New Roman" w:eastAsia="仿宋_GB2312" w:cs="仿宋_GB2312"/>
          <w:color w:val="000000" w:themeColor="text1"/>
          <w:sz w:val="32"/>
          <w:szCs w:val="32"/>
          <w14:textFill>
            <w14:solidFill>
              <w14:schemeClr w14:val="tx1"/>
            </w14:solidFill>
          </w14:textFill>
        </w:rPr>
        <w:t>坚持问题导向、需求导向、目标导向，加强有组织的科技成果转化，将科技成果“先用后付”模式向省内高校院所、医疗卫生机构、新型研发机构、技术转移机构、中小微企业全面推广，系统构建从成果筛选到交易保障的全过程管理服务体系，降低中小企业承接转化科技成果的风险和成本，带动高校院所科研人员与企业进一步深化产学研合作，不断畅通科技成果从实验室到市场的通道，提升科技成果转化和产业化水平，推动科技创新和产业创新深度融合，为培育发展新质生产力、构建现代化产业体系提供有力支撑。</w:t>
      </w:r>
    </w:p>
    <w:p w14:paraId="654743F6">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（二）主要目标。</w:t>
      </w:r>
      <w:r>
        <w:rPr>
          <w:rFonts w:hint="eastAsia" w:ascii="Times New Roman" w:hAnsi="Times New Roman" w:eastAsia="仿宋_GB2312" w:cs="仿宋_GB2312"/>
          <w:color w:val="000000" w:themeColor="text1"/>
          <w:sz w:val="32"/>
          <w:szCs w:val="32"/>
          <w14:textFill>
            <w14:solidFill>
              <w14:schemeClr w14:val="tx1"/>
            </w14:solidFill>
          </w14:textFill>
        </w:rPr>
        <w:t>到2028年，全省重点高等学校、科研院所、医疗卫生机构、新型研发机构等普遍建立“先用后付”相关制度规范，通过省级平台发布的“先用后付”类科技成果超过2500项，成功转化一批科技成果，形成一批可复制、可推广的典型案例和实践经验，</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大幅提升高校、科研院所专利转让许可及开放许可的活跃度，</w:t>
      </w:r>
      <w:r>
        <w:rPr>
          <w:rFonts w:hint="eastAsia" w:ascii="Times New Roman" w:hAnsi="Times New Roman" w:eastAsia="仿宋_GB2312" w:cs="仿宋_GB2312"/>
          <w:color w:val="000000" w:themeColor="text1"/>
          <w:sz w:val="32"/>
          <w:szCs w:val="32"/>
          <w14:textFill>
            <w14:solidFill>
              <w14:schemeClr w14:val="tx1"/>
            </w14:solidFill>
          </w14:textFill>
        </w:rPr>
        <w:t>带动全省技术合同成交额稳步增长，科技成果转化效能显著提升。</w:t>
      </w:r>
    </w:p>
    <w:p w14:paraId="2AFF4204">
      <w:pPr>
        <w:pStyle w:val="6"/>
        <w:kinsoku/>
        <w:wordWrap/>
        <w:overflowPunct/>
        <w:topLinePunct w:val="0"/>
        <w:autoSpaceDE/>
        <w:autoSpaceDN/>
        <w:bidi w:val="0"/>
        <w:spacing w:before="0" w:beforeLines="0" w:after="0" w:afterLines="0" w:line="580" w:lineRule="exact"/>
        <w:ind w:right="0" w:rightChars="0" w:firstLine="632"/>
        <w:jc w:val="both"/>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（三）基本原则</w:t>
      </w:r>
    </w:p>
    <w:p w14:paraId="42874406">
      <w:pPr>
        <w:pStyle w:val="4"/>
        <w:kinsoku/>
        <w:wordWrap/>
        <w:overflowPunct/>
        <w:topLinePunct w:val="0"/>
        <w:autoSpaceDE/>
        <w:autoSpaceDN/>
        <w:bidi w:val="0"/>
        <w:spacing w:beforeLines="0" w:after="0" w:afterLines="0" w:line="580" w:lineRule="exact"/>
        <w:ind w:right="0" w:rightChars="0" w:firstLine="634"/>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市场主导，政府引导。</w:t>
      </w:r>
      <w:r>
        <w:rPr>
          <w:rFonts w:hint="eastAsia" w:ascii="Times New Roman" w:hAnsi="Times New Roman" w:eastAsia="仿宋_GB2312" w:cs="仿宋_GB2312"/>
          <w:color w:val="000000" w:themeColor="text1"/>
          <w:sz w:val="32"/>
          <w:szCs w:val="32"/>
          <w14:textFill>
            <w14:solidFill>
              <w14:schemeClr w14:val="tx1"/>
            </w14:solidFill>
          </w14:textFill>
        </w:rPr>
        <w:t>尊重市场规律和契约精神，着力破除制度障碍、搭建平台、优化环境、防控风险。</w:t>
      </w:r>
    </w:p>
    <w:p w14:paraId="68A3D949">
      <w:pPr>
        <w:pStyle w:val="4"/>
        <w:kinsoku/>
        <w:wordWrap/>
        <w:overflowPunct/>
        <w:topLinePunct w:val="0"/>
        <w:autoSpaceDE/>
        <w:autoSpaceDN/>
        <w:bidi w:val="0"/>
        <w:spacing w:beforeLines="0" w:after="0" w:afterLines="0" w:line="580" w:lineRule="exact"/>
        <w:ind w:right="0" w:rightChars="0" w:firstLine="634"/>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企业主体，需求牵引。</w:t>
      </w:r>
      <w:r>
        <w:rPr>
          <w:rFonts w:hint="eastAsia" w:ascii="Times New Roman" w:hAnsi="Times New Roman" w:eastAsia="仿宋_GB2312" w:cs="仿宋_GB2312"/>
          <w:color w:val="000000" w:themeColor="text1"/>
          <w:sz w:val="32"/>
          <w:szCs w:val="32"/>
          <w14:textFill>
            <w14:solidFill>
              <w14:schemeClr w14:val="tx1"/>
            </w14:solidFill>
          </w14:textFill>
        </w:rPr>
        <w:t>以企业技术需求和产业升级为导向，推动科技成果精准对接和高效转化。</w:t>
      </w:r>
    </w:p>
    <w:p w14:paraId="597BC3C0">
      <w:pPr>
        <w:pStyle w:val="4"/>
        <w:kinsoku/>
        <w:wordWrap/>
        <w:overflowPunct/>
        <w:topLinePunct w:val="0"/>
        <w:autoSpaceDE/>
        <w:autoSpaceDN/>
        <w:bidi w:val="0"/>
        <w:spacing w:beforeLines="0" w:after="0" w:afterLines="0" w:line="580" w:lineRule="exact"/>
        <w:ind w:right="0" w:rightChars="0" w:firstLine="634"/>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风险共担，利益共享。</w:t>
      </w:r>
      <w:r>
        <w:rPr>
          <w:rFonts w:hint="eastAsia" w:ascii="Times New Roman" w:hAnsi="Times New Roman" w:eastAsia="仿宋_GB2312" w:cs="仿宋_GB2312"/>
          <w:color w:val="000000" w:themeColor="text1"/>
          <w:sz w:val="32"/>
          <w:szCs w:val="32"/>
          <w14:textFill>
            <w14:solidFill>
              <w14:schemeClr w14:val="tx1"/>
            </w14:solidFill>
          </w14:textFill>
        </w:rPr>
        <w:t>建立健全风险分担机制，保障各方合法权益，实现科研人员、科研单位、企业共赢。</w:t>
      </w:r>
    </w:p>
    <w:p w14:paraId="77020481">
      <w:pPr>
        <w:pStyle w:val="5"/>
        <w:kinsoku/>
        <w:wordWrap/>
        <w:overflowPunct/>
        <w:topLinePunct w:val="0"/>
        <w:autoSpaceDE/>
        <w:autoSpaceDN/>
        <w:bidi w:val="0"/>
        <w:spacing w:before="0" w:beforeLines="0" w:after="0" w:afterLines="0" w:line="580" w:lineRule="exact"/>
        <w:ind w:right="0" w:rightChars="0" w:firstLine="632"/>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二、实施模式</w:t>
      </w:r>
    </w:p>
    <w:p w14:paraId="494243B2">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科技成果持有单位（持有方）采用转让</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许可</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（特别是开放许可）</w:t>
      </w:r>
      <w:r>
        <w:rPr>
          <w:rFonts w:hint="eastAsia" w:ascii="Times New Roman" w:hAnsi="Times New Roman" w:eastAsia="仿宋_GB2312" w:cs="仿宋_GB2312"/>
          <w:color w:val="000000" w:themeColor="text1"/>
          <w:sz w:val="32"/>
          <w:szCs w:val="32"/>
          <w14:textFill>
            <w14:solidFill>
              <w14:schemeClr w14:val="tx1"/>
            </w14:solidFill>
          </w14:textFill>
        </w:rPr>
        <w:t>的方式，将科技成果“零门槛”授权给中小微企业（承接方）使用，双方明确约定采取但不局限于以下方式延期支付转让或许可费用（以下统称转化费用）：</w:t>
      </w:r>
    </w:p>
    <w:p w14:paraId="2A9F6050">
      <w:pPr>
        <w:pStyle w:val="4"/>
        <w:kinsoku/>
        <w:wordWrap/>
        <w:overflowPunct/>
        <w:topLinePunct w:val="0"/>
        <w:autoSpaceDE/>
        <w:autoSpaceDN/>
        <w:bidi w:val="0"/>
        <w:spacing w:beforeLines="0" w:after="0" w:afterLines="0" w:line="580" w:lineRule="exact"/>
        <w:ind w:right="0" w:rightChars="0" w:firstLine="634"/>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里程碑节点支付模式：</w:t>
      </w:r>
      <w:r>
        <w:rPr>
          <w:rFonts w:hint="eastAsia" w:ascii="Times New Roman" w:hAnsi="Times New Roman" w:eastAsia="仿宋_GB2312" w:cs="仿宋_GB2312"/>
          <w:color w:val="000000" w:themeColor="text1"/>
          <w:sz w:val="32"/>
          <w:szCs w:val="32"/>
          <w14:textFill>
            <w14:solidFill>
              <w14:schemeClr w14:val="tx1"/>
            </w14:solidFill>
          </w14:textFill>
        </w:rPr>
        <w:t>承接方无需预先支付转化费用，将依据合同约定的关键里程碑节点分期支付，节点包括但不限于技术验证通过、样品试制成功、产品正式上市、达成特定销售额或利润指标、企业获得“高新技术企业”或“科技型中小企业”资质等。各节点达成后，承接方按约定支付该阶段基础转化费用，并可依据实际销售收入或利润，按约定比例支付提成费用。</w:t>
      </w:r>
    </w:p>
    <w:p w14:paraId="17FA4D8C">
      <w:pPr>
        <w:pStyle w:val="4"/>
        <w:kinsoku/>
        <w:wordWrap/>
        <w:overflowPunct/>
        <w:topLinePunct w:val="0"/>
        <w:autoSpaceDE/>
        <w:autoSpaceDN/>
        <w:bidi w:val="0"/>
        <w:spacing w:beforeLines="0" w:after="0" w:afterLines="0" w:line="580" w:lineRule="exact"/>
        <w:ind w:right="0" w:rightChars="0" w:firstLine="634"/>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b/>
          <w:bCs/>
          <w:color w:val="000000" w:themeColor="text1"/>
          <w:sz w:val="32"/>
          <w:szCs w:val="32"/>
          <w14:textFill>
            <w14:solidFill>
              <w14:schemeClr w14:val="tx1"/>
            </w14:solidFill>
          </w14:textFill>
        </w:rPr>
        <w:t>延期启动支付模式：</w:t>
      </w:r>
      <w:r>
        <w:rPr>
          <w:rFonts w:hint="eastAsia" w:ascii="Times New Roman" w:hAnsi="Times New Roman" w:eastAsia="仿宋_GB2312" w:cs="仿宋_GB2312"/>
          <w:color w:val="000000" w:themeColor="text1"/>
          <w:sz w:val="32"/>
          <w:szCs w:val="32"/>
          <w14:textFill>
            <w14:solidFill>
              <w14:schemeClr w14:val="tx1"/>
            </w14:solidFill>
          </w14:textFill>
        </w:rPr>
        <w:t>承接方自合同生效满一定期限，或基于该科技成果开发的产品或服务产生市场化收入后，开始支付转化费用。支付形式可采取一次性总付、分期支付等方式，具体方式于合同中明确约定。</w:t>
      </w:r>
    </w:p>
    <w:p w14:paraId="1481D2C7">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本方案所称科技成果，是指通过科学研究与技术开发所产生的已授权且有效的专利技术（含已解密国防专利）、计算机软件著作权、集成电路布图设计专有权、植物新品种权、生物医药新品种，以及经具有资质的第三方机构评估认定的技术秘密等具有明确实用价值和市场前景的科技成果。</w:t>
      </w:r>
    </w:p>
    <w:p w14:paraId="3674ED8B">
      <w:pPr>
        <w:pStyle w:val="5"/>
        <w:kinsoku/>
        <w:wordWrap/>
        <w:overflowPunct/>
        <w:topLinePunct w:val="0"/>
        <w:autoSpaceDE/>
        <w:autoSpaceDN/>
        <w:bidi w:val="0"/>
        <w:spacing w:before="0" w:beforeLines="0" w:after="0" w:afterLines="0" w:line="580" w:lineRule="exact"/>
        <w:ind w:right="0" w:rightChars="0" w:firstLine="632"/>
        <w:jc w:val="both"/>
        <w:rPr>
          <w:rFonts w:hint="eastAsia" w:ascii="黑体" w:hAnsi="黑体" w:eastAsia="黑体" w:cs="黑体"/>
          <w:b w:val="0"/>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三、重点任务</w:t>
      </w:r>
    </w:p>
    <w:p w14:paraId="5233A6D9">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（一）建立省级“先用后付”成果库。</w:t>
      </w:r>
      <w:r>
        <w:rPr>
          <w:rFonts w:hint="eastAsia" w:ascii="Times New Roman" w:hAnsi="Times New Roman" w:eastAsia="仿宋_GB2312" w:cs="仿宋_GB2312"/>
          <w:color w:val="000000" w:themeColor="text1"/>
          <w:sz w:val="32"/>
          <w:szCs w:val="32"/>
          <w14:textFill>
            <w14:solidFill>
              <w14:schemeClr w14:val="tx1"/>
            </w14:solidFill>
          </w14:textFill>
        </w:rPr>
        <w:t>建立以技术成熟度和市场适配度为核心的成果遴选机制，重点筛选技术成熟度达到TRL 4级（实验室环境已验证）及以上、产权清晰、市场前景明确且适合中小微企业承接的科技成果。鼓励各中央在湘及省属高等院校、科研院所、医疗卫生机构、新型研发机构、科技型企业等单位对科技成果进行全面系统梳理，提出可纳入成果库的成果清单。对财政资金支持形成的科技成果（涉密成果除外）在验收后5年内未转化且无正当理由的，各单位应主动将其纳入省“先用后付”成果库进行开放许可。对入库成果进行统一编码、分类标引，形成结构化成果档案，并进行动态管理和更新，确保信息准确、检索便捷。</w:t>
      </w:r>
    </w:p>
    <w:p w14:paraId="05B121FC">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（二）完善“先用后付”规则标准。</w:t>
      </w:r>
      <w:r>
        <w:rPr>
          <w:rFonts w:hint="eastAsia" w:ascii="Times New Roman" w:hAnsi="Times New Roman" w:eastAsia="仿宋_GB2312" w:cs="仿宋_GB2312"/>
          <w:color w:val="000000" w:themeColor="text1"/>
          <w:sz w:val="32"/>
          <w:szCs w:val="32"/>
          <w:lang w:eastAsia="zh-CN"/>
          <w14:textFill>
            <w14:solidFill>
              <w14:schemeClr w14:val="tx1"/>
            </w14:solidFill>
          </w14:textFill>
        </w:rPr>
        <w:t>鼓励和支持</w:t>
      </w:r>
      <w:r>
        <w:rPr>
          <w:rFonts w:hint="eastAsia" w:ascii="Times New Roman" w:hAnsi="Times New Roman" w:eastAsia="仿宋_GB2312" w:cs="仿宋_GB2312"/>
          <w:color w:val="000000" w:themeColor="text1"/>
          <w:sz w:val="32"/>
          <w:szCs w:val="32"/>
          <w14:textFill>
            <w14:solidFill>
              <w14:schemeClr w14:val="tx1"/>
            </w14:solidFill>
          </w14:textFill>
        </w:rPr>
        <w:t>各单位建立“先用后付”相关制度，规范内部决策程序，对不涉及国家秘密、国家安全和重大社会公共利益的科技成果，通过技术转移部门评估、学术委员会或办公会议审议等方式，自主决定是否以“先用后付”方式实施转化。制定并推广使用“先用后付”格式合同文本，明确权利义务、支付节点、知识产权保护、保密条款、违约责任等，提示交易双方权责义务和潜在风险。支持省科技成果进场交易平台提供“先用后付”成果进场交易服务，明确交易程序，降低交易风险。</w:t>
      </w:r>
    </w:p>
    <w:p w14:paraId="09562EFC">
      <w:pPr>
        <w:pStyle w:val="6"/>
        <w:kinsoku/>
        <w:wordWrap/>
        <w:overflowPunct/>
        <w:topLinePunct w:val="0"/>
        <w:autoSpaceDE/>
        <w:autoSpaceDN/>
        <w:bidi w:val="0"/>
        <w:spacing w:before="0" w:beforeLines="0" w:after="0" w:afterLines="0" w:line="580" w:lineRule="exact"/>
        <w:ind w:right="0" w:rightChars="0" w:firstLine="632"/>
        <w:jc w:val="both"/>
        <w:rPr>
          <w:rFonts w:hint="eastAsia" w:ascii="Times New Roman" w:hAnsi="Times New Roman" w:eastAsia="仿宋_GB2312" w:cs="仿宋_GB2312"/>
          <w:b w:val="0"/>
          <w:bCs w:val="0"/>
          <w:color w:val="000000" w:themeColor="text1"/>
          <w:szCs w:val="22"/>
          <w14:textFill>
            <w14:solidFill>
              <w14:schemeClr w14:val="tx1"/>
            </w14:solidFill>
          </w14:textFill>
        </w:rPr>
      </w:pPr>
      <w:r>
        <w:rPr>
          <w:rFonts w:hint="eastAsia" w:ascii="楷体_GB2312" w:hAnsi="楷体_GB2312" w:eastAsia="楷体_GB2312" w:cs="楷体_GB2312"/>
          <w:b/>
          <w:bCs/>
          <w:color w:val="000000" w:themeColor="text1"/>
          <w14:textFill>
            <w14:solidFill>
              <w14:schemeClr w14:val="tx1"/>
            </w14:solidFill>
          </w14:textFill>
        </w:rPr>
        <w:t>（三）做好“先用后付”成果推广。</w:t>
      </w:r>
      <w:r>
        <w:rPr>
          <w:rFonts w:hint="eastAsia" w:ascii="Times New Roman" w:hAnsi="Times New Roman" w:eastAsia="仿宋_GB2312" w:cs="仿宋_GB2312"/>
          <w:b w:val="0"/>
          <w:bCs w:val="0"/>
          <w:color w:val="000000" w:themeColor="text1"/>
          <w:szCs w:val="22"/>
          <w14:textFill>
            <w14:solidFill>
              <w14:schemeClr w14:val="tx1"/>
            </w14:solidFill>
          </w14:textFill>
        </w:rPr>
        <w:t>依托潇湘科技要素大市场公开发布入库成果，面向全省中小微企业进行展示和推介。每年定期从成果库中遴选高质量成果，编制并发布“先用后付”重点科技成果推广目录，常态化组织线上线下相结合的“先用后付”专场对接会、成果路演等活动，促进供需双方高效对接。依托省科技成果进场交易平台，探索运用AI技术促进成果与企业需求的智能匹配和精准推送。动员和支持潇湘科技要素大市场分市场和工作站、省技术转移机构以及科技专家服务团、科技特派员、技术经理人等立足本地产业特色，主动做好成果推广、跟踪服务等工作，发动本地科技型中小微企业与成果单位和科研团队对接联系、开展合作。</w:t>
      </w:r>
    </w:p>
    <w:p w14:paraId="4B6FA60E">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（四）加强“先用后付”政策激励。</w:t>
      </w:r>
      <w:r>
        <w:rPr>
          <w:rFonts w:hint="eastAsia" w:ascii="Times New Roman" w:hAnsi="Times New Roman" w:eastAsia="仿宋_GB2312" w:cs="仿宋_GB2312"/>
          <w:color w:val="000000" w:themeColor="text1"/>
          <w:sz w:val="32"/>
          <w:szCs w:val="32"/>
          <w14:textFill>
            <w14:solidFill>
              <w14:schemeClr w14:val="tx1"/>
            </w14:solidFill>
          </w14:textFill>
        </w:rPr>
        <w:t>各单位通过“先用后付”方式转化科技成果的，应依法依规对成果完成人给予转化净收入或股权奖励，鼓励在现有奖励标准基础上将奖励比例适当提高。成果完成人通过“先用后付”模式获得科技成果所有权或长期使用权的，应约定在企业上市或股权转让时，将对应股权收益按合理比例返还原单位，具体比例由双方协商确定。落实职务科技成果单列管理要求,“先用后付”成果及其作价形成的股权不纳入国有资产保值增值考核范围。高校院所“先用后付”过程中产生的产学研合作项目，符合条件的可认定为省级科研项目。在高等院校科技成果转化绩效考核中对“先用后付”转化工作完成量实行双倍积分。</w:t>
      </w:r>
    </w:p>
    <w:p w14:paraId="06472512">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（五）健全“先用后付”保障机制。</w:t>
      </w:r>
      <w:r>
        <w:rPr>
          <w:rFonts w:hint="eastAsia" w:ascii="Times New Roman" w:hAnsi="Times New Roman" w:eastAsia="仿宋_GB2312" w:cs="仿宋_GB2312"/>
          <w:color w:val="000000" w:themeColor="text1"/>
          <w:sz w:val="32"/>
          <w:szCs w:val="32"/>
          <w14:textFill>
            <w14:solidFill>
              <w14:schemeClr w14:val="tx1"/>
            </w14:solidFill>
          </w14:textFill>
        </w:rPr>
        <w:t>建立企业信息沟通共享机制，支持成果持有单位优先选择创新积分制评价结果优良、无不良科研诚信记录的企业承接成果。鼓励保险机构开发“先用后付”专属保险产品，运用研发费用损失险、成果转化保险等为“先用后付”模式提供风险保障，探索对参保主体给予保费补贴。建立“先用后付”专项履约信用档案，对恶意违约的企业纳入科研诚信严重失信名单。</w:t>
      </w:r>
    </w:p>
    <w:p w14:paraId="6A10FB0F">
      <w:pPr>
        <w:pStyle w:val="5"/>
        <w:kinsoku/>
        <w:wordWrap/>
        <w:overflowPunct/>
        <w:topLinePunct w:val="0"/>
        <w:autoSpaceDE/>
        <w:autoSpaceDN/>
        <w:bidi w:val="0"/>
        <w:spacing w:before="0" w:beforeLines="0" w:after="0" w:afterLines="0" w:line="580" w:lineRule="exact"/>
        <w:ind w:right="0" w:rightChars="0" w:firstLine="632"/>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四、加强组织实施</w:t>
      </w:r>
    </w:p>
    <w:p w14:paraId="46281984">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在省委科技委领导下，建立部门协同机制，由省科技厅牵头，联合省教育厅、省卫生健康委、省市场监督管理局等部门加强统筹谋划，整合各方面政策资源，形成推进合力。各级科技、教育、卫生健康、市场监管部门及产业园区、高校院所、新型研发机构、医疗卫生机构要结合本地本部门实际抓好宣传发动、协调和政策服务，确保推广实施工作取得实效。要及时总结宣传“先用后付”推广实施中的典型案例和经验做法，持续扩大“先用后付”机制模式的影响力和示范效应。</w:t>
      </w:r>
    </w:p>
    <w:p w14:paraId="5309BF85">
      <w:pPr>
        <w:pStyle w:val="4"/>
        <w:kinsoku/>
        <w:wordWrap/>
        <w:overflowPunct/>
        <w:topLinePunct w:val="0"/>
        <w:autoSpaceDE/>
        <w:autoSpaceDN/>
        <w:bidi w:val="0"/>
        <w:spacing w:beforeLines="0" w:after="0" w:afterLines="0" w:line="580" w:lineRule="exact"/>
        <w:ind w:right="0" w:rightChars="0" w:firstLine="632"/>
        <w:jc w:val="both"/>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本</w:t>
      </w:r>
      <w:r>
        <w:rPr>
          <w:rFonts w:hint="eastAsia" w:ascii="Times New Roman" w:hAnsi="Times New Roman" w:eastAsia="仿宋_GB2312" w:cs="仿宋_GB2312"/>
          <w:color w:val="000000" w:themeColor="text1"/>
          <w:spacing w:val="0"/>
          <w:sz w:val="32"/>
          <w:szCs w:val="32"/>
          <w14:textFill>
            <w14:solidFill>
              <w14:schemeClr w14:val="tx1"/>
            </w14:solidFill>
          </w14:textFill>
        </w:rPr>
        <w:t>方案自发布之日起在全省范围内实施。有效期至2028年</w:t>
      </w:r>
      <w:r>
        <w:rPr>
          <w:rFonts w:hint="eastAsia" w:ascii="Times New Roman" w:hAnsi="Times New Roman" w:eastAsia="仿宋_GB2312" w:cs="仿宋_GB2312"/>
          <w:color w:val="000000" w:themeColor="text1"/>
          <w:sz w:val="32"/>
          <w:szCs w:val="32"/>
          <w14:textFill>
            <w14:solidFill>
              <w14:schemeClr w14:val="tx1"/>
            </w14:solidFill>
          </w14:textFill>
        </w:rPr>
        <w:t>12月31日。各单位可结合实际制定实施细则。</w:t>
      </w:r>
    </w:p>
    <w:p w14:paraId="0E95D82F">
      <w:pPr>
        <w:pStyle w:val="5"/>
        <w:pageBreakBefore w:val="0"/>
        <w:kinsoku/>
        <w:wordWrap/>
        <w:overflowPunct/>
        <w:topLinePunct w:val="0"/>
        <w:autoSpaceDE/>
        <w:autoSpaceDN/>
        <w:bidi w:val="0"/>
        <w:spacing w:before="0" w:beforeLines="0" w:after="0" w:afterLines="0" w:line="560" w:lineRule="exact"/>
        <w:ind w:right="0" w:rightChars="0" w:firstLine="0" w:firstLineChars="0"/>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p>
    <w:p w14:paraId="295DEA63">
      <w:pPr>
        <w:pStyle w:val="4"/>
        <w:kinsoku/>
        <w:wordWrap/>
        <w:overflowPunct/>
        <w:topLinePunct w:val="0"/>
        <w:autoSpaceDE/>
        <w:autoSpaceDN/>
        <w:bidi w:val="0"/>
        <w:spacing w:after="0" w:line="560" w:lineRule="exact"/>
        <w:ind w:right="0" w:rightChars="0" w:firstLine="632"/>
        <w:rPr>
          <w:rFonts w:hint="default" w:ascii="Times New Roman" w:hAnsi="Times New Roman" w:cs="Times New Roman"/>
          <w:color w:val="000000" w:themeColor="text1"/>
          <w14:textFill>
            <w14:solidFill>
              <w14:schemeClr w14:val="tx1"/>
            </w14:solidFill>
          </w14:textFill>
        </w:rPr>
      </w:pPr>
      <w:bookmarkStart w:id="0" w:name="_Hlk211937784"/>
    </w:p>
    <w:p w14:paraId="6307010A">
      <w:pPr>
        <w:pStyle w:val="3"/>
        <w:kinsoku/>
        <w:wordWrap/>
        <w:overflowPunct/>
        <w:topLinePunct w:val="0"/>
        <w:autoSpaceDE/>
        <w:autoSpaceDN/>
        <w:bidi w:val="0"/>
        <w:spacing w:before="0" w:beforeLines="0" w:after="0" w:afterLines="0" w:line="640" w:lineRule="exact"/>
        <w:ind w:right="0" w:rightChars="0"/>
        <w:jc w:val="center"/>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14:ligatures w14:val="none"/>
        </w:rPr>
      </w:pPr>
      <w:r>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14:ligatures w14:val="none"/>
        </w:rPr>
        <w:t>湖南省科技成果“先用后付”</w:t>
      </w:r>
    </w:p>
    <w:p w14:paraId="60735412">
      <w:pPr>
        <w:pStyle w:val="3"/>
        <w:kinsoku/>
        <w:wordWrap/>
        <w:overflowPunct/>
        <w:topLinePunct w:val="0"/>
        <w:autoSpaceDE/>
        <w:autoSpaceDN/>
        <w:bidi w:val="0"/>
        <w:spacing w:before="0" w:beforeLines="0" w:after="0" w:afterLines="0" w:line="640" w:lineRule="exact"/>
        <w:ind w:right="0" w:rightChars="0"/>
        <w:jc w:val="center"/>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14:ligatures w14:val="none"/>
        </w:rPr>
      </w:pPr>
      <w:r>
        <w:rPr>
          <w:rFonts w:hint="eastAsia" w:ascii="方正小标宋简体" w:hAnsi="方正小标宋简体" w:eastAsia="方正小标宋简体" w:cs="方正小标宋简体"/>
          <w:bCs/>
          <w:color w:val="000000" w:themeColor="text1"/>
          <w:kern w:val="44"/>
          <w:sz w:val="44"/>
          <w:szCs w:val="44"/>
          <w14:textFill>
            <w14:solidFill>
              <w14:schemeClr w14:val="tx1"/>
            </w14:solidFill>
          </w14:textFill>
          <w14:ligatures w14:val="none"/>
        </w:rPr>
        <w:t>合同示范文本</w:t>
      </w:r>
    </w:p>
    <w:bookmarkEnd w:id="0"/>
    <w:p w14:paraId="5DCB826C">
      <w:pPr>
        <w:pStyle w:val="4"/>
        <w:kinsoku/>
        <w:wordWrap/>
        <w:overflowPunct/>
        <w:topLinePunct w:val="0"/>
        <w:autoSpaceDE/>
        <w:autoSpaceDN/>
        <w:bidi w:val="0"/>
        <w:spacing w:after="0" w:line="560" w:lineRule="exact"/>
        <w:ind w:right="0" w:rightChars="0" w:firstLine="0" w:firstLineChars="0"/>
        <w:rPr>
          <w:rFonts w:hint="eastAsia" w:ascii="Times New Roman" w:hAnsi="Times New Roman" w:eastAsia="宋体" w:cs="Times New Roman"/>
          <w:color w:val="000000" w:themeColor="text1"/>
          <w:lang w:eastAsia="zh-CN"/>
          <w14:textFill>
            <w14:solidFill>
              <w14:schemeClr w14:val="tx1"/>
            </w14:solidFill>
          </w14:textFill>
        </w:rPr>
      </w:pPr>
    </w:p>
    <w:p w14:paraId="1E419189">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合同编号：  </w:t>
      </w:r>
    </w:p>
    <w:p w14:paraId="3423AEE8">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签订地点：  </w:t>
      </w:r>
    </w:p>
    <w:p w14:paraId="0D5DE90A">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签订日期：  年  月  日</w:t>
      </w:r>
    </w:p>
    <w:p w14:paraId="2CFA4326">
      <w:pPr>
        <w:pStyle w:val="5"/>
        <w:pageBreakBefore w:val="0"/>
        <w:kinsoku/>
        <w:wordWrap/>
        <w:overflowPunct/>
        <w:topLinePunct w:val="0"/>
        <w:autoSpaceDE/>
        <w:autoSpaceDN/>
        <w:bidi w:val="0"/>
        <w:adjustRightInd w:val="0"/>
        <w:snapToGrid w:val="0"/>
        <w:spacing w:before="0" w:after="0" w:line="560" w:lineRule="exact"/>
        <w:ind w:right="0" w:rightChars="0" w:firstLine="632" w:firstLineChars="200"/>
        <w:jc w:val="left"/>
        <w:rPr>
          <w:rFonts w:hint="default" w:ascii="Times New Roman" w:hAnsi="Times New Roman" w:eastAsia="黑体" w:cs="Times New Roman"/>
          <w:bCs/>
          <w:color w:val="000000" w:themeColor="text1"/>
          <w:sz w:val="32"/>
          <w:szCs w:val="32"/>
          <w14:textFill>
            <w14:solidFill>
              <w14:schemeClr w14:val="tx1"/>
            </w14:solidFill>
          </w14:textFill>
          <w14:ligatures w14:val="none"/>
        </w:rPr>
      </w:pPr>
    </w:p>
    <w:p w14:paraId="3D0A3E0F">
      <w:pPr>
        <w:pStyle w:val="5"/>
        <w:pageBreakBefore w:val="0"/>
        <w:kinsoku/>
        <w:wordWrap/>
        <w:overflowPunct/>
        <w:topLinePunct w:val="0"/>
        <w:autoSpaceDE/>
        <w:autoSpaceDN/>
        <w:bidi w:val="0"/>
        <w:adjustRightInd w:val="0"/>
        <w:snapToGrid w:val="0"/>
        <w:spacing w:before="0" w:beforeLines="0" w:after="0" w:afterLines="0" w:line="520" w:lineRule="exact"/>
        <w:ind w:right="0" w:rightChars="0" w:firstLine="632" w:firstLineChars="200"/>
        <w:jc w:val="left"/>
        <w:rPr>
          <w:rFonts w:hint="default" w:ascii="Times New Roman" w:hAnsi="Times New Roman" w:eastAsia="黑体" w:cs="Times New Roman"/>
          <w:bCs/>
          <w:color w:val="000000" w:themeColor="text1"/>
          <w:sz w:val="32"/>
          <w:szCs w:val="32"/>
          <w14:textFill>
            <w14:solidFill>
              <w14:schemeClr w14:val="tx1"/>
            </w14:solidFill>
          </w14:textFill>
          <w14:ligatures w14:val="none"/>
        </w:rPr>
      </w:pPr>
      <w:r>
        <w:rPr>
          <w:rFonts w:hint="default" w:ascii="Times New Roman" w:hAnsi="Times New Roman" w:eastAsia="黑体" w:cs="Times New Roman"/>
          <w:bCs/>
          <w:color w:val="000000" w:themeColor="text1"/>
          <w:sz w:val="32"/>
          <w:szCs w:val="32"/>
          <w14:textFill>
            <w14:solidFill>
              <w14:schemeClr w14:val="tx1"/>
            </w14:solidFill>
          </w14:textFill>
          <w14:ligatures w14:val="none"/>
        </w:rPr>
        <w:t>第一条  合同双方</w:t>
      </w:r>
    </w:p>
    <w:p w14:paraId="3FCF4387">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持有方（甲方）：</w:t>
      </w:r>
    </w:p>
    <w:p w14:paraId="66FBFD79">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名称：  </w:t>
      </w:r>
    </w:p>
    <w:p w14:paraId="0F5D8836">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地址：  </w:t>
      </w:r>
    </w:p>
    <w:p w14:paraId="6E44B382">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法定代表人：  </w:t>
      </w:r>
    </w:p>
    <w:p w14:paraId="3DA25354">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联系人：  </w:t>
      </w:r>
    </w:p>
    <w:p w14:paraId="4E29A01E">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联系电话：  </w:t>
      </w:r>
    </w:p>
    <w:p w14:paraId="027C47A3">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电子邮箱：  </w:t>
      </w:r>
    </w:p>
    <w:p w14:paraId="28B64385">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承接方（乙方）：</w:t>
      </w:r>
    </w:p>
    <w:p w14:paraId="21134F3B">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名称：  </w:t>
      </w:r>
    </w:p>
    <w:p w14:paraId="74D3C09C">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地址：  </w:t>
      </w:r>
    </w:p>
    <w:p w14:paraId="13D004CC">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法定代表人：  </w:t>
      </w:r>
    </w:p>
    <w:p w14:paraId="18CDAF50">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联系人：  </w:t>
      </w:r>
    </w:p>
    <w:p w14:paraId="646FCD25">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联系电话： </w:t>
      </w:r>
    </w:p>
    <w:p w14:paraId="30949C91">
      <w:pPr>
        <w:pStyle w:val="4"/>
        <w:pageBreakBefore w:val="0"/>
        <w:kinsoku/>
        <w:wordWrap/>
        <w:overflowPunct/>
        <w:topLinePunct w:val="0"/>
        <w:autoSpaceDE/>
        <w:autoSpaceDN/>
        <w:bidi w:val="0"/>
        <w:adjustRightInd w:val="0"/>
        <w:snapToGrid w:val="0"/>
        <w:spacing w:beforeLines="0" w:after="0" w:afterLines="0" w:line="52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电子邮箱：</w:t>
      </w:r>
    </w:p>
    <w:p w14:paraId="7BC8D1EB">
      <w:pPr>
        <w:pStyle w:val="5"/>
        <w:pageBreakBefore w:val="0"/>
        <w:kinsoku/>
        <w:wordWrap/>
        <w:overflowPunct/>
        <w:topLinePunct w:val="0"/>
        <w:autoSpaceDE/>
        <w:autoSpaceDN/>
        <w:bidi w:val="0"/>
        <w:adjustRightInd w:val="0"/>
        <w:snapToGrid w:val="0"/>
        <w:spacing w:before="0" w:beforeLines="0" w:after="0" w:afterLines="0" w:line="540" w:lineRule="exact"/>
        <w:ind w:right="0" w:rightChars="0" w:firstLine="632"/>
        <w:jc w:val="left"/>
        <w:rPr>
          <w:rFonts w:hint="default" w:ascii="Times New Roman" w:hAnsi="Times New Roman" w:eastAsia="黑体" w:cs="Times New Roman"/>
          <w:bCs/>
          <w:color w:val="000000" w:themeColor="text1"/>
          <w:sz w:val="32"/>
          <w:szCs w:val="32"/>
          <w14:textFill>
            <w14:solidFill>
              <w14:schemeClr w14:val="tx1"/>
            </w14:solidFill>
          </w14:textFill>
          <w14:ligatures w14:val="none"/>
        </w:rPr>
      </w:pPr>
      <w:r>
        <w:rPr>
          <w:rFonts w:hint="default" w:ascii="Times New Roman" w:hAnsi="Times New Roman" w:eastAsia="黑体" w:cs="Times New Roman"/>
          <w:bCs/>
          <w:color w:val="000000" w:themeColor="text1"/>
          <w:sz w:val="32"/>
          <w:szCs w:val="32"/>
          <w14:textFill>
            <w14:solidFill>
              <w14:schemeClr w14:val="tx1"/>
            </w14:solidFill>
          </w14:textFill>
          <w14:ligatures w14:val="none"/>
        </w:rPr>
        <w:t>第二条  科技成果基本信息</w:t>
      </w:r>
    </w:p>
    <w:p w14:paraId="72A212FC">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1. 科技成果名称：  </w:t>
      </w:r>
    </w:p>
    <w:p w14:paraId="143D39AE">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类型：</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专利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软件著作权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集成电路布图设计 </w:t>
      </w:r>
    </w:p>
    <w:p w14:paraId="7587F789">
      <w:pPr>
        <w:pStyle w:val="4"/>
        <w:pageBreakBefore w:val="0"/>
        <w:kinsoku/>
        <w:wordWrap/>
        <w:overflowPunct/>
        <w:topLinePunct w:val="0"/>
        <w:autoSpaceDE/>
        <w:autoSpaceDN/>
        <w:bidi w:val="0"/>
        <w:adjustRightInd w:val="0"/>
        <w:snapToGrid w:val="0"/>
        <w:spacing w:beforeLines="0" w:after="0" w:afterLines="0" w:line="540" w:lineRule="exact"/>
        <w:ind w:right="0" w:rightChars="0" w:firstLine="1991" w:firstLineChars="63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植物新品种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生物医药新品种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技术秘密</w:t>
      </w:r>
    </w:p>
    <w:p w14:paraId="37FC359B">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3. 登记/授权号：  </w:t>
      </w:r>
    </w:p>
    <w:p w14:paraId="2B349089">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4. 权利人：  </w:t>
      </w:r>
    </w:p>
    <w:p w14:paraId="1734776A">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5. 技术领域：  </w:t>
      </w:r>
    </w:p>
    <w:p w14:paraId="34B854DD">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 技术成熟度：TRL 级</w:t>
      </w:r>
    </w:p>
    <w:p w14:paraId="6438FA6D">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 简要说明：</w:t>
      </w:r>
    </w:p>
    <w:p w14:paraId="3CDA5712">
      <w:pPr>
        <w:pStyle w:val="5"/>
        <w:pageBreakBefore w:val="0"/>
        <w:kinsoku/>
        <w:wordWrap/>
        <w:overflowPunct/>
        <w:topLinePunct w:val="0"/>
        <w:autoSpaceDE/>
        <w:autoSpaceDN/>
        <w:bidi w:val="0"/>
        <w:adjustRightInd w:val="0"/>
        <w:snapToGrid w:val="0"/>
        <w:spacing w:before="0" w:beforeLines="0" w:after="0" w:afterLines="0" w:line="540" w:lineRule="exact"/>
        <w:ind w:right="0" w:rightChars="0" w:firstLine="632" w:firstLineChars="200"/>
        <w:jc w:val="left"/>
        <w:rPr>
          <w:rFonts w:hint="default" w:ascii="Times New Roman" w:hAnsi="Times New Roman" w:eastAsia="黑体" w:cs="Times New Roman"/>
          <w:bCs/>
          <w:color w:val="000000" w:themeColor="text1"/>
          <w:sz w:val="32"/>
          <w:szCs w:val="32"/>
          <w14:textFill>
            <w14:solidFill>
              <w14:schemeClr w14:val="tx1"/>
            </w14:solidFill>
          </w14:textFill>
          <w14:ligatures w14:val="none"/>
        </w:rPr>
      </w:pPr>
      <w:r>
        <w:rPr>
          <w:rFonts w:hint="default" w:ascii="Times New Roman" w:hAnsi="Times New Roman" w:eastAsia="黑体" w:cs="Times New Roman"/>
          <w:bCs/>
          <w:color w:val="000000" w:themeColor="text1"/>
          <w:sz w:val="32"/>
          <w:szCs w:val="32"/>
          <w14:textFill>
            <w14:solidFill>
              <w14:schemeClr w14:val="tx1"/>
            </w14:solidFill>
          </w14:textFill>
          <w14:ligatures w14:val="none"/>
        </w:rPr>
        <w:t>第三条 转化方式与范围</w:t>
      </w:r>
    </w:p>
    <w:p w14:paraId="50E446FB">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转化方式：</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转让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许可（</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排他许可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独占许可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37A4B6D0">
      <w:pPr>
        <w:pStyle w:val="4"/>
        <w:pageBreakBefore w:val="0"/>
        <w:kinsoku/>
        <w:wordWrap/>
        <w:overflowPunct/>
        <w:topLinePunct w:val="0"/>
        <w:autoSpaceDE/>
        <w:autoSpaceDN/>
        <w:bidi w:val="0"/>
        <w:adjustRightInd w:val="0"/>
        <w:snapToGrid w:val="0"/>
        <w:spacing w:beforeLines="0" w:after="0" w:afterLines="0" w:line="540" w:lineRule="exact"/>
        <w:ind w:left="79" w:right="0" w:rightChars="0" w:firstLine="2528" w:firstLineChars="8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开放</w:t>
      </w:r>
      <w:r>
        <w:rPr>
          <w:rFonts w:hint="default" w:ascii="Times New Roman" w:hAnsi="Times New Roman" w:eastAsia="仿宋_GB2312" w:cs="Times New Roman"/>
          <w:color w:val="000000" w:themeColor="text1"/>
          <w:sz w:val="32"/>
          <w:szCs w:val="32"/>
          <w14:textFill>
            <w14:solidFill>
              <w14:schemeClr w14:val="tx1"/>
            </w14:solidFill>
          </w14:textFill>
        </w:rPr>
        <w:t>许可）</w:t>
      </w:r>
    </w:p>
    <w:p w14:paraId="02C1817E">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2. 转化地域：  </w:t>
      </w:r>
    </w:p>
    <w:p w14:paraId="01D3F6EB">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（采用许可方式转化需填写：</w:t>
      </w:r>
    </w:p>
    <w:p w14:paraId="01307853">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许可期限：自  年  月  日起至  年  月  日止</w:t>
      </w:r>
    </w:p>
    <w:p w14:paraId="6CB16FC1">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许</w:t>
      </w:r>
      <w:r>
        <w:rPr>
          <w:rFonts w:hint="default" w:ascii="Times New Roman" w:hAnsi="Times New Roman" w:eastAsia="仿宋_GB2312" w:cs="Times New Roman"/>
          <w:color w:val="000000" w:themeColor="text1"/>
          <w:spacing w:val="-11"/>
          <w:sz w:val="32"/>
          <w:szCs w:val="32"/>
          <w14:textFill>
            <w14:solidFill>
              <w14:schemeClr w14:val="tx1"/>
            </w14:solidFill>
          </w14:textFill>
        </w:rPr>
        <w:t>可用途：仅限于  领域的使用、生产、销售等商业化行为）</w:t>
      </w:r>
    </w:p>
    <w:p w14:paraId="67FDA367">
      <w:pPr>
        <w:pStyle w:val="5"/>
        <w:pageBreakBefore w:val="0"/>
        <w:kinsoku/>
        <w:wordWrap/>
        <w:overflowPunct/>
        <w:topLinePunct w:val="0"/>
        <w:autoSpaceDE/>
        <w:autoSpaceDN/>
        <w:bidi w:val="0"/>
        <w:adjustRightInd w:val="0"/>
        <w:snapToGrid w:val="0"/>
        <w:spacing w:before="0" w:beforeLines="0" w:after="0" w:afterLines="0" w:line="540" w:lineRule="exact"/>
        <w:ind w:right="0" w:rightChars="0" w:firstLine="632" w:firstLineChars="200"/>
        <w:jc w:val="left"/>
        <w:rPr>
          <w:rFonts w:hint="default" w:ascii="Times New Roman" w:hAnsi="Times New Roman" w:eastAsia="黑体" w:cs="Times New Roman"/>
          <w:bCs/>
          <w:color w:val="000000" w:themeColor="text1"/>
          <w:sz w:val="32"/>
          <w:szCs w:val="32"/>
          <w14:textFill>
            <w14:solidFill>
              <w14:schemeClr w14:val="tx1"/>
            </w14:solidFill>
          </w14:textFill>
          <w14:ligatures w14:val="none"/>
        </w:rPr>
      </w:pPr>
      <w:r>
        <w:rPr>
          <w:rFonts w:hint="default" w:ascii="Times New Roman" w:hAnsi="Times New Roman" w:eastAsia="黑体" w:cs="Times New Roman"/>
          <w:bCs/>
          <w:color w:val="000000" w:themeColor="text1"/>
          <w:sz w:val="32"/>
          <w:szCs w:val="32"/>
          <w14:textFill>
            <w14:solidFill>
              <w14:schemeClr w14:val="tx1"/>
            </w14:solidFill>
          </w14:textFill>
          <w14:ligatures w14:val="none"/>
        </w:rPr>
        <w:t>第四条 转化费用支付方式</w:t>
      </w:r>
    </w:p>
    <w:p w14:paraId="3104F7C0">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请选择一种模式并填写具体条款。</w:t>
      </w:r>
    </w:p>
    <w:p w14:paraId="658585DA">
      <w:pPr>
        <w:pStyle w:val="4"/>
        <w:pageBreakBefore w:val="0"/>
        <w:kinsoku/>
        <w:wordWrap/>
        <w:overflowPunct/>
        <w:topLinePunct w:val="0"/>
        <w:autoSpaceDE/>
        <w:autoSpaceDN/>
        <w:bidi w:val="0"/>
        <w:adjustRightInd w:val="0"/>
        <w:snapToGrid w:val="0"/>
        <w:spacing w:beforeLines="0" w:after="0" w:afterLines="0" w:line="540" w:lineRule="exact"/>
        <w:ind w:right="0" w:rightChars="0" w:firstLine="634"/>
        <w:jc w:val="left"/>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模式一：里程碑节点支付</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131"/>
        <w:gridCol w:w="2132"/>
        <w:gridCol w:w="2133"/>
      </w:tblGrid>
      <w:tr w14:paraId="46CC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6" w:type="dxa"/>
            <w:vAlign w:val="center"/>
          </w:tcPr>
          <w:p w14:paraId="29165AA9">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里程碑节点</w:t>
            </w:r>
          </w:p>
        </w:tc>
        <w:tc>
          <w:tcPr>
            <w:tcW w:w="2131" w:type="dxa"/>
            <w:vAlign w:val="center"/>
          </w:tcPr>
          <w:p w14:paraId="6B938DD0">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支付条件</w:t>
            </w:r>
          </w:p>
        </w:tc>
        <w:tc>
          <w:tcPr>
            <w:tcW w:w="2132" w:type="dxa"/>
            <w:vAlign w:val="center"/>
          </w:tcPr>
          <w:p w14:paraId="5D249AC6">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支付金额</w:t>
            </w:r>
          </w:p>
        </w:tc>
        <w:tc>
          <w:tcPr>
            <w:tcW w:w="2133" w:type="dxa"/>
            <w:vAlign w:val="center"/>
          </w:tcPr>
          <w:p w14:paraId="1721A25F">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支付期限</w:t>
            </w:r>
          </w:p>
        </w:tc>
      </w:tr>
      <w:tr w14:paraId="4E53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6" w:type="dxa"/>
            <w:vAlign w:val="center"/>
          </w:tcPr>
          <w:p w14:paraId="27A6C806">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技术验证通过</w:t>
            </w:r>
          </w:p>
        </w:tc>
        <w:tc>
          <w:tcPr>
            <w:tcW w:w="2131" w:type="dxa"/>
            <w:vAlign w:val="center"/>
          </w:tcPr>
          <w:p w14:paraId="3BF997C7">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[具体条件]</w:t>
            </w:r>
          </w:p>
        </w:tc>
        <w:tc>
          <w:tcPr>
            <w:tcW w:w="2132" w:type="dxa"/>
            <w:vAlign w:val="center"/>
          </w:tcPr>
          <w:p w14:paraId="11D67179">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[金额]</w:t>
            </w:r>
          </w:p>
        </w:tc>
        <w:tc>
          <w:tcPr>
            <w:tcW w:w="2133" w:type="dxa"/>
            <w:vAlign w:val="center"/>
          </w:tcPr>
          <w:p w14:paraId="2733702E">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[期限]</w:t>
            </w:r>
          </w:p>
        </w:tc>
      </w:tr>
      <w:tr w14:paraId="2D64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6" w:type="dxa"/>
            <w:vAlign w:val="center"/>
          </w:tcPr>
          <w:p w14:paraId="5A606F02">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样品试制成功</w:t>
            </w:r>
          </w:p>
        </w:tc>
        <w:tc>
          <w:tcPr>
            <w:tcW w:w="2131" w:type="dxa"/>
            <w:vAlign w:val="center"/>
          </w:tcPr>
          <w:p w14:paraId="3FFA61BF">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[具体条件]</w:t>
            </w:r>
          </w:p>
        </w:tc>
        <w:tc>
          <w:tcPr>
            <w:tcW w:w="2132" w:type="dxa"/>
            <w:vAlign w:val="center"/>
          </w:tcPr>
          <w:p w14:paraId="54529DFB">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[金额]</w:t>
            </w:r>
          </w:p>
        </w:tc>
        <w:tc>
          <w:tcPr>
            <w:tcW w:w="2133" w:type="dxa"/>
            <w:vAlign w:val="center"/>
          </w:tcPr>
          <w:p w14:paraId="21D19343">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[期限]</w:t>
            </w:r>
          </w:p>
        </w:tc>
      </w:tr>
      <w:tr w14:paraId="7A12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6" w:type="dxa"/>
            <w:vAlign w:val="center"/>
          </w:tcPr>
          <w:p w14:paraId="2B7C00B1">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产品正式上市</w:t>
            </w:r>
          </w:p>
        </w:tc>
        <w:tc>
          <w:tcPr>
            <w:tcW w:w="2131" w:type="dxa"/>
            <w:vAlign w:val="center"/>
          </w:tcPr>
          <w:p w14:paraId="7FD029B9">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[具体条件]</w:t>
            </w:r>
          </w:p>
        </w:tc>
        <w:tc>
          <w:tcPr>
            <w:tcW w:w="2132" w:type="dxa"/>
            <w:vAlign w:val="center"/>
          </w:tcPr>
          <w:p w14:paraId="1F53FADF">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[金额]</w:t>
            </w:r>
          </w:p>
        </w:tc>
        <w:tc>
          <w:tcPr>
            <w:tcW w:w="2133" w:type="dxa"/>
            <w:vAlign w:val="center"/>
          </w:tcPr>
          <w:p w14:paraId="49FF373D">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[期限]</w:t>
            </w:r>
          </w:p>
        </w:tc>
      </w:tr>
      <w:tr w14:paraId="50BE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6" w:type="dxa"/>
            <w:vAlign w:val="center"/>
          </w:tcPr>
          <w:p w14:paraId="25E30AE8">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达成销售额</w:t>
            </w:r>
          </w:p>
        </w:tc>
        <w:tc>
          <w:tcPr>
            <w:tcW w:w="2131" w:type="dxa"/>
            <w:vAlign w:val="center"/>
          </w:tcPr>
          <w:p w14:paraId="22397EDF">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[具体条件]</w:t>
            </w:r>
          </w:p>
        </w:tc>
        <w:tc>
          <w:tcPr>
            <w:tcW w:w="2132" w:type="dxa"/>
            <w:vAlign w:val="center"/>
          </w:tcPr>
          <w:p w14:paraId="64D96ECF">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[金额]</w:t>
            </w:r>
          </w:p>
        </w:tc>
        <w:tc>
          <w:tcPr>
            <w:tcW w:w="2133" w:type="dxa"/>
            <w:vAlign w:val="center"/>
          </w:tcPr>
          <w:p w14:paraId="0E7E72E6">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[期限]</w:t>
            </w:r>
          </w:p>
        </w:tc>
      </w:tr>
      <w:tr w14:paraId="4B88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6" w:type="dxa"/>
            <w:vAlign w:val="center"/>
          </w:tcPr>
          <w:p w14:paraId="3143FB43">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其他</w:t>
            </w:r>
          </w:p>
        </w:tc>
        <w:tc>
          <w:tcPr>
            <w:tcW w:w="2131" w:type="dxa"/>
            <w:vAlign w:val="center"/>
          </w:tcPr>
          <w:p w14:paraId="7FE2E090">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[具体条件]</w:t>
            </w:r>
          </w:p>
        </w:tc>
        <w:tc>
          <w:tcPr>
            <w:tcW w:w="2132" w:type="dxa"/>
            <w:vAlign w:val="center"/>
          </w:tcPr>
          <w:p w14:paraId="496472E9">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[金额]</w:t>
            </w:r>
          </w:p>
        </w:tc>
        <w:tc>
          <w:tcPr>
            <w:tcW w:w="2133" w:type="dxa"/>
            <w:vAlign w:val="center"/>
          </w:tcPr>
          <w:p w14:paraId="7BC4784B">
            <w:pPr>
              <w:pStyle w:val="49"/>
              <w:pageBreakBefore w:val="0"/>
              <w:kinsoku/>
              <w:wordWrap/>
              <w:overflowPunct/>
              <w:topLinePunct w:val="0"/>
              <w:autoSpaceDE/>
              <w:autoSpaceDN/>
              <w:bidi w:val="0"/>
              <w:adjustRightInd w:val="0"/>
              <w:snapToGrid w:val="0"/>
              <w:spacing w:beforeLines="0" w:after="0" w:afterLines="0" w:line="440" w:lineRule="exact"/>
              <w:ind w:right="0" w:rightChars="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[期限]</w:t>
            </w:r>
          </w:p>
        </w:tc>
      </w:tr>
    </w:tbl>
    <w:p w14:paraId="4A59B0C5">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提成费用约定：乙方按实际销售收入的  %支付提成，每</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半年/年</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结算一次。</w:t>
      </w:r>
    </w:p>
    <w:p w14:paraId="07502D1D">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4"/>
        <w:jc w:val="both"/>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模式二：延期启动支付</w:t>
      </w:r>
    </w:p>
    <w:p w14:paraId="276F130C">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乙方自合同生效满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个月起，或基于本科技成果开发的产品/服务产生市场化收入后开始支付转化费用。支付方式为：</w:t>
      </w:r>
    </w:p>
    <w:p w14:paraId="015D880C">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一次性总付：</w:t>
      </w:r>
      <w:r>
        <w:rPr>
          <w:rFonts w:hint="eastAsia" w:ascii="仿宋_GB2312" w:hAnsi="仿宋_GB2312" w:eastAsia="仿宋_GB2312" w:cs="仿宋_GB2312"/>
          <w:color w:val="000000" w:themeColor="text1"/>
          <w:sz w:val="32"/>
          <w:szCs w:val="32"/>
          <w14:textFill>
            <w14:solidFill>
              <w14:schemeClr w14:val="tx1"/>
            </w14:solidFill>
          </w14:textFill>
        </w:rPr>
        <w:t>[金额]元，于[</w:t>
      </w:r>
      <w:r>
        <w:rPr>
          <w:rFonts w:hint="default" w:ascii="Times New Roman" w:hAnsi="Times New Roman" w:eastAsia="仿宋_GB2312" w:cs="Times New Roman"/>
          <w:color w:val="000000" w:themeColor="text1"/>
          <w:sz w:val="32"/>
          <w:szCs w:val="32"/>
          <w14:textFill>
            <w14:solidFill>
              <w14:schemeClr w14:val="tx1"/>
            </w14:solidFill>
          </w14:textFill>
        </w:rPr>
        <w:t>条件达成后X日内</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支付 </w:t>
      </w:r>
    </w:p>
    <w:p w14:paraId="0EF0F318">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pacing w:val="-11"/>
          <w:sz w:val="32"/>
          <w:szCs w:val="32"/>
          <w14:textFill>
            <w14:solidFill>
              <w14:schemeClr w14:val="tx1"/>
            </w14:solidFill>
          </w14:textFill>
        </w:rPr>
        <w:t>分期支付：</w:t>
      </w:r>
      <w:r>
        <w:rPr>
          <w:rFonts w:hint="eastAsia" w:ascii="仿宋_GB2312" w:hAnsi="仿宋_GB2312" w:eastAsia="仿宋_GB2312" w:cs="仿宋_GB2312"/>
          <w:color w:val="000000" w:themeColor="text1"/>
          <w:spacing w:val="-11"/>
          <w:sz w:val="32"/>
          <w:szCs w:val="32"/>
          <w14:textFill>
            <w14:solidFill>
              <w14:schemeClr w14:val="tx1"/>
            </w14:solidFill>
          </w14:textFill>
        </w:rPr>
        <w:t>共分[  ]期，每期[金额]元，支付时间分别为[  ]</w:t>
      </w:r>
    </w:p>
    <w:p w14:paraId="0B5C8262">
      <w:pPr>
        <w:pStyle w:val="5"/>
        <w:pageBreakBefore w:val="0"/>
        <w:kinsoku/>
        <w:wordWrap/>
        <w:overflowPunct/>
        <w:topLinePunct w:val="0"/>
        <w:autoSpaceDE/>
        <w:autoSpaceDN/>
        <w:bidi w:val="0"/>
        <w:adjustRightInd w:val="0"/>
        <w:snapToGrid w:val="0"/>
        <w:spacing w:before="0" w:beforeLines="0" w:after="0" w:afterLines="0" w:line="560" w:lineRule="exact"/>
        <w:ind w:right="0" w:rightChars="0" w:firstLine="632"/>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第五条 知识产权保护</w:t>
      </w:r>
    </w:p>
    <w:p w14:paraId="4C81E222">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技术秘密保护：乙方应对甲方提供的技术秘密承担保密义务，保密期限至该技术秘密依法向社会公开之日止。</w:t>
      </w:r>
    </w:p>
    <w:p w14:paraId="0B0AE9F8">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后续改进成果归属：乙方在本技术基础上完成的后续改进成果，归属</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甲方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 xml:space="preserve">乙方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双方共有（</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按份共有，具体比例</w:t>
      </w:r>
      <w:r>
        <w:rPr>
          <w:rFonts w:hint="eastAsia" w:ascii="仿宋_GB2312" w:hAnsi="仿宋_GB2312" w:eastAsia="仿宋_GB2312" w:cs="仿宋_GB2312"/>
          <w:color w:val="000000" w:themeColor="text1"/>
          <w:sz w:val="32"/>
          <w:szCs w:val="32"/>
          <w14:textFill>
            <w14:solidFill>
              <w14:schemeClr w14:val="tx1"/>
            </w14:solidFill>
          </w14:textFill>
        </w:rPr>
        <w:t xml:space="preserve">[  ] </w:t>
      </w: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共同共有）。</w:t>
      </w:r>
    </w:p>
    <w:p w14:paraId="04E747FD">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 第三方侵权处理：任何一方发现第三方侵权，应及时通知对方。甲方有权提起诉讼，乙方应予以配合；必要时乙方可单独维权，费用由</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双方协商/侵权方承担</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6444098E">
      <w:pPr>
        <w:pStyle w:val="5"/>
        <w:pageBreakBefore w:val="0"/>
        <w:kinsoku/>
        <w:wordWrap/>
        <w:overflowPunct/>
        <w:topLinePunct w:val="0"/>
        <w:autoSpaceDE/>
        <w:autoSpaceDN/>
        <w:bidi w:val="0"/>
        <w:adjustRightInd w:val="0"/>
        <w:snapToGrid w:val="0"/>
        <w:spacing w:before="0" w:beforeLines="0" w:after="0" w:afterLines="0" w:line="560" w:lineRule="exact"/>
        <w:ind w:right="0" w:rightChars="0" w:firstLine="632"/>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第六条  违约责任</w:t>
      </w:r>
    </w:p>
    <w:p w14:paraId="3DC472AB">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乙方未按约定支付费用的，每逾期一日应按未付金额的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0.05</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%支付违约金。</w:t>
      </w:r>
    </w:p>
    <w:p w14:paraId="363CC76C">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乙方超出许可范围使用技术的，甲方有权解除合同并要求赔偿损失。</w:t>
      </w:r>
    </w:p>
    <w:p w14:paraId="4DA9435F">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 甲方、乙方中的一方违反保密义务造成对方损失的，应承担相应法律责任并赔偿损失。</w:t>
      </w:r>
    </w:p>
    <w:p w14:paraId="3BEE7C56">
      <w:pPr>
        <w:pStyle w:val="5"/>
        <w:pageBreakBefore w:val="0"/>
        <w:kinsoku/>
        <w:wordWrap/>
        <w:overflowPunct/>
        <w:topLinePunct w:val="0"/>
        <w:autoSpaceDE/>
        <w:autoSpaceDN/>
        <w:bidi w:val="0"/>
        <w:adjustRightInd w:val="0"/>
        <w:snapToGrid w:val="0"/>
        <w:spacing w:before="0" w:beforeLines="0" w:after="0" w:afterLines="0" w:line="560" w:lineRule="exact"/>
        <w:ind w:right="0" w:rightChars="0" w:firstLine="632"/>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第七条 合同变更与终止</w:t>
      </w:r>
    </w:p>
    <w:p w14:paraId="549025C9">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双方协商一致可书面变更合同。</w:t>
      </w:r>
    </w:p>
    <w:p w14:paraId="7A900401">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出现下列情形之一，合同可终止：（1）一方严重违约，经催告后仍未改正；（2）因不可抗力导致合同无法继续履行；（3）法律法规规定的其他情形。</w:t>
      </w:r>
    </w:p>
    <w:p w14:paraId="24D1F89E">
      <w:pPr>
        <w:pStyle w:val="5"/>
        <w:pageBreakBefore w:val="0"/>
        <w:kinsoku/>
        <w:wordWrap/>
        <w:overflowPunct/>
        <w:topLinePunct w:val="0"/>
        <w:autoSpaceDE/>
        <w:autoSpaceDN/>
        <w:bidi w:val="0"/>
        <w:adjustRightInd w:val="0"/>
        <w:snapToGrid w:val="0"/>
        <w:spacing w:before="0" w:beforeLines="0" w:after="0" w:afterLines="0" w:line="560" w:lineRule="exact"/>
        <w:ind w:right="0" w:rightChars="0" w:firstLine="632"/>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第八条 争议解决</w:t>
      </w:r>
    </w:p>
    <w:p w14:paraId="66749BB1">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因本合同引起的争议，双方应友好协商；协商不成的，任何一方可以采取</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default" w:ascii="Times New Roman" w:hAnsi="Times New Roman" w:eastAsia="仿宋_GB2312" w:cs="Times New Roman"/>
          <w:color w:val="000000" w:themeColor="text1"/>
          <w:sz w:val="32"/>
          <w:szCs w:val="32"/>
          <w14:textFill>
            <w14:solidFill>
              <w14:schemeClr w14:val="tx1"/>
            </w14:solidFill>
          </w14:textFill>
        </w:rPr>
        <w:t>方式：</w:t>
      </w:r>
    </w:p>
    <w:p w14:paraId="20282EA6">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（1）向长沙仲裁委员会提起仲裁；</w:t>
      </w:r>
    </w:p>
    <w:p w14:paraId="7CC651F8">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（2）向</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default" w:ascii="Times New Roman" w:hAnsi="Times New Roman" w:eastAsia="仿宋_GB2312" w:cs="Times New Roman"/>
          <w:color w:val="000000" w:themeColor="text1"/>
          <w:sz w:val="32"/>
          <w:szCs w:val="32"/>
          <w14:textFill>
            <w14:solidFill>
              <w14:schemeClr w14:val="tx1"/>
            </w14:solidFill>
          </w14:textFill>
        </w:rPr>
        <w:t>法院提起诉讼。</w:t>
      </w:r>
    </w:p>
    <w:p w14:paraId="4BC72E3F">
      <w:pPr>
        <w:pStyle w:val="5"/>
        <w:pageBreakBefore w:val="0"/>
        <w:kinsoku/>
        <w:wordWrap/>
        <w:overflowPunct/>
        <w:topLinePunct w:val="0"/>
        <w:autoSpaceDE/>
        <w:autoSpaceDN/>
        <w:bidi w:val="0"/>
        <w:adjustRightInd w:val="0"/>
        <w:snapToGrid w:val="0"/>
        <w:spacing w:before="0" w:beforeLines="0" w:after="0" w:afterLines="0" w:line="560" w:lineRule="exact"/>
        <w:ind w:right="0" w:rightChars="0" w:firstLine="632"/>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第九条 其他</w:t>
      </w:r>
    </w:p>
    <w:p w14:paraId="40C5F92B">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本合同一式肆份，双方各执贰份，具有同等法律效力。</w:t>
      </w:r>
    </w:p>
    <w:p w14:paraId="2B2E9C69">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本合同自双方签字盖章之日起生效。</w:t>
      </w:r>
    </w:p>
    <w:p w14:paraId="62B09F47">
      <w:pPr>
        <w:pStyle w:val="4"/>
        <w:pageBreakBefore w:val="0"/>
        <w:kinsoku/>
        <w:wordWrap/>
        <w:overflowPunct/>
        <w:topLinePunct w:val="0"/>
        <w:autoSpaceDE/>
        <w:autoSpaceDN/>
        <w:bidi w:val="0"/>
        <w:adjustRightInd w:val="0"/>
        <w:snapToGrid w:val="0"/>
        <w:spacing w:beforeLines="0" w:after="0" w:afterLines="0" w:line="560" w:lineRule="exact"/>
        <w:ind w:right="0" w:rightChars="0" w:firstLine="632"/>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 附件为本合同组成部分，与本合同具有同等效力。</w:t>
      </w:r>
    </w:p>
    <w:p w14:paraId="4B4A44A2">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p>
    <w:p w14:paraId="436AE415">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甲方（盖章）：  </w:t>
      </w:r>
    </w:p>
    <w:p w14:paraId="14A2C7A3">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法定代表人/授权代表签字：  </w:t>
      </w:r>
    </w:p>
    <w:p w14:paraId="186C57A5">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日期：  年  月  日</w:t>
      </w:r>
    </w:p>
    <w:p w14:paraId="7908A942">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乙方（盖章）：</w:t>
      </w:r>
    </w:p>
    <w:p w14:paraId="0B76E9DE">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法定代表人/授权代表签字：  </w:t>
      </w:r>
    </w:p>
    <w:p w14:paraId="14A2B1A1">
      <w:pPr>
        <w:pStyle w:val="4"/>
        <w:pageBreakBefore w:val="0"/>
        <w:kinsoku/>
        <w:wordWrap/>
        <w:overflowPunct/>
        <w:topLinePunct w:val="0"/>
        <w:autoSpaceDE/>
        <w:autoSpaceDN/>
        <w:bidi w:val="0"/>
        <w:adjustRightInd w:val="0"/>
        <w:snapToGrid w:val="0"/>
        <w:spacing w:after="0" w:line="560" w:lineRule="exact"/>
        <w:ind w:right="0" w:rightChars="0" w:firstLine="632"/>
        <w:jc w:val="left"/>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7" w:type="default"/>
          <w:pgSz w:w="11906" w:h="16838"/>
          <w:pgMar w:top="1701" w:right="1587" w:bottom="1417" w:left="1644" w:header="992" w:footer="1276" w:gutter="0"/>
          <w:pgBorders>
            <w:top w:val="none" w:sz="0" w:space="0"/>
            <w:left w:val="none" w:sz="0" w:space="0"/>
            <w:bottom w:val="none" w:sz="0" w:space="0"/>
            <w:right w:val="none" w:sz="0" w:space="0"/>
          </w:pgBorders>
          <w:pgNumType w:fmt="decimal" w:start="3"/>
          <w:cols w:space="0" w:num="1"/>
          <w:rtlGutter w:val="0"/>
          <w:docGrid w:type="linesAndChars" w:linePitch="579" w:charSpace="-849"/>
        </w:sectPr>
      </w:pPr>
      <w:r>
        <w:rPr>
          <w:rFonts w:hint="default" w:ascii="Times New Roman" w:hAnsi="Times New Roman" w:eastAsia="仿宋_GB2312" w:cs="Times New Roman"/>
          <w:color w:val="000000" w:themeColor="text1"/>
          <w:sz w:val="32"/>
          <w:szCs w:val="32"/>
          <w14:textFill>
            <w14:solidFill>
              <w14:schemeClr w14:val="tx1"/>
            </w14:solidFill>
          </w14:textFill>
        </w:rPr>
        <w:t>日期：  年  月  日</w:t>
      </w:r>
    </w:p>
    <w:p w14:paraId="140A7723">
      <w:pPr>
        <w:spacing w:line="540" w:lineRule="exact"/>
        <w:jc w:val="both"/>
        <w:rPr>
          <w:rFonts w:hint="default" w:ascii="Times New Roman" w:hAnsi="Times New Roman" w:eastAsia="仿宋_GB2312" w:cs="Times New Roman"/>
          <w:sz w:val="28"/>
          <w:szCs w:val="28"/>
        </w:rPr>
      </w:pPr>
    </w:p>
    <w:p w14:paraId="2C62CD63">
      <w:pPr>
        <w:pStyle w:val="2"/>
        <w:rPr>
          <w:rFonts w:hint="default"/>
        </w:rPr>
      </w:pPr>
    </w:p>
    <w:p w14:paraId="79C31A47">
      <w:pPr>
        <w:pStyle w:val="2"/>
        <w:rPr>
          <w:rFonts w:hint="default"/>
        </w:rPr>
      </w:pPr>
    </w:p>
    <w:p w14:paraId="3CA6CE89">
      <w:pPr>
        <w:pStyle w:val="2"/>
        <w:rPr>
          <w:rFonts w:hint="default"/>
        </w:rPr>
      </w:pPr>
    </w:p>
    <w:p w14:paraId="1281D5CE">
      <w:pPr>
        <w:pStyle w:val="2"/>
        <w:rPr>
          <w:rFonts w:hint="default"/>
        </w:rPr>
      </w:pPr>
    </w:p>
    <w:p w14:paraId="09954132">
      <w:pPr>
        <w:pStyle w:val="2"/>
        <w:rPr>
          <w:rFonts w:hint="default"/>
        </w:rPr>
      </w:pPr>
    </w:p>
    <w:p w14:paraId="582FD228">
      <w:pPr>
        <w:pStyle w:val="2"/>
        <w:rPr>
          <w:rFonts w:hint="default"/>
        </w:rPr>
      </w:pPr>
    </w:p>
    <w:tbl>
      <w:tblPr>
        <w:tblStyle w:val="25"/>
        <w:tblpPr w:leftFromText="180" w:rightFromText="180" w:vertAnchor="text" w:horzAnchor="page" w:tblpX="1812" w:tblpY="8836"/>
        <w:tblOverlap w:val="never"/>
        <w:tblW w:w="8796"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96"/>
      </w:tblGrid>
      <w:tr w14:paraId="7C222CD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exact"/>
        </w:trPr>
        <w:tc>
          <w:tcPr>
            <w:tcW w:w="8796" w:type="dxa"/>
            <w:vAlign w:val="top"/>
          </w:tcPr>
          <w:p w14:paraId="1B68F80F">
            <w:pPr>
              <w:spacing w:line="460" w:lineRule="exact"/>
              <w:ind w:left="-142" w:firstLine="280" w:firstLineChars="100"/>
              <w:rPr>
                <w:rFonts w:ascii="Times New Roman" w:hAnsi="Times New Roman"/>
              </w:rPr>
            </w:pPr>
            <w:r>
              <w:rPr>
                <w:rFonts w:ascii="Times New Roman" w:hAnsi="Times New Roman" w:eastAsia="方正仿宋_GBK"/>
                <w:sz w:val="28"/>
                <w:szCs w:val="28"/>
              </w:rPr>
              <w:t>湖南省科学技术厅办公室</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w:t>
            </w:r>
            <w:r>
              <w:rPr>
                <w:rFonts w:hint="eastAsia" w:ascii="Times New Roman" w:hAnsi="Times New Roman"/>
                <w:sz w:val="28"/>
                <w:szCs w:val="28"/>
                <w:lang w:val="en-US" w:eastAsia="zh-CN"/>
              </w:rPr>
              <w:t xml:space="preserve">  </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cs="Times New Roman"/>
                <w:sz w:val="28"/>
                <w:szCs w:val="28"/>
                <w:lang w:val="en-US" w:eastAsia="zh-CN"/>
              </w:rPr>
              <w:t>12</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29</w:t>
            </w:r>
            <w:r>
              <w:rPr>
                <w:rFonts w:hint="default" w:ascii="Times New Roman" w:hAnsi="Times New Roman" w:eastAsia="仿宋_GB2312" w:cs="Times New Roman"/>
                <w:sz w:val="28"/>
                <w:szCs w:val="28"/>
              </w:rPr>
              <w:t>日印</w:t>
            </w:r>
            <w:r>
              <w:rPr>
                <w:rFonts w:hint="eastAsia" w:ascii="Times New Roman" w:hAnsi="Times New Roman" w:eastAsia="仿宋_GB2312" w:cs="Times New Roman"/>
                <w:sz w:val="28"/>
                <w:szCs w:val="28"/>
                <w:lang w:eastAsia="zh-CN"/>
              </w:rPr>
              <w:t>发</w:t>
            </w:r>
          </w:p>
        </w:tc>
      </w:tr>
    </w:tbl>
    <w:p w14:paraId="22DEBBF8">
      <w:pPr>
        <w:pStyle w:val="2"/>
        <w:rPr>
          <w:rFonts w:hint="default"/>
        </w:rPr>
      </w:pPr>
    </w:p>
    <w:sectPr>
      <w:footerReference r:id="rId8" w:type="default"/>
      <w:pgSz w:w="12240" w:h="15840"/>
      <w:pgMar w:top="1440" w:right="1800" w:bottom="1440" w:left="1800" w:header="720" w:footer="72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长城长宋体">
    <w:altName w:val="宋体"/>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82A91">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494D7">
                          <w:pPr>
                            <w:snapToGrid w:val="0"/>
                            <w:rPr>
                              <w:rFonts w:hint="default" w:ascii="Times New Roman" w:hAnsi="Times New Roman" w:eastAsia="宋体" w:cs="Times New Roman"/>
                              <w:sz w:val="28"/>
                              <w:szCs w:val="2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eastAsia" w:ascii="Times New Roman" w:hAnsi="Times New Roman" w:eastAsia="宋体"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2494D7">
                    <w:pPr>
                      <w:snapToGrid w:val="0"/>
                      <w:rPr>
                        <w:rFonts w:hint="default" w:ascii="Times New Roman" w:hAnsi="Times New Roman" w:eastAsia="宋体" w:cs="Times New Roman"/>
                        <w:sz w:val="28"/>
                        <w:szCs w:val="2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eastAsia" w:ascii="Times New Roman" w:hAnsi="Times New Roman" w:eastAsia="宋体"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1BC8A">
    <w:pPr>
      <w:pStyle w:val="18"/>
      <w:ind w:left="440" w:leftChars="200"/>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CA85A">
                          <w:pPr>
                            <w:rPr>
                              <w:rFonts w:eastAsia="宋体" w:cs="Times New Roman"/>
                              <w:sz w:val="28"/>
                              <w:szCs w:val="28"/>
                            </w:rPr>
                          </w:pPr>
                          <w:r>
                            <w:rPr>
                              <w:rFonts w:hint="eastAsia" w:eastAsia="宋体" w:cs="Times New Roman"/>
                              <w:sz w:val="28"/>
                              <w:szCs w:val="28"/>
                            </w:rPr>
                            <w:fldChar w:fldCharType="begin"/>
                          </w:r>
                          <w:r>
                            <w:rPr>
                              <w:rFonts w:hint="eastAsia" w:eastAsia="宋体" w:cs="Times New Roman"/>
                              <w:sz w:val="28"/>
                              <w:szCs w:val="28"/>
                            </w:rPr>
                            <w:instrText xml:space="preserve"> PAGE  \* MERGEFORMAT </w:instrText>
                          </w:r>
                          <w:r>
                            <w:rPr>
                              <w:rFonts w:hint="eastAsia" w:eastAsia="宋体" w:cs="Times New Roman"/>
                              <w:sz w:val="28"/>
                              <w:szCs w:val="28"/>
                            </w:rPr>
                            <w:fldChar w:fldCharType="separate"/>
                          </w:r>
                          <w:r>
                            <w:rPr>
                              <w:rFonts w:hint="eastAsia" w:eastAsia="宋体" w:cs="Times New Roman"/>
                              <w:sz w:val="28"/>
                              <w:szCs w:val="28"/>
                            </w:rPr>
                            <w:t>2</w:t>
                          </w:r>
                          <w:r>
                            <w:rPr>
                              <w:rFonts w:hint="eastAsia" w:eastAsia="宋体"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D6CA85A">
                    <w:pPr>
                      <w:rPr>
                        <w:rFonts w:eastAsia="宋体" w:cs="Times New Roman"/>
                        <w:sz w:val="28"/>
                        <w:szCs w:val="28"/>
                      </w:rPr>
                    </w:pPr>
                    <w:r>
                      <w:rPr>
                        <w:rFonts w:hint="eastAsia" w:eastAsia="宋体" w:cs="Times New Roman"/>
                        <w:sz w:val="28"/>
                        <w:szCs w:val="28"/>
                      </w:rPr>
                      <w:fldChar w:fldCharType="begin"/>
                    </w:r>
                    <w:r>
                      <w:rPr>
                        <w:rFonts w:hint="eastAsia" w:eastAsia="宋体" w:cs="Times New Roman"/>
                        <w:sz w:val="28"/>
                        <w:szCs w:val="28"/>
                      </w:rPr>
                      <w:instrText xml:space="preserve"> PAGE  \* MERGEFORMAT </w:instrText>
                    </w:r>
                    <w:r>
                      <w:rPr>
                        <w:rFonts w:hint="eastAsia" w:eastAsia="宋体" w:cs="Times New Roman"/>
                        <w:sz w:val="28"/>
                        <w:szCs w:val="28"/>
                      </w:rPr>
                      <w:fldChar w:fldCharType="separate"/>
                    </w:r>
                    <w:r>
                      <w:rPr>
                        <w:rFonts w:hint="eastAsia" w:eastAsia="宋体" w:cs="Times New Roman"/>
                        <w:sz w:val="28"/>
                        <w:szCs w:val="28"/>
                      </w:rPr>
                      <w:t>2</w:t>
                    </w:r>
                    <w:r>
                      <w:rPr>
                        <w:rFonts w:hint="eastAsia" w:eastAsia="宋体"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A6EA4">
    <w:pPr>
      <w:pStyle w:val="1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606B2">
                          <w:pPr>
                            <w:snapToGrid w:val="0"/>
                            <w:rPr>
                              <w:sz w:val="28"/>
                              <w:szCs w:val="28"/>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D606B2">
                    <w:pPr>
                      <w:snapToGrid w:val="0"/>
                      <w:rPr>
                        <w:sz w:val="28"/>
                        <w:szCs w:val="28"/>
                      </w:rPr>
                    </w:pPr>
                    <w:r>
                      <w:rPr>
                        <w:rFonts w:hint="eastAsia" w:ascii="宋体" w:hAnsi="宋体" w:eastAsia="宋体" w:cs="宋体"/>
                        <w:sz w:val="28"/>
                        <w:szCs w:val="28"/>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eastAsia="宋体"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21BE6">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27"/>
    <w:rsid w:val="0004239E"/>
    <w:rsid w:val="0005496F"/>
    <w:rsid w:val="00124AAE"/>
    <w:rsid w:val="00185EB7"/>
    <w:rsid w:val="00331409"/>
    <w:rsid w:val="0033307E"/>
    <w:rsid w:val="003A4742"/>
    <w:rsid w:val="004C1A22"/>
    <w:rsid w:val="00643C9B"/>
    <w:rsid w:val="00686476"/>
    <w:rsid w:val="0078712F"/>
    <w:rsid w:val="007D436E"/>
    <w:rsid w:val="008217FC"/>
    <w:rsid w:val="008C74BB"/>
    <w:rsid w:val="008D3334"/>
    <w:rsid w:val="009777EF"/>
    <w:rsid w:val="009C0A7E"/>
    <w:rsid w:val="00A53597"/>
    <w:rsid w:val="00B2603F"/>
    <w:rsid w:val="00B3618B"/>
    <w:rsid w:val="00B706B6"/>
    <w:rsid w:val="00BA0227"/>
    <w:rsid w:val="00C02D59"/>
    <w:rsid w:val="00C079EB"/>
    <w:rsid w:val="00CE3A3E"/>
    <w:rsid w:val="00D050C4"/>
    <w:rsid w:val="00D5699D"/>
    <w:rsid w:val="00D72F17"/>
    <w:rsid w:val="00EC2272"/>
    <w:rsid w:val="00ED179C"/>
    <w:rsid w:val="01591783"/>
    <w:rsid w:val="13BE300D"/>
    <w:rsid w:val="179E0445"/>
    <w:rsid w:val="17B84254"/>
    <w:rsid w:val="1B8E3582"/>
    <w:rsid w:val="1C972898"/>
    <w:rsid w:val="1DD12171"/>
    <w:rsid w:val="1F50225D"/>
    <w:rsid w:val="23AE4875"/>
    <w:rsid w:val="24450F49"/>
    <w:rsid w:val="24C04D1E"/>
    <w:rsid w:val="26495F45"/>
    <w:rsid w:val="29764965"/>
    <w:rsid w:val="2AE7D6C5"/>
    <w:rsid w:val="2AEB7377"/>
    <w:rsid w:val="2D146B0C"/>
    <w:rsid w:val="2FEF2298"/>
    <w:rsid w:val="32C94466"/>
    <w:rsid w:val="33195423"/>
    <w:rsid w:val="33B00BF8"/>
    <w:rsid w:val="36817086"/>
    <w:rsid w:val="39F98DE0"/>
    <w:rsid w:val="3E02208E"/>
    <w:rsid w:val="412202D7"/>
    <w:rsid w:val="44124B8E"/>
    <w:rsid w:val="46461173"/>
    <w:rsid w:val="474C792B"/>
    <w:rsid w:val="47972B09"/>
    <w:rsid w:val="4F7FA8FD"/>
    <w:rsid w:val="50B45353"/>
    <w:rsid w:val="5127271C"/>
    <w:rsid w:val="576B4AAC"/>
    <w:rsid w:val="5A8778E8"/>
    <w:rsid w:val="5C606943"/>
    <w:rsid w:val="6022686A"/>
    <w:rsid w:val="681A5EE8"/>
    <w:rsid w:val="68B36DDA"/>
    <w:rsid w:val="6BFC0058"/>
    <w:rsid w:val="6FFF67B3"/>
    <w:rsid w:val="71CD0B60"/>
    <w:rsid w:val="74E63DEB"/>
    <w:rsid w:val="75121489"/>
    <w:rsid w:val="777DEDE7"/>
    <w:rsid w:val="79D84DF0"/>
    <w:rsid w:val="79E83C71"/>
    <w:rsid w:val="7CDF3DEA"/>
    <w:rsid w:val="7CED9EC7"/>
    <w:rsid w:val="7D4B52BA"/>
    <w:rsid w:val="7E3F0237"/>
    <w:rsid w:val="7EBCEE93"/>
    <w:rsid w:val="7EF2DF50"/>
    <w:rsid w:val="7EFAF63D"/>
    <w:rsid w:val="7F64677C"/>
    <w:rsid w:val="7FC3FD07"/>
    <w:rsid w:val="7FE61E7A"/>
    <w:rsid w:val="7FEE2830"/>
    <w:rsid w:val="A2F60C8C"/>
    <w:rsid w:val="ACE6D610"/>
    <w:rsid w:val="CBCE39CD"/>
    <w:rsid w:val="DF65E489"/>
    <w:rsid w:val="F367D996"/>
    <w:rsid w:val="F79D712D"/>
    <w:rsid w:val="F9BEF365"/>
    <w:rsid w:val="FADBB4FF"/>
    <w:rsid w:val="FB6A7459"/>
    <w:rsid w:val="FDE71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4"/>
    <w:link w:val="2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4"/>
    <w:link w:val="29"/>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30"/>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31"/>
    <w:unhideWhenUsed/>
    <w:qFormat/>
    <w:uiPriority w:val="9"/>
    <w:pPr>
      <w:keepNext/>
      <w:keepLines/>
      <w:spacing w:before="80" w:after="40"/>
      <w:outlineLvl w:val="3"/>
    </w:pPr>
    <w:rPr>
      <w:rFonts w:cstheme="majorBidi"/>
      <w:color w:val="2F5597" w:themeColor="accent1" w:themeShade="BF"/>
      <w:sz w:val="28"/>
      <w:szCs w:val="28"/>
    </w:rPr>
  </w:style>
  <w:style w:type="paragraph" w:styleId="8">
    <w:name w:val="heading 5"/>
    <w:basedOn w:val="1"/>
    <w:next w:val="1"/>
    <w:link w:val="32"/>
    <w:unhideWhenUsed/>
    <w:qFormat/>
    <w:uiPriority w:val="9"/>
    <w:pPr>
      <w:keepNext/>
      <w:keepLines/>
      <w:spacing w:before="80" w:after="40"/>
      <w:outlineLvl w:val="4"/>
    </w:pPr>
    <w:rPr>
      <w:rFonts w:cstheme="majorBidi"/>
      <w:color w:val="2F5597" w:themeColor="accent1" w:themeShade="BF"/>
      <w:sz w:val="24"/>
    </w:rPr>
  </w:style>
  <w:style w:type="paragraph" w:styleId="9">
    <w:name w:val="heading 6"/>
    <w:basedOn w:val="1"/>
    <w:next w:val="1"/>
    <w:link w:val="33"/>
    <w:unhideWhenUsed/>
    <w:qFormat/>
    <w:uiPriority w:val="9"/>
    <w:pPr>
      <w:keepNext/>
      <w:keepLines/>
      <w:spacing w:before="40" w:after="0"/>
      <w:outlineLvl w:val="5"/>
    </w:pPr>
    <w:rPr>
      <w:rFonts w:cstheme="majorBidi"/>
      <w:b/>
      <w:bCs/>
      <w:color w:val="2F5597" w:themeColor="accent1" w:themeShade="BF"/>
    </w:rPr>
  </w:style>
  <w:style w:type="paragraph" w:styleId="10">
    <w:name w:val="heading 7"/>
    <w:basedOn w:val="1"/>
    <w:next w:val="1"/>
    <w:link w:val="34"/>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5"/>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6"/>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2">
    <w:name w:val="EndnoteText"/>
    <w:basedOn w:val="1"/>
    <w:qFormat/>
    <w:uiPriority w:val="0"/>
    <w:pPr>
      <w:textAlignment w:val="baseline"/>
    </w:pPr>
    <w:rPr>
      <w:rFonts w:ascii="Times New Roman" w:hAnsi="Times New Roman" w:eastAsia="宋体" w:cs="Times New Roman"/>
    </w:rPr>
  </w:style>
  <w:style w:type="paragraph" w:customStyle="1" w:styleId="4">
    <w:name w:val="缩进"/>
    <w:basedOn w:val="1"/>
    <w:qFormat/>
    <w:uiPriority w:val="0"/>
    <w:pPr>
      <w:ind w:firstLine="200" w:firstLineChars="200"/>
    </w:pPr>
  </w:style>
  <w:style w:type="paragraph" w:styleId="13">
    <w:name w:val="Normal Indent"/>
    <w:basedOn w:val="1"/>
    <w:qFormat/>
    <w:uiPriority w:val="99"/>
    <w:pPr>
      <w:spacing w:line="600" w:lineRule="exact"/>
      <w:ind w:firstLine="200" w:firstLineChars="200"/>
    </w:pPr>
    <w:rPr>
      <w:rFonts w:eastAsia="仿宋_GB2312"/>
      <w:kern w:val="2"/>
      <w:sz w:val="32"/>
      <w:szCs w:val="24"/>
    </w:rPr>
  </w:style>
  <w:style w:type="paragraph" w:styleId="14">
    <w:name w:val="Body Text"/>
    <w:basedOn w:val="1"/>
    <w:next w:val="15"/>
    <w:unhideWhenUsed/>
    <w:qFormat/>
    <w:uiPriority w:val="99"/>
    <w:pPr>
      <w:jc w:val="left"/>
    </w:pPr>
    <w:rPr>
      <w:rFonts w:ascii="Calibri" w:hAnsi="Calibri" w:cs="Times New Roman"/>
      <w:bCs/>
      <w:kern w:val="2"/>
      <w:szCs w:val="24"/>
    </w:rPr>
  </w:style>
  <w:style w:type="paragraph" w:styleId="15">
    <w:name w:val="toc 5"/>
    <w:basedOn w:val="1"/>
    <w:next w:val="1"/>
    <w:unhideWhenUsed/>
    <w:qFormat/>
    <w:uiPriority w:val="39"/>
    <w:pPr>
      <w:ind w:left="1680" w:leftChars="800"/>
    </w:pPr>
  </w:style>
  <w:style w:type="paragraph" w:styleId="16">
    <w:name w:val="Body Text Indent"/>
    <w:basedOn w:val="1"/>
    <w:next w:val="13"/>
    <w:unhideWhenUsed/>
    <w:qFormat/>
    <w:uiPriority w:val="99"/>
    <w:pPr>
      <w:spacing w:after="120"/>
      <w:ind w:left="420" w:leftChars="200"/>
    </w:pPr>
  </w:style>
  <w:style w:type="paragraph" w:styleId="17">
    <w:name w:val="endnote text"/>
    <w:basedOn w:val="1"/>
    <w:next w:val="14"/>
    <w:unhideWhenUsed/>
    <w:qFormat/>
    <w:uiPriority w:val="99"/>
    <w:pPr>
      <w:snapToGrid w:val="0"/>
      <w:jc w:val="left"/>
    </w:pPr>
  </w:style>
  <w:style w:type="paragraph" w:styleId="18">
    <w:name w:val="footer"/>
    <w:basedOn w:val="1"/>
    <w:link w:val="47"/>
    <w:unhideWhenUsed/>
    <w:qFormat/>
    <w:uiPriority w:val="99"/>
    <w:pPr>
      <w:tabs>
        <w:tab w:val="center" w:pos="4153"/>
        <w:tab w:val="right" w:pos="8306"/>
      </w:tabs>
      <w:snapToGrid w:val="0"/>
      <w:spacing w:line="240" w:lineRule="auto"/>
    </w:pPr>
    <w:rPr>
      <w:sz w:val="18"/>
      <w:szCs w:val="18"/>
    </w:rPr>
  </w:style>
  <w:style w:type="paragraph" w:styleId="19">
    <w:name w:val="header"/>
    <w:basedOn w:val="1"/>
    <w:link w:val="46"/>
    <w:unhideWhenUsed/>
    <w:qFormat/>
    <w:uiPriority w:val="99"/>
    <w:pPr>
      <w:tabs>
        <w:tab w:val="center" w:pos="4153"/>
        <w:tab w:val="right" w:pos="8306"/>
      </w:tabs>
      <w:snapToGrid w:val="0"/>
      <w:spacing w:line="240" w:lineRule="auto"/>
      <w:jc w:val="center"/>
    </w:pPr>
    <w:rPr>
      <w:sz w:val="18"/>
      <w:szCs w:val="18"/>
    </w:rPr>
  </w:style>
  <w:style w:type="paragraph" w:styleId="20">
    <w:name w:val="Subtitle"/>
    <w:basedOn w:val="1"/>
    <w:next w:val="1"/>
    <w:link w:val="3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qFormat/>
    <w:uiPriority w:val="0"/>
    <w:pPr>
      <w:widowControl/>
      <w:spacing w:before="100" w:beforeAutospacing="1" w:after="100" w:afterAutospacing="1"/>
    </w:pPr>
    <w:rPr>
      <w:rFonts w:ascii="宋体" w:hAnsi="宋体" w:eastAsia="宋体" w:cs="宋体"/>
      <w:kern w:val="0"/>
      <w:sz w:val="24"/>
      <w14:ligatures w14:val="none"/>
    </w:rPr>
  </w:style>
  <w:style w:type="paragraph" w:styleId="23">
    <w:name w:val="Title"/>
    <w:basedOn w:val="1"/>
    <w:next w:val="1"/>
    <w:link w:val="3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4">
    <w:name w:val="Body Text First Indent 2"/>
    <w:basedOn w:val="16"/>
    <w:next w:val="1"/>
    <w:unhideWhenUsed/>
    <w:qFormat/>
    <w:uiPriority w:val="99"/>
    <w:pPr>
      <w:ind w:firstLine="420" w:firstLineChars="200"/>
    </w:p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标题 1 字符"/>
    <w:basedOn w:val="27"/>
    <w:link w:val="3"/>
    <w:qFormat/>
    <w:uiPriority w:val="9"/>
    <w:rPr>
      <w:rFonts w:asciiTheme="majorHAnsi" w:hAnsiTheme="majorHAnsi" w:eastAsiaTheme="majorEastAsia" w:cstheme="majorBidi"/>
      <w:color w:val="2F5597" w:themeColor="accent1" w:themeShade="BF"/>
      <w:sz w:val="48"/>
      <w:szCs w:val="48"/>
    </w:rPr>
  </w:style>
  <w:style w:type="character" w:customStyle="1" w:styleId="29">
    <w:name w:val="标题 2 字符"/>
    <w:basedOn w:val="27"/>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30">
    <w:name w:val="标题 3 字符"/>
    <w:basedOn w:val="27"/>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31">
    <w:name w:val="标题 4 字符"/>
    <w:basedOn w:val="27"/>
    <w:link w:val="7"/>
    <w:semiHidden/>
    <w:qFormat/>
    <w:uiPriority w:val="9"/>
    <w:rPr>
      <w:rFonts w:cstheme="majorBidi"/>
      <w:color w:val="2F5597" w:themeColor="accent1" w:themeShade="BF"/>
      <w:sz w:val="28"/>
      <w:szCs w:val="28"/>
    </w:rPr>
  </w:style>
  <w:style w:type="character" w:customStyle="1" w:styleId="32">
    <w:name w:val="标题 5 字符"/>
    <w:basedOn w:val="27"/>
    <w:link w:val="8"/>
    <w:semiHidden/>
    <w:qFormat/>
    <w:uiPriority w:val="9"/>
    <w:rPr>
      <w:rFonts w:cstheme="majorBidi"/>
      <w:color w:val="2F5597" w:themeColor="accent1" w:themeShade="BF"/>
      <w:sz w:val="24"/>
    </w:rPr>
  </w:style>
  <w:style w:type="character" w:customStyle="1" w:styleId="33">
    <w:name w:val="标题 6 字符"/>
    <w:basedOn w:val="27"/>
    <w:link w:val="9"/>
    <w:semiHidden/>
    <w:qFormat/>
    <w:uiPriority w:val="9"/>
    <w:rPr>
      <w:rFonts w:cstheme="majorBidi"/>
      <w:b/>
      <w:bCs/>
      <w:color w:val="2F5597" w:themeColor="accent1" w:themeShade="BF"/>
    </w:rPr>
  </w:style>
  <w:style w:type="character" w:customStyle="1" w:styleId="34">
    <w:name w:val="标题 7 字符"/>
    <w:basedOn w:val="27"/>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7"/>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7"/>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7"/>
    <w:link w:val="23"/>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7"/>
    <w:link w:val="20"/>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9">
    <w:name w:val="Quote"/>
    <w:basedOn w:val="1"/>
    <w:next w:val="1"/>
    <w:link w:val="4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7"/>
    <w:link w:val="39"/>
    <w:qFormat/>
    <w:uiPriority w:val="29"/>
    <w:rPr>
      <w:i/>
      <w:iCs/>
      <w:color w:val="404040" w:themeColor="text1" w:themeTint="BF"/>
      <w14:textFill>
        <w14:solidFill>
          <w14:schemeClr w14:val="tx1">
            <w14:lumMod w14:val="75000"/>
            <w14:lumOff w14:val="25000"/>
          </w14:schemeClr>
        </w14:solidFill>
      </w14:textFill>
    </w:rPr>
  </w:style>
  <w:style w:type="paragraph" w:customStyle="1" w:styleId="41">
    <w:name w:val="List Paragraph"/>
    <w:basedOn w:val="1"/>
    <w:qFormat/>
    <w:uiPriority w:val="34"/>
    <w:pPr>
      <w:ind w:left="720"/>
      <w:contextualSpacing/>
    </w:pPr>
  </w:style>
  <w:style w:type="character" w:customStyle="1" w:styleId="42">
    <w:name w:val="Intense Emphasis"/>
    <w:basedOn w:val="27"/>
    <w:qFormat/>
    <w:uiPriority w:val="21"/>
    <w:rPr>
      <w:i/>
      <w:iCs/>
      <w:color w:val="2F5597" w:themeColor="accent1" w:themeShade="BF"/>
    </w:rPr>
  </w:style>
  <w:style w:type="paragraph" w:customStyle="1" w:styleId="43">
    <w:name w:val="Intense Quote"/>
    <w:basedOn w:val="1"/>
    <w:next w:val="1"/>
    <w:link w:val="4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4">
    <w:name w:val="明显引用 字符"/>
    <w:basedOn w:val="27"/>
    <w:link w:val="43"/>
    <w:qFormat/>
    <w:uiPriority w:val="30"/>
    <w:rPr>
      <w:i/>
      <w:iCs/>
      <w:color w:val="2F5597" w:themeColor="accent1" w:themeShade="BF"/>
    </w:rPr>
  </w:style>
  <w:style w:type="character" w:customStyle="1" w:styleId="45">
    <w:name w:val="Intense Reference"/>
    <w:basedOn w:val="27"/>
    <w:qFormat/>
    <w:uiPriority w:val="32"/>
    <w:rPr>
      <w:b/>
      <w:bCs/>
      <w:smallCaps/>
      <w:color w:val="2F5597" w:themeColor="accent1" w:themeShade="BF"/>
      <w:spacing w:val="5"/>
    </w:rPr>
  </w:style>
  <w:style w:type="character" w:customStyle="1" w:styleId="46">
    <w:name w:val="页眉 字符"/>
    <w:basedOn w:val="27"/>
    <w:link w:val="19"/>
    <w:qFormat/>
    <w:uiPriority w:val="99"/>
    <w:rPr>
      <w:sz w:val="18"/>
      <w:szCs w:val="18"/>
    </w:rPr>
  </w:style>
  <w:style w:type="character" w:customStyle="1" w:styleId="47">
    <w:name w:val="页脚 字符"/>
    <w:basedOn w:val="27"/>
    <w:link w:val="18"/>
    <w:qFormat/>
    <w:uiPriority w:val="99"/>
    <w:rPr>
      <w:sz w:val="18"/>
      <w:szCs w:val="18"/>
    </w:rPr>
  </w:style>
  <w:style w:type="paragraph" w:customStyle="1" w:styleId="48">
    <w:name w:val="署名"/>
    <w:basedOn w:val="1"/>
    <w:next w:val="4"/>
    <w:qFormat/>
    <w:uiPriority w:val="0"/>
    <w:pPr>
      <w:spacing w:line="520" w:lineRule="exact"/>
      <w:jc w:val="center"/>
    </w:pPr>
    <w:rPr>
      <w:rFonts w:eastAsia="楷体_GB2312"/>
    </w:rPr>
  </w:style>
  <w:style w:type="paragraph" w:customStyle="1" w:styleId="49">
    <w:name w:val="表格"/>
    <w:basedOn w:val="1"/>
    <w:qFormat/>
    <w:uiPriority w:val="0"/>
    <w:pPr>
      <w:widowControl/>
      <w:spacing w:line="480" w:lineRule="exact"/>
      <w:jc w:val="center"/>
      <w:textAlignment w:val="center"/>
    </w:pPr>
    <w:rPr>
      <w:rFonts w:cs="Times New Roman"/>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4210</Words>
  <Characters>4269</Characters>
  <Lines>33</Lines>
  <Paragraphs>29</Paragraphs>
  <TotalTime>5</TotalTime>
  <ScaleCrop>false</ScaleCrop>
  <LinksUpToDate>false</LinksUpToDate>
  <CharactersWithSpaces>4448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2025-12-17T07:32:00Z</dcterms:created>
  <dc:creator>玉娴 李</dc:creator>
  <cp:lastModifiedBy>Administrator</cp:lastModifiedBy>
  <cp:lastPrinted>2025-12-25T10:30:00Z</cp:lastPrinted>
  <dcterms:modified xsi:type="dcterms:W3CDTF">2026-01-23T01:11:31Z</dcterms:modified>
  <dc:title>办文说明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A563169A41634FB2B91363486705238C_13</vt:lpwstr>
  </property>
</Properties>
</file>