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heme="majorEastAsia" w:hAnsiTheme="majorEastAsia" w:eastAsiaTheme="majorEastAsia" w:cstheme="majorEastAsia"/>
          <w:sz w:val="44"/>
          <w:szCs w:val="44"/>
          <w:lang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heme="majorEastAsia" w:hAnsiTheme="majorEastAsia" w:eastAsiaTheme="majorEastAsia" w:cstheme="majorEastAsia"/>
          <w:sz w:val="44"/>
          <w:szCs w:val="44"/>
          <w:lang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heme="majorEastAsia" w:hAnsiTheme="majorEastAsia" w:eastAsiaTheme="majorEastAsia" w:cstheme="majorEastAsia"/>
          <w:sz w:val="44"/>
          <w:szCs w:val="44"/>
          <w:lang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heme="majorEastAsia" w:hAnsiTheme="majorEastAsia" w:eastAsiaTheme="majorEastAsia" w:cstheme="majorEastAsia"/>
          <w:sz w:val="44"/>
          <w:szCs w:val="44"/>
          <w:lang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heme="majorEastAsia" w:hAnsiTheme="majorEastAsia" w:eastAsiaTheme="majorEastAsia" w:cstheme="majorEastAsia"/>
          <w:sz w:val="44"/>
          <w:szCs w:val="44"/>
        </w:rPr>
      </w:pPr>
      <w:r>
        <w:rPr>
          <w:rFonts w:hint="eastAsia" w:asciiTheme="majorEastAsia" w:hAnsiTheme="majorEastAsia" w:eastAsiaTheme="majorEastAsia" w:cstheme="majorEastAsia"/>
          <w:sz w:val="44"/>
          <w:szCs w:val="44"/>
        </w:rPr>
        <w:t>202</w:t>
      </w:r>
      <w:r>
        <w:rPr>
          <w:rFonts w:hint="default" w:asciiTheme="majorEastAsia" w:hAnsiTheme="majorEastAsia" w:eastAsiaTheme="majorEastAsia" w:cstheme="majorEastAsia"/>
          <w:sz w:val="44"/>
          <w:szCs w:val="44"/>
          <w:lang w:val="en-US" w:eastAsia="zh-CN"/>
        </w:rPr>
        <w:t>5</w:t>
      </w:r>
      <w:r>
        <w:rPr>
          <w:rFonts w:hint="eastAsia" w:asciiTheme="majorEastAsia" w:hAnsiTheme="majorEastAsia" w:eastAsiaTheme="majorEastAsia" w:cstheme="majorEastAsia"/>
          <w:sz w:val="44"/>
          <w:szCs w:val="44"/>
        </w:rPr>
        <w:t>年度</w:t>
      </w:r>
      <w:r>
        <w:rPr>
          <w:rFonts w:hint="eastAsia" w:asciiTheme="majorEastAsia" w:hAnsiTheme="majorEastAsia" w:eastAsiaTheme="majorEastAsia" w:cstheme="majorEastAsia"/>
          <w:sz w:val="44"/>
          <w:szCs w:val="44"/>
          <w:lang w:eastAsia="zh-CN"/>
        </w:rPr>
        <w:t>怀化市交通建设质量安全监督站</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heme="majorEastAsia" w:hAnsiTheme="majorEastAsia" w:eastAsiaTheme="majorEastAsia" w:cstheme="majorEastAsia"/>
          <w:sz w:val="44"/>
          <w:szCs w:val="44"/>
        </w:rPr>
      </w:pPr>
      <w:r>
        <w:rPr>
          <w:rFonts w:hint="eastAsia" w:asciiTheme="majorEastAsia" w:hAnsiTheme="majorEastAsia" w:eastAsiaTheme="majorEastAsia" w:cstheme="majorEastAsia"/>
          <w:sz w:val="44"/>
          <w:szCs w:val="44"/>
        </w:rPr>
        <w:t>整体支出绩效</w:t>
      </w:r>
      <w:r>
        <w:rPr>
          <w:rFonts w:hint="eastAsia" w:asciiTheme="majorEastAsia" w:hAnsiTheme="majorEastAsia" w:eastAsiaTheme="majorEastAsia" w:cstheme="majorEastAsia"/>
          <w:sz w:val="44"/>
          <w:szCs w:val="44"/>
          <w:lang w:eastAsia="zh-CN"/>
        </w:rPr>
        <w:t>自</w:t>
      </w:r>
      <w:r>
        <w:rPr>
          <w:rFonts w:hint="eastAsia" w:asciiTheme="majorEastAsia" w:hAnsiTheme="majorEastAsia" w:eastAsiaTheme="majorEastAsia" w:cstheme="majorEastAsia"/>
          <w:sz w:val="44"/>
          <w:szCs w:val="44"/>
        </w:rPr>
        <w:t>评报告</w:t>
      </w:r>
      <w:bookmarkStart w:id="0" w:name="_GoBack"/>
      <w:bookmarkEnd w:id="0"/>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heme="majorEastAsia" w:hAnsiTheme="majorEastAsia" w:eastAsiaTheme="majorEastAsia" w:cstheme="majorEastAsia"/>
          <w:sz w:val="44"/>
          <w:szCs w:val="44"/>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heme="majorEastAsia" w:hAnsiTheme="majorEastAsia" w:eastAsiaTheme="majorEastAsia" w:cstheme="majorEastAsia"/>
          <w:sz w:val="44"/>
          <w:szCs w:val="44"/>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heme="majorEastAsia" w:hAnsiTheme="majorEastAsia" w:eastAsiaTheme="majorEastAsia" w:cstheme="majorEastAsia"/>
          <w:sz w:val="44"/>
          <w:szCs w:val="44"/>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heme="majorEastAsia" w:hAnsiTheme="majorEastAsia" w:eastAsiaTheme="majorEastAsia" w:cstheme="majorEastAsia"/>
          <w:sz w:val="44"/>
          <w:szCs w:val="44"/>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heme="majorEastAsia" w:hAnsiTheme="majorEastAsia" w:eastAsiaTheme="majorEastAsia" w:cstheme="majorEastAsia"/>
          <w:sz w:val="44"/>
          <w:szCs w:val="44"/>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heme="majorEastAsia" w:hAnsiTheme="majorEastAsia" w:eastAsiaTheme="majorEastAsia" w:cstheme="majorEastAsia"/>
          <w:sz w:val="44"/>
          <w:szCs w:val="44"/>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heme="majorEastAsia" w:hAnsiTheme="majorEastAsia" w:eastAsiaTheme="majorEastAsia" w:cstheme="majorEastAsia"/>
          <w:sz w:val="44"/>
          <w:szCs w:val="44"/>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heme="majorEastAsia" w:hAnsiTheme="majorEastAsia" w:eastAsiaTheme="majorEastAsia" w:cstheme="majorEastAsia"/>
          <w:sz w:val="44"/>
          <w:szCs w:val="44"/>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heme="majorEastAsia" w:hAnsiTheme="majorEastAsia" w:eastAsiaTheme="majorEastAsia" w:cstheme="majorEastAsia"/>
          <w:sz w:val="44"/>
          <w:szCs w:val="44"/>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heme="majorEastAsia" w:hAnsiTheme="majorEastAsia" w:eastAsiaTheme="majorEastAsia" w:cstheme="majorEastAsia"/>
          <w:sz w:val="44"/>
          <w:szCs w:val="44"/>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heme="majorEastAsia" w:hAnsiTheme="majorEastAsia" w:eastAsiaTheme="majorEastAsia" w:cstheme="majorEastAsia"/>
          <w:sz w:val="44"/>
          <w:szCs w:val="44"/>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heme="majorEastAsia" w:hAnsiTheme="majorEastAsia" w:eastAsiaTheme="majorEastAsia" w:cstheme="majorEastAsia"/>
          <w:sz w:val="44"/>
          <w:szCs w:val="44"/>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heme="majorEastAsia" w:hAnsiTheme="majorEastAsia" w:eastAsiaTheme="majorEastAsia" w:cstheme="majorEastAsia"/>
          <w:sz w:val="44"/>
          <w:szCs w:val="44"/>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heme="majorEastAsia" w:hAnsiTheme="majorEastAsia" w:eastAsiaTheme="majorEastAsia" w:cstheme="majorEastAsia"/>
          <w:sz w:val="44"/>
          <w:szCs w:val="44"/>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Theme="majorEastAsia" w:hAnsiTheme="majorEastAsia" w:eastAsiaTheme="majorEastAsia" w:cstheme="majorEastAsia"/>
          <w:sz w:val="44"/>
          <w:szCs w:val="44"/>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heme="majorEastAsia" w:hAnsiTheme="majorEastAsia" w:eastAsiaTheme="majorEastAsia" w:cstheme="majorEastAsia"/>
          <w:sz w:val="44"/>
          <w:szCs w:val="44"/>
          <w:lang w:val="en-US"/>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heme="majorEastAsia" w:hAnsiTheme="majorEastAsia" w:eastAsiaTheme="majorEastAsia" w:cstheme="majorEastAsia"/>
          <w:sz w:val="48"/>
          <w:szCs w:val="48"/>
          <w:lang w:val="en-US" w:eastAsia="zh-CN"/>
        </w:rPr>
      </w:pPr>
      <w:r>
        <w:rPr>
          <w:rFonts w:hint="eastAsia" w:ascii="仿宋_GB2312" w:hAnsi="仿宋_GB2312" w:eastAsia="仿宋_GB2312" w:cs="仿宋_GB2312"/>
          <w:color w:val="000000" w:themeColor="text1"/>
          <w:sz w:val="36"/>
          <w:szCs w:val="36"/>
          <w:lang w:val="en-US" w:eastAsia="zh-CN"/>
          <w14:textFill>
            <w14:solidFill>
              <w14:schemeClr w14:val="tx1"/>
            </w14:solidFill>
          </w14:textFill>
        </w:rPr>
        <w:t>单位名称（盖章）：怀化市交通建设质量安全监督站</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sz w:val="32"/>
          <w:szCs w:val="32"/>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sz w:val="32"/>
          <w:szCs w:val="32"/>
          <w:lang w:eastAsia="zh-CN"/>
        </w:rPr>
      </w:pPr>
      <w:r>
        <w:rPr>
          <w:rFonts w:hint="eastAsia" w:ascii="黑体" w:hAnsi="黑体" w:eastAsia="黑体" w:cs="黑体"/>
          <w:sz w:val="32"/>
          <w:szCs w:val="32"/>
        </w:rPr>
        <w:t>一、部门</w:t>
      </w:r>
      <w:r>
        <w:rPr>
          <w:rFonts w:hint="eastAsia" w:ascii="黑体" w:hAnsi="黑体" w:eastAsia="黑体" w:cs="黑体"/>
          <w:sz w:val="32"/>
          <w:szCs w:val="32"/>
          <w:lang w:eastAsia="zh-CN"/>
        </w:rPr>
        <w:t>概况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（一）</w:t>
      </w:r>
      <w:r>
        <w:rPr>
          <w:rFonts w:hint="eastAsia" w:ascii="仿宋_GB2312" w:hAnsi="仿宋_GB2312" w:eastAsia="仿宋_GB2312" w:cs="仿宋_GB2312"/>
          <w:sz w:val="32"/>
          <w:szCs w:val="32"/>
          <w:lang w:eastAsia="zh-CN"/>
        </w:rPr>
        <w:t>单位基本情况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机构设置情况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怀化市交通建设质量安全监督站内设机构7个，包括：综合部、人事和财务部、安全应急部、质量监理监督部、检测监督部、造价监督部、铁路质量监理监督部。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w:t>
      </w:r>
      <w:r>
        <w:rPr>
          <w:rFonts w:hint="eastAsia" w:ascii="仿宋_GB2312" w:hAnsi="仿宋_GB2312" w:eastAsia="仿宋_GB2312" w:cs="仿宋_GB2312"/>
          <w:color w:val="000000" w:themeColor="text1"/>
          <w:sz w:val="32"/>
          <w:szCs w:val="32"/>
          <w14:textFill>
            <w14:solidFill>
              <w14:schemeClr w14:val="tx1"/>
            </w14:solidFill>
          </w14:textFill>
        </w:rPr>
        <w:t>人员编制情况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怀化市交通建设质量安全监督站是怀化市交通运输局二级预算单位，单位性质为</w:t>
      </w:r>
      <w:r>
        <w:rPr>
          <w:rFonts w:hint="eastAsia" w:ascii="仿宋_GB2312" w:hAnsi="仿宋_GB2312" w:eastAsia="仿宋_GB2312" w:cs="仿宋_GB2312"/>
          <w:color w:val="auto"/>
          <w:sz w:val="32"/>
          <w:szCs w:val="32"/>
          <w:lang w:val="en-US" w:eastAsia="zh-CN"/>
        </w:rPr>
        <w:t>副处级财政全额拨款公益一类事业单</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位。</w:t>
      </w:r>
      <w:r>
        <w:rPr>
          <w:rFonts w:hint="eastAsia" w:ascii="仿宋_GB2312" w:hAnsi="仿宋_GB2312" w:eastAsia="仿宋_GB2312" w:cs="仿宋_GB2312"/>
          <w:color w:val="auto"/>
          <w:sz w:val="32"/>
          <w:szCs w:val="32"/>
          <w:lang w:val="en-US" w:eastAsia="zh-CN"/>
        </w:rPr>
        <w:t>单位编制人数</w:t>
      </w:r>
      <w:r>
        <w:rPr>
          <w:rFonts w:hint="default" w:ascii="仿宋_GB2312" w:hAnsi="仿宋_GB2312" w:eastAsia="仿宋_GB2312" w:cs="仿宋_GB2312"/>
          <w:color w:val="auto"/>
          <w:sz w:val="32"/>
          <w:szCs w:val="32"/>
          <w:lang w:val="en-US" w:eastAsia="zh-CN"/>
        </w:rPr>
        <w:t>45</w:t>
      </w:r>
      <w:r>
        <w:rPr>
          <w:rFonts w:hint="eastAsia" w:ascii="仿宋_GB2312" w:hAnsi="仿宋_GB2312" w:eastAsia="仿宋_GB2312" w:cs="仿宋_GB2312"/>
          <w:color w:val="auto"/>
          <w:sz w:val="32"/>
          <w:szCs w:val="32"/>
          <w:lang w:val="en-US" w:eastAsia="zh-CN"/>
        </w:rPr>
        <w:t>人，</w:t>
      </w:r>
      <w:r>
        <w:rPr>
          <w:rFonts w:hint="default" w:ascii="仿宋_GB2312" w:hAnsi="仿宋_GB2312" w:eastAsia="仿宋_GB2312" w:cs="仿宋_GB2312"/>
          <w:color w:val="auto"/>
          <w:sz w:val="32"/>
          <w:szCs w:val="32"/>
          <w:lang w:val="en-US" w:eastAsia="zh-CN"/>
        </w:rPr>
        <w:t>202</w:t>
      </w:r>
      <w:r>
        <w:rPr>
          <w:rFonts w:hint="eastAsia" w:ascii="仿宋_GB2312" w:hAnsi="仿宋_GB2312" w:eastAsia="仿宋_GB2312" w:cs="仿宋_GB2312"/>
          <w:color w:val="auto"/>
          <w:sz w:val="32"/>
          <w:szCs w:val="32"/>
          <w:lang w:val="en-US" w:eastAsia="zh-CN"/>
        </w:rPr>
        <w:t>5年年末实有在职人员44人。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3、</w:t>
      </w:r>
      <w:r>
        <w:rPr>
          <w:rFonts w:hint="eastAsia" w:ascii="仿宋_GB2312" w:hAnsi="仿宋_GB2312" w:eastAsia="仿宋_GB2312" w:cs="仿宋_GB2312"/>
          <w:color w:val="000000" w:themeColor="text1"/>
          <w:sz w:val="32"/>
          <w:szCs w:val="32"/>
          <w14:textFill>
            <w14:solidFill>
              <w14:schemeClr w14:val="tx1"/>
            </w14:solidFill>
          </w14:textFill>
        </w:rPr>
        <w:t>主要职能职责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贯彻执行国家和省交通建设工程质量、施工安全生产、工程造价的法律、法规、规章和标准，参与拟定全市交通建设工程质量、安全、造价监督的规定、办法和实施细则相关事务性工作，并组织实施；负责全市国省干线公路、水运工程建设的质量安全与造价监督等事务性工作；参与全市交通建设市场的监督；参与全市国省干线公路、水运工程建设项目交（竣）工验收等事务性工作。负责受监交通建设工程的交工质量验证检测、竣工质量鉴定，对主要工程材料、构配件、工程实体进行中间质量检查等事务性工作；承担市交通运输局审批的公路、水运等交通建设工程造价审查等事务性工作；负责全市交通建设项目的定额测定、交通建设材料价格信息的调查发布、公路水运工程造价数据库的建立和管理，协助主管部门开展造价相关事务性工作；负责受监交通建设工程监理、试验检测机构、造价咨询机构及人员的信用评价初审工作，协助主管部门进行执业培训等相关事务性工作；配合相关部门查处交通建设工程质量安全违法行为；受理对交通建设工程质量缺陷、安全生产隐患和造价相关问题的检举和投诉；调解交通建设工程造价争议；参与交通建设工程质量与生产安全事故调查处理工作；指导县市区农村公路建设质量安全造价及交通建设质量安全监督机构工作；增加地方铁路工程质量安全责任监管的事务性职责和原市交通建设工程试验检测中心的职责。</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部门整体支出规模、使用方向和主要内容、涉及范围等。</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本次部门整体支出评价与预算口径保持一致，以保障单位</w:t>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right="0"/>
        <w:jc w:val="both"/>
        <w:rPr>
          <w:rFonts w:hint="default"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履行各项职能使用资金。主要用于我站日常行政运行、各类项目前期工作等经费开支。</w:t>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0"/>
        <w:jc w:val="both"/>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default" w:ascii="仿宋_GB2312" w:hAnsi="仿宋_GB2312" w:eastAsia="仿宋_GB2312" w:cs="仿宋_GB2312"/>
          <w:color w:val="000000" w:themeColor="text1"/>
          <w:sz w:val="32"/>
          <w:szCs w:val="32"/>
          <w:lang w:val="en-US" w:eastAsia="zh-CN"/>
          <w14:textFill>
            <w14:solidFill>
              <w14:schemeClr w14:val="tx1"/>
            </w14:solidFill>
          </w14:textFill>
        </w:rPr>
        <w:t>202</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5</w:t>
      </w:r>
      <w:r>
        <w:rPr>
          <w:rFonts w:hint="eastAsia" w:ascii="仿宋_GB2312" w:hAnsi="Times New Roman" w:eastAsia="仿宋_GB2312" w:cs="仿宋_GB2312"/>
          <w:i w:val="0"/>
          <w:iCs w:val="0"/>
          <w:caps w:val="0"/>
          <w:color w:val="3D3D3D"/>
          <w:spacing w:val="0"/>
          <w:sz w:val="32"/>
          <w:szCs w:val="32"/>
        </w:rPr>
        <w:t>年</w:t>
      </w:r>
      <w:r>
        <w:rPr>
          <w:rFonts w:hint="eastAsia" w:ascii="仿宋_GB2312" w:hAnsi="Times New Roman" w:eastAsia="仿宋_GB2312" w:cs="仿宋_GB2312"/>
          <w:i w:val="0"/>
          <w:iCs w:val="0"/>
          <w:caps w:val="0"/>
          <w:color w:val="3D3D3D"/>
          <w:spacing w:val="0"/>
          <w:sz w:val="32"/>
          <w:szCs w:val="32"/>
          <w:lang w:eastAsia="zh-CN"/>
        </w:rPr>
        <w:t>年初预算</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756.19万元，其中基本支出年初预算731.19万元，项目支出年初预算25万元。2025年决算数为968.28万元，其中工资福利支出800.56万元，商品服务服务支出94.14万元，对家庭和个人的补助71.11万元,资本性支出2.47万元。</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二、一般公共预算支出情况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320" w:firstLineChars="1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lang w:eastAsia="zh-CN"/>
          <w14:textFill>
            <w14:solidFill>
              <w14:schemeClr w14:val="tx1"/>
            </w14:solidFill>
          </w14:textFill>
        </w:rPr>
        <w:t>一</w:t>
      </w:r>
      <w:r>
        <w:rPr>
          <w:rFonts w:hint="eastAsia" w:ascii="仿宋_GB2312" w:hAnsi="仿宋_GB2312" w:eastAsia="仿宋_GB2312" w:cs="仿宋_GB2312"/>
          <w:color w:val="000000" w:themeColor="text1"/>
          <w:sz w:val="32"/>
          <w:szCs w:val="32"/>
          <w14:textFill>
            <w14:solidFill>
              <w14:schemeClr w14:val="tx1"/>
            </w14:solidFill>
          </w14:textFill>
        </w:rPr>
        <w:t>）基本支出</w:t>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0"/>
        <w:jc w:val="both"/>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1、基本支出的主要用途、范围及管理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2025年基本支出决算数888.28万元。包括用于在职和离退休人员基本工资、津贴补贴等人员经费以及办公费、印刷费、水电费、差旅费、办公设备购置等日常公用经费。主要是人员经费支出决算数860.66万元，公用经费支出决算数27.62万元。按照经济科目分类如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工资福利支出791.92万元。其中：基本工资268.79万元、津补贴及绩效工资225.23万元、奖金79.18万元，机关事业单位基本养老保险缴费74.43万元，职工基本医疗保险缴费32.64万元，其他社会保障缴费4.08万元。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商品和服务支出25.15万元。其中：工会经费22.48万元。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对家庭和个人的补助68.74万元。主要是生活补助62.73万元，其他对个人和家庭的补助0.97万元。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资本性支出2.47万元。为办公设备购置。</w:t>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0"/>
        <w:jc w:val="both"/>
        <w:rPr>
          <w:rFonts w:hint="default"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default" w:ascii="仿宋_GB2312" w:hAnsi="仿宋_GB2312" w:eastAsia="仿宋_GB2312" w:cs="仿宋_GB2312"/>
          <w:color w:val="000000" w:themeColor="text1"/>
          <w:kern w:val="2"/>
          <w:sz w:val="32"/>
          <w:szCs w:val="32"/>
          <w:lang w:val="en-US" w:eastAsia="zh-CN" w:bidi="ar-SA"/>
          <w14:textFill>
            <w14:solidFill>
              <w14:schemeClr w14:val="tx1"/>
            </w14:solidFill>
          </w14:textFill>
        </w:rPr>
        <w:t>2</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、三公”经费的使用和管理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2025年预算安排“三公经费”数1.5万元，2025年“三公经费”决算数5.32万元，其中：公务用车购置及运行维护费5.32万元，公务接待费0万元，因公出国费0万元。“三公经费”同比减少7.51万元，降幅58.53%，主要原因是无公务接待支出，科学统筹出差公务车辆使用，将同方向同性质的出差合并，减少用车频次。</w:t>
      </w:r>
    </w:p>
    <w:p>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firstLine="320" w:firstLineChars="1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项目支出</w:t>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0"/>
        <w:jc w:val="both"/>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1、项目资金投入情况。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2025年项目支出总支出80万元，共4个项目。主要包括重要农村公路监督工作经费20万元，国省干线公路大中修工程质量安全监督经费50万元，交通安全经费7万元，地方铁路建设工程质量安全监督经费3万元。</w:t>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0"/>
        <w:jc w:val="both"/>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2、项目资金实际使用情况。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重要农村公路监督工作经费年初预算数20万元，全年预算数20万元，执行数20万元，执行率100%；国省干线公路大中修工程质量安全监督经费年初预算数0万元，全年预算数50万元，执行数50万元，执行率100%；交通安全经费年初预算数0万元，全年预算数10万元，执行数7万元，执行率70%；地方铁路建设工程质量安全监督经费年初预算数5万元，全年预算数5万元，执行数3万元，执行率60%。</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仿宋_GB2312" w:hAnsi="仿宋_GB2312" w:eastAsia="仿宋_GB2312" w:cs="仿宋_GB2312"/>
          <w:color w:val="auto"/>
          <w:kern w:val="2"/>
          <w:sz w:val="32"/>
          <w:szCs w:val="32"/>
          <w:lang w:val="en-US" w:eastAsia="zh-CN" w:bidi="ar-SA"/>
        </w:rPr>
        <w:t>3、</w:t>
      </w:r>
      <w:r>
        <w:rPr>
          <w:rFonts w:hint="default" w:ascii="Times New Roman Regular" w:hAnsi="Times New Roman Regular" w:eastAsia="仿宋_GB2312" w:cs="Times New Roman Regular"/>
          <w:color w:val="auto"/>
          <w:sz w:val="32"/>
          <w:szCs w:val="32"/>
          <w:highlight w:val="none"/>
          <w:lang w:val="en-US" w:eastAsia="zh-CN"/>
        </w:rPr>
        <w:t>项目资金管理情况分析，主要包括管理制度、办法的制</w:t>
      </w:r>
      <w:r>
        <w:rPr>
          <w:rFonts w:hint="eastAsia" w:ascii="Times New Roman Regular" w:hAnsi="Times New Roman Regular" w:eastAsia="仿宋_GB2312" w:cs="Times New Roman Regular"/>
          <w:color w:val="auto"/>
          <w:sz w:val="32"/>
          <w:szCs w:val="32"/>
          <w:highlight w:val="none"/>
          <w:lang w:val="en-US" w:eastAsia="zh-CN"/>
        </w:rPr>
        <w:t>定</w:t>
      </w:r>
      <w:r>
        <w:rPr>
          <w:rFonts w:hint="default" w:ascii="Times New Roman Regular" w:hAnsi="Times New Roman Regular" w:eastAsia="仿宋_GB2312" w:cs="Times New Roman Regular"/>
          <w:color w:val="auto"/>
          <w:sz w:val="32"/>
          <w:szCs w:val="32"/>
          <w:highlight w:val="none"/>
          <w:lang w:val="en-US" w:eastAsia="zh-CN"/>
        </w:rPr>
        <w:t>及执行情况。</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Times New Roman Regular" w:hAnsi="Times New Roman Regular" w:eastAsia="仿宋_GB2312" w:cs="Times New Roman Regular"/>
          <w:color w:val="auto"/>
          <w:sz w:val="32"/>
          <w:szCs w:val="32"/>
          <w:highlight w:val="none"/>
          <w:lang w:val="en-US" w:eastAsia="zh-CN"/>
        </w:rPr>
        <w:t>严格按制度分配、使用、管理专项资金，确保资金使用公开、公正、科学、高效，专款专用、不被挤占、挪用、借用或随意调整。</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楷体_GB2312" w:hAnsi="楷体_GB2312" w:eastAsia="楷体_GB2312" w:cs="楷体_GB2312"/>
          <w:b/>
          <w:bCs/>
          <w:color w:val="auto"/>
          <w:sz w:val="32"/>
          <w:szCs w:val="32"/>
          <w:highlight w:val="none"/>
          <w:lang w:eastAsia="zh-CN"/>
        </w:rPr>
      </w:pPr>
      <w:r>
        <w:rPr>
          <w:rFonts w:hint="eastAsia" w:ascii="黑体" w:hAnsi="黑体" w:eastAsia="黑体" w:cs="黑体"/>
          <w:sz w:val="32"/>
          <w:szCs w:val="32"/>
          <w:lang w:val="en-US" w:eastAsia="zh-CN"/>
        </w:rPr>
        <w:t>三、项目组织实施情况</w:t>
      </w:r>
    </w:p>
    <w:p>
      <w:pPr>
        <w:keepNext w:val="0"/>
        <w:keepLines w:val="0"/>
        <w:pageBreakBefore w:val="0"/>
        <w:widowControl w:val="0"/>
        <w:kinsoku/>
        <w:wordWrap/>
        <w:overflowPunct/>
        <w:topLinePunct w:val="0"/>
        <w:autoSpaceDE/>
        <w:autoSpaceDN/>
        <w:bidi w:val="0"/>
        <w:adjustRightInd/>
        <w:snapToGrid w:val="0"/>
        <w:spacing w:line="620" w:lineRule="exact"/>
        <w:ind w:left="0" w:firstLine="640" w:firstLineChars="200"/>
        <w:jc w:val="both"/>
        <w:textAlignment w:val="auto"/>
        <w:rPr>
          <w:rFonts w:hint="eastAsia" w:ascii="仿宋" w:hAnsi="仿宋" w:eastAsia="仿宋" w:cs="仿宋"/>
          <w:bCs/>
          <w:color w:val="auto"/>
          <w:sz w:val="32"/>
          <w:szCs w:val="32"/>
          <w:shd w:val="clear" w:color="auto" w:fill="auto"/>
          <w:lang w:eastAsia="zh-CN"/>
        </w:rPr>
      </w:pPr>
      <w:r>
        <w:rPr>
          <w:rFonts w:hint="eastAsia" w:ascii="仿宋" w:hAnsi="仿宋" w:eastAsia="仿宋" w:cs="仿宋"/>
          <w:bCs/>
          <w:color w:val="auto"/>
          <w:sz w:val="32"/>
          <w:szCs w:val="32"/>
          <w:shd w:val="clear" w:color="auto" w:fill="auto"/>
          <w:lang w:eastAsia="zh-CN"/>
        </w:rPr>
        <w:t>我站积极落实专项资金管理制度，严格按照《怀化市本级财政专项资金管理办法》，</w:t>
      </w:r>
      <w:r>
        <w:rPr>
          <w:rFonts w:hint="eastAsia" w:ascii="仿宋_GB2312" w:hAnsi="Times New Roman" w:eastAsia="仿宋_GB2312" w:cs="仿宋_GB2312"/>
          <w:i w:val="0"/>
          <w:iCs w:val="0"/>
          <w:caps w:val="0"/>
          <w:color w:val="3D3D3D"/>
          <w:spacing w:val="0"/>
          <w:sz w:val="32"/>
          <w:szCs w:val="32"/>
        </w:rPr>
        <w:t>重大事项报党组研究决定，日常工作报分管领导决定，保障各项工作稳步推进。</w:t>
      </w:r>
      <w:r>
        <w:rPr>
          <w:rFonts w:hint="eastAsia" w:ascii="仿宋" w:hAnsi="仿宋" w:eastAsia="仿宋" w:cs="仿宋"/>
          <w:bCs/>
          <w:color w:val="auto"/>
          <w:sz w:val="32"/>
          <w:szCs w:val="32"/>
          <w:shd w:val="clear" w:color="auto" w:fill="auto"/>
          <w:lang w:eastAsia="zh-CN"/>
        </w:rPr>
        <w:t>并接受财政等部门的监督，做到了专款专用，无滞留、截留、挤占和挪用的现象。</w:t>
      </w:r>
    </w:p>
    <w:p>
      <w:pPr>
        <w:keepNext w:val="0"/>
        <w:keepLines w:val="0"/>
        <w:pageBreakBefore w:val="0"/>
        <w:widowControl w:val="0"/>
        <w:numPr>
          <w:ilvl w:val="0"/>
          <w:numId w:val="3"/>
        </w:numPr>
        <w:kinsoku/>
        <w:wordWrap/>
        <w:overflowPunct/>
        <w:topLinePunct w:val="0"/>
        <w:autoSpaceDE/>
        <w:autoSpaceDN/>
        <w:bidi w:val="0"/>
        <w:adjustRightInd/>
        <w:snapToGrid/>
        <w:spacing w:line="560" w:lineRule="exact"/>
        <w:textAlignment w:val="auto"/>
        <w:rPr>
          <w:rFonts w:hint="eastAsia" w:ascii="黑体" w:hAnsi="黑体" w:eastAsia="黑体" w:cs="黑体"/>
          <w:color w:val="000000" w:themeColor="text1"/>
          <w:sz w:val="32"/>
          <w:szCs w:val="32"/>
          <w:lang w:eastAsia="zh-CN"/>
          <w14:textFill>
            <w14:solidFill>
              <w14:schemeClr w14:val="tx1"/>
            </w14:solidFill>
          </w14:textFill>
        </w:rPr>
      </w:pPr>
      <w:r>
        <w:rPr>
          <w:rFonts w:hint="eastAsia" w:ascii="黑体" w:hAnsi="黑体" w:eastAsia="黑体" w:cs="黑体"/>
          <w:color w:val="000000" w:themeColor="text1"/>
          <w:sz w:val="32"/>
          <w:szCs w:val="32"/>
          <w:lang w:eastAsia="zh-CN"/>
          <w14:textFill>
            <w14:solidFill>
              <w14:schemeClr w14:val="tx1"/>
            </w14:solidFill>
          </w14:textFill>
        </w:rPr>
        <w:t>资产管理情况</w:t>
      </w:r>
    </w:p>
    <w:p>
      <w:pPr>
        <w:keepNext w:val="0"/>
        <w:keepLines w:val="0"/>
        <w:pageBreakBefore w:val="0"/>
        <w:widowControl w:val="0"/>
        <w:kinsoku/>
        <w:wordWrap/>
        <w:overflowPunct/>
        <w:topLinePunct w:val="0"/>
        <w:autoSpaceDE/>
        <w:autoSpaceDN/>
        <w:bidi w:val="0"/>
        <w:adjustRightInd/>
        <w:snapToGrid w:val="0"/>
        <w:spacing w:line="620" w:lineRule="exact"/>
        <w:ind w:left="0" w:firstLine="640" w:firstLineChars="200"/>
        <w:jc w:val="both"/>
        <w:textAlignment w:val="auto"/>
        <w:rPr>
          <w:rFonts w:hint="eastAsia" w:ascii="黑体" w:hAnsi="黑体" w:eastAsia="黑体" w:cs="黑体"/>
          <w:color w:val="auto"/>
          <w:sz w:val="32"/>
          <w:szCs w:val="32"/>
          <w:lang w:eastAsia="zh-CN"/>
        </w:rPr>
      </w:pPr>
      <w:r>
        <w:rPr>
          <w:rFonts w:hint="eastAsia" w:ascii="仿宋" w:hAnsi="仿宋" w:eastAsia="仿宋" w:cs="仿宋"/>
          <w:bCs/>
          <w:color w:val="auto"/>
          <w:sz w:val="32"/>
          <w:szCs w:val="32"/>
          <w:shd w:val="clear" w:color="auto" w:fill="auto"/>
          <w:lang w:eastAsia="zh-CN"/>
        </w:rPr>
        <w:t>我站严格遵守固定资产的处置严格履行审批手续和程序，报市机关事务局、市财政局审批后处置，做好资产清查工作，确保资产账账相符、账实相符。20</w:t>
      </w:r>
      <w:r>
        <w:rPr>
          <w:rFonts w:hint="eastAsia" w:ascii="仿宋" w:hAnsi="仿宋" w:eastAsia="仿宋" w:cs="仿宋"/>
          <w:bCs/>
          <w:color w:val="auto"/>
          <w:sz w:val="32"/>
          <w:szCs w:val="32"/>
          <w:shd w:val="clear" w:color="auto" w:fill="auto"/>
          <w:lang w:val="en-US" w:eastAsia="zh-CN"/>
        </w:rPr>
        <w:t>25</w:t>
      </w:r>
      <w:r>
        <w:rPr>
          <w:rFonts w:hint="eastAsia" w:ascii="仿宋" w:hAnsi="仿宋" w:eastAsia="仿宋" w:cs="仿宋"/>
          <w:bCs/>
          <w:color w:val="auto"/>
          <w:sz w:val="32"/>
          <w:szCs w:val="32"/>
          <w:shd w:val="clear" w:color="auto" w:fill="auto"/>
          <w:lang w:eastAsia="zh-CN"/>
        </w:rPr>
        <w:t>年12月底，</w:t>
      </w:r>
      <w:r>
        <w:rPr>
          <w:rFonts w:hint="eastAsia" w:ascii="仿宋_GB2312" w:hAnsi="仿宋_GB2312" w:eastAsia="仿宋_GB2312" w:cs="仿宋_GB2312"/>
          <w:color w:val="auto"/>
          <w:sz w:val="32"/>
          <w:szCs w:val="32"/>
          <w:lang w:val="en-US" w:eastAsia="zh-CN"/>
        </w:rPr>
        <w:t>市交通建设质量安全监督站</w:t>
      </w:r>
      <w:r>
        <w:rPr>
          <w:rFonts w:hint="eastAsia" w:ascii="仿宋" w:hAnsi="仿宋" w:eastAsia="仿宋" w:cs="仿宋"/>
          <w:bCs/>
          <w:color w:val="auto"/>
          <w:sz w:val="32"/>
          <w:szCs w:val="32"/>
          <w:shd w:val="clear" w:color="auto" w:fill="auto"/>
          <w:lang w:eastAsia="zh-CN"/>
        </w:rPr>
        <w:t>固定资产账面原值余额</w:t>
      </w:r>
      <w:r>
        <w:rPr>
          <w:rFonts w:hint="eastAsia" w:ascii="仿宋" w:hAnsi="仿宋" w:eastAsia="仿宋" w:cs="仿宋"/>
          <w:bCs/>
          <w:color w:val="auto"/>
          <w:sz w:val="32"/>
          <w:szCs w:val="32"/>
          <w:shd w:val="clear" w:color="auto" w:fill="auto"/>
          <w:lang w:val="en-US" w:eastAsia="zh-CN"/>
        </w:rPr>
        <w:t>2808.54</w:t>
      </w:r>
      <w:r>
        <w:rPr>
          <w:rFonts w:hint="eastAsia" w:ascii="仿宋" w:hAnsi="仿宋" w:eastAsia="仿宋" w:cs="仿宋"/>
          <w:bCs/>
          <w:color w:val="auto"/>
          <w:sz w:val="32"/>
          <w:szCs w:val="32"/>
          <w:shd w:val="clear" w:color="auto" w:fill="auto"/>
          <w:lang w:eastAsia="zh-CN"/>
        </w:rPr>
        <w:t>万元，累计折旧</w:t>
      </w:r>
      <w:r>
        <w:rPr>
          <w:rFonts w:hint="eastAsia" w:ascii="仿宋" w:hAnsi="仿宋" w:eastAsia="仿宋" w:cs="仿宋"/>
          <w:bCs/>
          <w:color w:val="auto"/>
          <w:sz w:val="32"/>
          <w:szCs w:val="32"/>
          <w:shd w:val="clear" w:color="auto" w:fill="auto"/>
          <w:lang w:val="en-US" w:eastAsia="zh-CN"/>
        </w:rPr>
        <w:t>2253.38万元，</w:t>
      </w:r>
      <w:r>
        <w:rPr>
          <w:rFonts w:hint="eastAsia" w:ascii="仿宋" w:hAnsi="仿宋" w:eastAsia="仿宋" w:cs="仿宋"/>
          <w:bCs/>
          <w:color w:val="auto"/>
          <w:sz w:val="32"/>
          <w:szCs w:val="32"/>
          <w:shd w:val="clear" w:color="auto" w:fill="auto"/>
          <w:lang w:eastAsia="zh-CN"/>
        </w:rPr>
        <w:t>净值</w:t>
      </w:r>
      <w:r>
        <w:rPr>
          <w:rFonts w:hint="eastAsia" w:ascii="仿宋" w:hAnsi="仿宋" w:eastAsia="仿宋" w:cs="仿宋"/>
          <w:bCs/>
          <w:color w:val="auto"/>
          <w:sz w:val="32"/>
          <w:szCs w:val="32"/>
          <w:shd w:val="clear" w:color="auto" w:fill="auto"/>
          <w:lang w:val="en-US" w:eastAsia="zh-CN"/>
        </w:rPr>
        <w:t>555.16</w:t>
      </w:r>
      <w:r>
        <w:rPr>
          <w:rFonts w:hint="eastAsia" w:ascii="仿宋" w:hAnsi="仿宋" w:eastAsia="仿宋" w:cs="仿宋"/>
          <w:bCs/>
          <w:color w:val="auto"/>
          <w:sz w:val="32"/>
          <w:szCs w:val="32"/>
          <w:shd w:val="clear" w:color="auto" w:fill="auto"/>
          <w:lang w:eastAsia="zh-CN"/>
        </w:rPr>
        <w:t>万元。</w:t>
      </w:r>
    </w:p>
    <w:p>
      <w:pPr>
        <w:keepNext w:val="0"/>
        <w:keepLines w:val="0"/>
        <w:pageBreakBefore w:val="0"/>
        <w:widowControl w:val="0"/>
        <w:numPr>
          <w:ilvl w:val="0"/>
          <w:numId w:val="3"/>
        </w:numPr>
        <w:kinsoku/>
        <w:wordWrap/>
        <w:overflowPunct/>
        <w:topLinePunct w:val="0"/>
        <w:autoSpaceDE/>
        <w:autoSpaceDN/>
        <w:bidi w:val="0"/>
        <w:adjustRightInd/>
        <w:snapToGrid w:val="0"/>
        <w:spacing w:line="620" w:lineRule="exact"/>
        <w:ind w:left="0" w:leftChars="0" w:firstLine="0" w:firstLineChars="0"/>
        <w:jc w:val="both"/>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政府性基金预算支出情况</w:t>
      </w:r>
    </w:p>
    <w:p>
      <w:pPr>
        <w:keepNext w:val="0"/>
        <w:keepLines w:val="0"/>
        <w:pageBreakBefore w:val="0"/>
        <w:widowControl w:val="0"/>
        <w:kinsoku/>
        <w:wordWrap/>
        <w:overflowPunct/>
        <w:topLinePunct w:val="0"/>
        <w:autoSpaceDE/>
        <w:autoSpaceDN/>
        <w:bidi w:val="0"/>
        <w:adjustRightInd/>
        <w:spacing w:line="620" w:lineRule="exact"/>
        <w:ind w:firstLine="640" w:firstLineChars="200"/>
        <w:jc w:val="both"/>
        <w:rPr>
          <w:rFonts w:hint="eastAsia" w:ascii="仿宋" w:hAnsi="仿宋" w:eastAsia="仿宋" w:cs="仿宋"/>
          <w:b w:val="0"/>
          <w:bCs w:val="0"/>
          <w:color w:val="auto"/>
          <w:kern w:val="2"/>
          <w:sz w:val="32"/>
          <w:szCs w:val="32"/>
          <w:lang w:val="en-US" w:eastAsia="zh-CN" w:bidi="ar-SA"/>
        </w:rPr>
      </w:pPr>
      <w:r>
        <w:rPr>
          <w:rFonts w:hint="eastAsia" w:ascii="仿宋" w:hAnsi="仿宋" w:eastAsia="仿宋" w:cs="仿宋"/>
          <w:b w:val="0"/>
          <w:bCs w:val="0"/>
          <w:color w:val="auto"/>
          <w:kern w:val="2"/>
          <w:sz w:val="32"/>
          <w:szCs w:val="32"/>
          <w:lang w:val="en-US" w:eastAsia="zh-CN" w:bidi="ar-SA"/>
        </w:rPr>
        <w:t>2025年无政府性基金预算支出情况。</w:t>
      </w:r>
    </w:p>
    <w:p>
      <w:pPr>
        <w:keepNext w:val="0"/>
        <w:keepLines w:val="0"/>
        <w:pageBreakBefore w:val="0"/>
        <w:widowControl w:val="0"/>
        <w:numPr>
          <w:ilvl w:val="0"/>
          <w:numId w:val="3"/>
        </w:numPr>
        <w:kinsoku/>
        <w:wordWrap/>
        <w:overflowPunct/>
        <w:topLinePunct w:val="0"/>
        <w:autoSpaceDE/>
        <w:autoSpaceDN/>
        <w:bidi w:val="0"/>
        <w:adjustRightInd/>
        <w:snapToGrid w:val="0"/>
        <w:spacing w:line="620" w:lineRule="exact"/>
        <w:ind w:left="0" w:leftChars="0" w:firstLine="0" w:firstLineChars="0"/>
        <w:jc w:val="both"/>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国有资本经营预算支出情况</w:t>
      </w:r>
    </w:p>
    <w:p>
      <w:pPr>
        <w:keepNext w:val="0"/>
        <w:keepLines w:val="0"/>
        <w:pageBreakBefore w:val="0"/>
        <w:widowControl w:val="0"/>
        <w:kinsoku/>
        <w:wordWrap/>
        <w:overflowPunct/>
        <w:topLinePunct w:val="0"/>
        <w:autoSpaceDE/>
        <w:autoSpaceDN/>
        <w:bidi w:val="0"/>
        <w:adjustRightInd/>
        <w:spacing w:line="620" w:lineRule="exact"/>
        <w:ind w:firstLine="640" w:firstLineChars="200"/>
        <w:jc w:val="both"/>
        <w:rPr>
          <w:rFonts w:hint="eastAsia" w:ascii="仿宋" w:hAnsi="仿宋" w:eastAsia="仿宋" w:cs="仿宋"/>
          <w:b w:val="0"/>
          <w:bCs w:val="0"/>
          <w:color w:val="auto"/>
          <w:kern w:val="2"/>
          <w:sz w:val="32"/>
          <w:szCs w:val="32"/>
          <w:lang w:val="en-US" w:eastAsia="zh-CN" w:bidi="ar-SA"/>
        </w:rPr>
      </w:pPr>
      <w:r>
        <w:rPr>
          <w:rFonts w:hint="eastAsia" w:ascii="仿宋" w:hAnsi="仿宋" w:eastAsia="仿宋" w:cs="仿宋"/>
          <w:b w:val="0"/>
          <w:bCs w:val="0"/>
          <w:color w:val="auto"/>
          <w:kern w:val="2"/>
          <w:sz w:val="32"/>
          <w:szCs w:val="32"/>
          <w:lang w:val="en-US" w:eastAsia="zh-CN" w:bidi="ar-SA"/>
        </w:rPr>
        <w:t>2025年无国有资本经营预算支出情况。</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lang w:eastAsia="zh-CN"/>
          <w14:textFill>
            <w14:solidFill>
              <w14:schemeClr w14:val="tx1"/>
            </w14:solidFill>
          </w14:textFill>
        </w:rPr>
        <w:t>七</w:t>
      </w:r>
      <w:r>
        <w:rPr>
          <w:rFonts w:hint="eastAsia" w:ascii="黑体" w:hAnsi="黑体" w:eastAsia="黑体" w:cs="黑体"/>
          <w:color w:val="000000" w:themeColor="text1"/>
          <w:sz w:val="32"/>
          <w:szCs w:val="32"/>
          <w14:textFill>
            <w14:solidFill>
              <w14:schemeClr w14:val="tx1"/>
            </w14:solidFill>
          </w14:textFill>
        </w:rPr>
        <w:t>、社会保险基金预算支出情况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2025年</w:t>
      </w:r>
      <w:r>
        <w:rPr>
          <w:rFonts w:hint="eastAsia" w:ascii="仿宋_GB2312" w:hAnsi="仿宋_GB2312" w:eastAsia="仿宋_GB2312" w:cs="仿宋_GB2312"/>
          <w:color w:val="auto"/>
          <w:sz w:val="32"/>
          <w:szCs w:val="32"/>
          <w:lang w:val="en-US" w:eastAsia="zh-CN"/>
        </w:rPr>
        <w:t>无</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社会保险基金预算支出情况。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lang w:eastAsia="zh-CN"/>
        </w:rPr>
        <w:t>八、</w:t>
      </w:r>
      <w:r>
        <w:rPr>
          <w:rFonts w:hint="eastAsia" w:ascii="黑体" w:hAnsi="黑体" w:eastAsia="黑体" w:cs="黑体"/>
          <w:color w:val="auto"/>
          <w:sz w:val="32"/>
          <w:szCs w:val="32"/>
          <w:highlight w:val="none"/>
        </w:rPr>
        <w:t>部门整体支出绩效情况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本单位认真组织实施交通安全质量监督工作，并开展绩效自评工作</w:t>
      </w:r>
      <w:r>
        <w:rPr>
          <w:rFonts w:hint="eastAsia" w:ascii="仿宋_GB2312" w:hAnsi="仿宋_GB2312" w:eastAsia="仿宋_GB2312" w:cs="仿宋_GB2312"/>
          <w:color w:val="000000" w:themeColor="text1"/>
          <w:sz w:val="32"/>
          <w:szCs w:val="32"/>
          <w:lang w:eastAsia="zh-CN"/>
          <w14:textFill>
            <w14:solidFill>
              <w14:schemeClr w14:val="tx1"/>
            </w14:solidFill>
          </w14:textFill>
        </w:rPr>
        <w:t>，自评得分为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98</w:t>
      </w:r>
      <w:r>
        <w:rPr>
          <w:rFonts w:hint="eastAsia" w:ascii="仿宋_GB2312" w:hAnsi="仿宋_GB2312" w:eastAsia="仿宋_GB2312" w:cs="仿宋_GB2312"/>
          <w:color w:val="000000" w:themeColor="text1"/>
          <w:sz w:val="32"/>
          <w:szCs w:val="32"/>
          <w:lang w:eastAsia="zh-CN"/>
          <w14:textFill>
            <w14:solidFill>
              <w14:schemeClr w14:val="tx1"/>
            </w14:solidFill>
          </w14:textFill>
        </w:rPr>
        <w:t>分，自评结果</w:t>
      </w:r>
      <w:r>
        <w:rPr>
          <w:rFonts w:hint="eastAsia" w:ascii="仿宋_GB2312" w:hAnsi="仿宋_GB2312" w:eastAsia="仿宋_GB2312" w:cs="仿宋_GB2312"/>
          <w:color w:val="auto"/>
          <w:sz w:val="32"/>
          <w:szCs w:val="32"/>
          <w:lang w:eastAsia="zh-CN"/>
        </w:rPr>
        <w:t>为“优”。具体整体支出绩效如下所述：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2025年全市受监项目共33个。其中，国省干线公路10个；重要农村公路及农村公路大桥5个；地方专用铁路2个；水运工程1个（主要含航道疏浚、停靠点码头、航道管理站房和航标工程4个单位工程）；国省道养护工程及危桥改造15个。一直以来，质量安全形势总体可控，持续保持质量安全零事故，在省交通质安局考核中表现优秀，并在全省质安系统座谈会作经验交流发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000000" w:themeColor="text1"/>
          <w:sz w:val="32"/>
          <w:szCs w:val="32"/>
          <w:highlight w:val="none"/>
          <w14:textFill>
            <w14:solidFill>
              <w14:schemeClr w14:val="tx1"/>
            </w14:solidFill>
          </w14:textFill>
        </w:rPr>
      </w:pPr>
      <w:r>
        <w:rPr>
          <w:rFonts w:hint="eastAsia" w:ascii="仿宋_GB2312" w:hAnsi="仿宋_GB2312" w:eastAsia="仿宋_GB2312" w:cs="仿宋_GB2312"/>
          <w:b w:val="0"/>
          <w:bCs w:val="0"/>
          <w:color w:val="000000" w:themeColor="text1"/>
          <w:sz w:val="32"/>
          <w:szCs w:val="32"/>
          <w:highlight w:val="none"/>
          <w14:textFill>
            <w14:solidFill>
              <w14:schemeClr w14:val="tx1"/>
            </w14:solidFill>
          </w14:textFill>
        </w:rPr>
        <w:t>（一）党建引领</w:t>
      </w:r>
      <w:r>
        <w:rPr>
          <w:rFonts w:hint="eastAsia" w:ascii="仿宋_GB2312" w:hAnsi="仿宋_GB2312" w:eastAsia="仿宋_GB2312" w:cs="仿宋_GB2312"/>
          <w:b w:val="0"/>
          <w:bCs w:val="0"/>
          <w:color w:val="000000" w:themeColor="text1"/>
          <w:sz w:val="32"/>
          <w:szCs w:val="32"/>
          <w:highlight w:val="none"/>
          <w:lang w:eastAsia="zh-CN"/>
          <w14:textFill>
            <w14:solidFill>
              <w14:schemeClr w14:val="tx1"/>
            </w14:solidFill>
          </w14:textFill>
        </w:rPr>
        <w:t>强根基</w:t>
      </w:r>
      <w:r>
        <w:rPr>
          <w:rFonts w:hint="eastAsia" w:ascii="仿宋_GB2312" w:hAnsi="仿宋_GB2312" w:eastAsia="仿宋_GB2312" w:cs="仿宋_GB2312"/>
          <w:b w:val="0"/>
          <w:bCs w:val="0"/>
          <w:color w:val="000000" w:themeColor="text1"/>
          <w:sz w:val="32"/>
          <w:szCs w:val="32"/>
          <w:highlight w:val="none"/>
          <w14:textFill>
            <w14:solidFill>
              <w14:schemeClr w14:val="tx1"/>
            </w14:solidFill>
          </w14:textFill>
        </w:rPr>
        <w:t>，融合业务促提升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auto"/>
          <w:sz w:val="32"/>
          <w:szCs w:val="32"/>
          <w:highlight w:val="none"/>
          <w:lang w:eastAsia="zh-CN"/>
        </w:rPr>
      </w:pPr>
      <w:r>
        <w:rPr>
          <w:rFonts w:hint="eastAsia" w:ascii="仿宋_GB2312" w:hAnsi="仿宋_GB2312" w:eastAsia="仿宋_GB2312" w:cs="仿宋_GB2312"/>
          <w:b w:val="0"/>
          <w:bCs w:val="0"/>
          <w:color w:val="auto"/>
          <w:sz w:val="32"/>
          <w:szCs w:val="32"/>
          <w:highlight w:val="none"/>
          <w:lang w:eastAsia="zh-CN"/>
        </w:rPr>
        <w:t>一是坚持党建品牌创建，强化基层战斗堡垒。牵头在两个全市重点交通建设项目（溆浦桥思公路、会同林坪公路）成立临时党支部，使“党旗飘在项目一线、党员冲在项目一线、服务下沉项目一线”，促进党建工作与业务工作深度融合。二是推动党建业务同频，激发党员先锋力量。我站专业技术力量雄厚，现有正高1人，副高13人，其中党员</w:t>
      </w:r>
      <w:r>
        <w:rPr>
          <w:rFonts w:hint="default" w:ascii="仿宋_GB2312" w:hAnsi="仿宋_GB2312" w:eastAsia="仿宋_GB2312" w:cs="仿宋_GB2312"/>
          <w:b w:val="0"/>
          <w:bCs w:val="0"/>
          <w:color w:val="auto"/>
          <w:sz w:val="32"/>
          <w:szCs w:val="32"/>
          <w:highlight w:val="none"/>
          <w:lang w:val="en-US" w:eastAsia="zh-CN"/>
        </w:rPr>
        <w:t>1</w:t>
      </w:r>
      <w:r>
        <w:rPr>
          <w:rFonts w:hint="eastAsia" w:ascii="仿宋_GB2312" w:hAnsi="仿宋_GB2312" w:eastAsia="仿宋_GB2312" w:cs="仿宋_GB2312"/>
          <w:b w:val="0"/>
          <w:bCs w:val="0"/>
          <w:color w:val="auto"/>
          <w:sz w:val="32"/>
          <w:szCs w:val="32"/>
          <w:highlight w:val="none"/>
          <w:lang w:val="en-US" w:eastAsia="zh-CN"/>
        </w:rPr>
        <w:t>2</w:t>
      </w:r>
      <w:r>
        <w:rPr>
          <w:rFonts w:hint="eastAsia" w:ascii="仿宋_GB2312" w:hAnsi="仿宋_GB2312" w:eastAsia="仿宋_GB2312" w:cs="仿宋_GB2312"/>
          <w:b w:val="0"/>
          <w:bCs w:val="0"/>
          <w:color w:val="auto"/>
          <w:sz w:val="32"/>
          <w:szCs w:val="32"/>
          <w:highlight w:val="none"/>
          <w:lang w:eastAsia="zh-CN"/>
        </w:rPr>
        <w:t>名，党员占比达</w:t>
      </w:r>
      <w:r>
        <w:rPr>
          <w:rFonts w:hint="eastAsia" w:ascii="仿宋_GB2312" w:hAnsi="仿宋_GB2312" w:eastAsia="仿宋_GB2312" w:cs="仿宋_GB2312"/>
          <w:b w:val="0"/>
          <w:bCs w:val="0"/>
          <w:color w:val="auto"/>
          <w:sz w:val="32"/>
          <w:szCs w:val="32"/>
          <w:highlight w:val="none"/>
          <w:lang w:val="en-US" w:eastAsia="zh-CN"/>
        </w:rPr>
        <w:t>86</w:t>
      </w:r>
      <w:r>
        <w:rPr>
          <w:rFonts w:hint="eastAsia" w:ascii="仿宋_GB2312" w:hAnsi="仿宋_GB2312" w:eastAsia="仿宋_GB2312" w:cs="仿宋_GB2312"/>
          <w:b w:val="0"/>
          <w:bCs w:val="0"/>
          <w:color w:val="auto"/>
          <w:sz w:val="32"/>
          <w:szCs w:val="32"/>
          <w:highlight w:val="none"/>
          <w:lang w:eastAsia="zh-CN"/>
        </w:rPr>
        <w:t>%，在关键岗位和业务骨干中党员占比尤为突出。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000000" w:themeColor="text1"/>
          <w:sz w:val="32"/>
          <w:szCs w:val="32"/>
          <w:highlight w:val="none"/>
          <w:lang w:eastAsia="zh-CN"/>
          <w14:textFill>
            <w14:solidFill>
              <w14:schemeClr w14:val="tx1"/>
            </w14:solidFill>
          </w14:textFill>
        </w:rPr>
      </w:pPr>
      <w:r>
        <w:rPr>
          <w:rFonts w:hint="eastAsia" w:ascii="仿宋_GB2312" w:hAnsi="仿宋_GB2312" w:eastAsia="仿宋_GB2312" w:cs="仿宋_GB2312"/>
          <w:b w:val="0"/>
          <w:bCs w:val="0"/>
          <w:color w:val="000000" w:themeColor="text1"/>
          <w:sz w:val="32"/>
          <w:szCs w:val="32"/>
          <w:highlight w:val="none"/>
          <w14:textFill>
            <w14:solidFill>
              <w14:schemeClr w14:val="tx1"/>
            </w14:solidFill>
          </w14:textFill>
        </w:rPr>
        <w:t>（二）多措并举强监督，精准发力</w:t>
      </w:r>
      <w:r>
        <w:rPr>
          <w:rFonts w:hint="eastAsia" w:ascii="仿宋_GB2312" w:hAnsi="仿宋_GB2312" w:eastAsia="仿宋_GB2312" w:cs="仿宋_GB2312"/>
          <w:b w:val="0"/>
          <w:bCs w:val="0"/>
          <w:color w:val="000000" w:themeColor="text1"/>
          <w:sz w:val="32"/>
          <w:szCs w:val="32"/>
          <w:highlight w:val="none"/>
          <w:lang w:eastAsia="zh-CN"/>
          <w14:textFill>
            <w14:solidFill>
              <w14:schemeClr w14:val="tx1"/>
            </w14:solidFill>
          </w14:textFill>
        </w:rPr>
        <w:t>提质量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000000" w:themeColor="text1"/>
          <w:sz w:val="32"/>
          <w:szCs w:val="32"/>
          <w:highlight w:val="none"/>
          <w14:textFill>
            <w14:solidFill>
              <w14:schemeClr w14:val="tx1"/>
            </w14:solidFill>
          </w14:textFill>
        </w:rPr>
      </w:pPr>
      <w:r>
        <w:rPr>
          <w:rFonts w:hint="eastAsia" w:ascii="仿宋_GB2312" w:hAnsi="仿宋_GB2312" w:eastAsia="仿宋_GB2312" w:cs="仿宋_GB2312"/>
          <w:b w:val="0"/>
          <w:bCs w:val="0"/>
          <w:color w:val="000000" w:themeColor="text1"/>
          <w:sz w:val="32"/>
          <w:szCs w:val="32"/>
          <w:highlight w:val="none"/>
          <w:lang w:eastAsia="zh-CN"/>
          <w14:textFill>
            <w14:solidFill>
              <w14:schemeClr w14:val="tx1"/>
            </w14:solidFill>
          </w14:textFill>
        </w:rPr>
        <w:t>一是</w:t>
      </w:r>
      <w:r>
        <w:rPr>
          <w:rFonts w:hint="eastAsia" w:ascii="仿宋_GB2312" w:hAnsi="仿宋_GB2312" w:eastAsia="仿宋_GB2312" w:cs="仿宋_GB2312"/>
          <w:b w:val="0"/>
          <w:bCs w:val="0"/>
          <w:color w:val="000000" w:themeColor="text1"/>
          <w:sz w:val="32"/>
          <w:szCs w:val="32"/>
          <w:highlight w:val="none"/>
          <w14:textFill>
            <w14:solidFill>
              <w14:schemeClr w14:val="tx1"/>
            </w14:solidFill>
          </w14:textFill>
        </w:rPr>
        <w:t>省局</w:t>
      </w:r>
      <w:r>
        <w:rPr>
          <w:rFonts w:hint="eastAsia" w:ascii="仿宋_GB2312" w:hAnsi="仿宋_GB2312" w:eastAsia="仿宋_GB2312" w:cs="仿宋_GB2312"/>
          <w:b w:val="0"/>
          <w:bCs w:val="0"/>
          <w:color w:val="000000" w:themeColor="text1"/>
          <w:sz w:val="32"/>
          <w:szCs w:val="32"/>
          <w:highlight w:val="none"/>
          <w:lang w:eastAsia="zh-CN"/>
          <w14:textFill>
            <w14:solidFill>
              <w14:schemeClr w14:val="tx1"/>
            </w14:solidFill>
          </w14:textFill>
        </w:rPr>
        <w:t>助力</w:t>
      </w:r>
      <w:r>
        <w:rPr>
          <w:rFonts w:hint="eastAsia" w:ascii="仿宋_GB2312" w:hAnsi="仿宋_GB2312" w:eastAsia="仿宋_GB2312" w:cs="仿宋_GB2312"/>
          <w:b w:val="0"/>
          <w:bCs w:val="0"/>
          <w:color w:val="000000" w:themeColor="text1"/>
          <w:sz w:val="32"/>
          <w:szCs w:val="32"/>
          <w:highlight w:val="none"/>
          <w14:textFill>
            <w14:solidFill>
              <w14:schemeClr w14:val="tx1"/>
            </w14:solidFill>
          </w14:textFill>
        </w:rPr>
        <w:t>，</w:t>
      </w:r>
      <w:r>
        <w:rPr>
          <w:rFonts w:hint="eastAsia" w:ascii="仿宋_GB2312" w:hAnsi="仿宋_GB2312" w:eastAsia="仿宋_GB2312" w:cs="仿宋_GB2312"/>
          <w:b w:val="0"/>
          <w:bCs w:val="0"/>
          <w:color w:val="000000" w:themeColor="text1"/>
          <w:sz w:val="32"/>
          <w:szCs w:val="32"/>
          <w:highlight w:val="none"/>
          <w:lang w:eastAsia="zh-CN"/>
          <w14:textFill>
            <w14:solidFill>
              <w14:schemeClr w14:val="tx1"/>
            </w14:solidFill>
          </w14:textFill>
        </w:rPr>
        <w:t>贴心帮扶显成效。</w:t>
      </w:r>
      <w:r>
        <w:rPr>
          <w:rFonts w:hint="eastAsia" w:ascii="仿宋_GB2312" w:hAnsi="仿宋_GB2312" w:eastAsia="仿宋_GB2312" w:cs="仿宋_GB2312"/>
          <w:b w:val="0"/>
          <w:bCs w:val="0"/>
          <w:color w:val="000000" w:themeColor="text1"/>
          <w:sz w:val="32"/>
          <w:szCs w:val="32"/>
          <w:highlight w:val="none"/>
          <w14:textFill>
            <w14:solidFill>
              <w14:schemeClr w14:val="tx1"/>
            </w14:solidFill>
          </w14:textFill>
        </w:rPr>
        <w:t>近年来，省局投入大量精力争取中间抽检专项经费</w:t>
      </w:r>
      <w:r>
        <w:rPr>
          <w:rFonts w:hint="eastAsia" w:ascii="仿宋_GB2312" w:hAnsi="仿宋_GB2312" w:eastAsia="仿宋_GB2312" w:cs="仿宋_GB2312"/>
          <w:b w:val="0"/>
          <w:bCs w:val="0"/>
          <w:color w:val="000000" w:themeColor="text1"/>
          <w:sz w:val="32"/>
          <w:szCs w:val="32"/>
          <w:highlight w:val="none"/>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32"/>
          <w:szCs w:val="32"/>
          <w:highlight w:val="none"/>
          <w14:textFill>
            <w14:solidFill>
              <w14:schemeClr w14:val="tx1"/>
            </w14:solidFill>
          </w14:textFill>
        </w:rPr>
        <w:t>采购第三方检测单位提供上门服务</w:t>
      </w:r>
      <w:r>
        <w:rPr>
          <w:rFonts w:hint="eastAsia" w:ascii="仿宋_GB2312" w:hAnsi="仿宋_GB2312" w:eastAsia="仿宋_GB2312" w:cs="仿宋_GB2312"/>
          <w:b w:val="0"/>
          <w:bCs w:val="0"/>
          <w:color w:val="000000" w:themeColor="text1"/>
          <w:sz w:val="32"/>
          <w:szCs w:val="32"/>
          <w:highlight w:val="none"/>
          <w:lang w:eastAsia="zh-CN"/>
          <w14:textFill>
            <w14:solidFill>
              <w14:schemeClr w14:val="tx1"/>
            </w14:solidFill>
          </w14:textFill>
        </w:rPr>
        <w:t>，为我市在建工程问诊把脉，</w:t>
      </w:r>
      <w:r>
        <w:rPr>
          <w:rFonts w:hint="eastAsia" w:ascii="仿宋_GB2312" w:hAnsi="仿宋_GB2312" w:eastAsia="仿宋_GB2312" w:cs="仿宋_GB2312"/>
          <w:b w:val="0"/>
          <w:bCs w:val="0"/>
          <w:color w:val="000000" w:themeColor="text1"/>
          <w:sz w:val="32"/>
          <w:szCs w:val="32"/>
          <w:highlight w:val="none"/>
          <w14:textFill>
            <w14:solidFill>
              <w14:schemeClr w14:val="tx1"/>
            </w14:solidFill>
          </w14:textFill>
        </w:rPr>
        <w:t>实现了对在建国省干线公路的全覆盖精准检测，</w:t>
      </w:r>
      <w:r>
        <w:rPr>
          <w:rFonts w:hint="eastAsia" w:ascii="仿宋_GB2312" w:hAnsi="仿宋_GB2312" w:eastAsia="仿宋_GB2312" w:cs="仿宋_GB2312"/>
          <w:b w:val="0"/>
          <w:bCs w:val="0"/>
          <w:color w:val="000000" w:themeColor="text1"/>
          <w:sz w:val="32"/>
          <w:szCs w:val="32"/>
          <w:highlight w:val="none"/>
          <w:lang w:eastAsia="zh-CN"/>
          <w14:textFill>
            <w14:solidFill>
              <w14:schemeClr w14:val="tx1"/>
            </w14:solidFill>
          </w14:textFill>
        </w:rPr>
        <w:t>且更加精准把控农村公路生命防护工程</w:t>
      </w:r>
      <w:r>
        <w:rPr>
          <w:rFonts w:hint="eastAsia" w:ascii="仿宋_GB2312" w:hAnsi="仿宋_GB2312" w:eastAsia="仿宋_GB2312" w:cs="仿宋_GB2312"/>
          <w:b w:val="0"/>
          <w:bCs w:val="0"/>
          <w:color w:val="000000" w:themeColor="text1"/>
          <w:sz w:val="32"/>
          <w:szCs w:val="32"/>
          <w:highlight w:val="none"/>
          <w14:textFill>
            <w14:solidFill>
              <w14:schemeClr w14:val="tx1"/>
            </w14:solidFill>
          </w14:textFill>
        </w:rPr>
        <w:t>质量指标</w:t>
      </w:r>
      <w:r>
        <w:rPr>
          <w:rFonts w:hint="eastAsia" w:ascii="仿宋_GB2312" w:hAnsi="仿宋_GB2312" w:eastAsia="仿宋_GB2312" w:cs="仿宋_GB2312"/>
          <w:b w:val="0"/>
          <w:bCs w:val="0"/>
          <w:color w:val="000000" w:themeColor="text1"/>
          <w:sz w:val="32"/>
          <w:szCs w:val="32"/>
          <w:highlight w:val="none"/>
          <w:lang w:eastAsia="zh-CN"/>
          <w14:textFill>
            <w14:solidFill>
              <w14:schemeClr w14:val="tx1"/>
            </w14:solidFill>
          </w14:textFill>
        </w:rPr>
        <w:t>。二是</w:t>
      </w:r>
      <w:r>
        <w:rPr>
          <w:rFonts w:hint="eastAsia" w:ascii="仿宋_GB2312" w:hAnsi="仿宋_GB2312" w:eastAsia="仿宋_GB2312" w:cs="仿宋_GB2312"/>
          <w:b w:val="0"/>
          <w:bCs w:val="0"/>
          <w:color w:val="000000" w:themeColor="text1"/>
          <w:sz w:val="32"/>
          <w:szCs w:val="32"/>
          <w:highlight w:val="none"/>
          <w14:textFill>
            <w14:solidFill>
              <w14:schemeClr w14:val="tx1"/>
            </w14:solidFill>
          </w14:textFill>
        </w:rPr>
        <w:t>数据赋能，科学决策促发展</w:t>
      </w:r>
      <w:r>
        <w:rPr>
          <w:rFonts w:hint="eastAsia" w:ascii="仿宋_GB2312" w:hAnsi="仿宋_GB2312" w:eastAsia="仿宋_GB2312" w:cs="仿宋_GB2312"/>
          <w:b w:val="0"/>
          <w:bCs w:val="0"/>
          <w:color w:val="000000" w:themeColor="text1"/>
          <w:sz w:val="32"/>
          <w:szCs w:val="32"/>
          <w:highlight w:val="none"/>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32"/>
          <w:szCs w:val="32"/>
          <w:highlight w:val="none"/>
          <w14:textFill>
            <w14:solidFill>
              <w14:schemeClr w14:val="tx1"/>
            </w14:solidFill>
          </w14:textFill>
        </w:rPr>
        <w:t>我站精心组织开展了2025年全市公路工程在建项目质量监督抽检工作。此次抽检共抽取17200个（或组）数据，其中合格点数达16800个，通过对这些数据的深入分析，我们精准掌握了工程质量动态，为监督决策提供了坚实可靠的科学依据</w:t>
      </w:r>
      <w:r>
        <w:rPr>
          <w:rFonts w:hint="eastAsia" w:ascii="仿宋_GB2312" w:hAnsi="仿宋_GB2312" w:eastAsia="仿宋_GB2312" w:cs="仿宋_GB2312"/>
          <w:b w:val="0"/>
          <w:bCs w:val="0"/>
          <w:color w:val="000000" w:themeColor="text1"/>
          <w:sz w:val="32"/>
          <w:szCs w:val="32"/>
          <w:highlight w:val="none"/>
          <w:lang w:eastAsia="zh-CN"/>
          <w14:textFill>
            <w14:solidFill>
              <w14:schemeClr w14:val="tx1"/>
            </w14:solidFill>
          </w14:textFill>
        </w:rPr>
        <w:t>。三是</w:t>
      </w:r>
      <w:r>
        <w:rPr>
          <w:rFonts w:hint="eastAsia" w:ascii="仿宋_GB2312" w:hAnsi="仿宋_GB2312" w:eastAsia="仿宋_GB2312" w:cs="仿宋_GB2312"/>
          <w:b w:val="0"/>
          <w:bCs w:val="0"/>
          <w:color w:val="000000" w:themeColor="text1"/>
          <w:sz w:val="32"/>
          <w:szCs w:val="32"/>
          <w:highlight w:val="none"/>
          <w14:textFill>
            <w14:solidFill>
              <w14:schemeClr w14:val="tx1"/>
            </w14:solidFill>
          </w14:textFill>
        </w:rPr>
        <w:t>验证检测，严守交工</w:t>
      </w:r>
      <w:r>
        <w:rPr>
          <w:rFonts w:hint="eastAsia" w:ascii="仿宋_GB2312" w:hAnsi="仿宋_GB2312" w:eastAsia="仿宋_GB2312" w:cs="仿宋_GB2312"/>
          <w:b w:val="0"/>
          <w:bCs w:val="0"/>
          <w:color w:val="000000" w:themeColor="text1"/>
          <w:sz w:val="32"/>
          <w:szCs w:val="32"/>
          <w:highlight w:val="none"/>
          <w:lang w:eastAsia="zh-CN"/>
          <w14:textFill>
            <w14:solidFill>
              <w14:schemeClr w14:val="tx1"/>
            </w14:solidFill>
          </w14:textFill>
        </w:rPr>
        <w:t>固</w:t>
      </w:r>
      <w:r>
        <w:rPr>
          <w:rFonts w:hint="eastAsia" w:ascii="仿宋_GB2312" w:hAnsi="仿宋_GB2312" w:eastAsia="仿宋_GB2312" w:cs="仿宋_GB2312"/>
          <w:b w:val="0"/>
          <w:bCs w:val="0"/>
          <w:color w:val="000000" w:themeColor="text1"/>
          <w:sz w:val="32"/>
          <w:szCs w:val="32"/>
          <w:highlight w:val="none"/>
          <w14:textFill>
            <w14:solidFill>
              <w14:schemeClr w14:val="tx1"/>
            </w14:solidFill>
          </w14:textFill>
        </w:rPr>
        <w:t>防线</w:t>
      </w:r>
      <w:r>
        <w:rPr>
          <w:rFonts w:hint="eastAsia" w:ascii="仿宋_GB2312" w:hAnsi="仿宋_GB2312" w:eastAsia="仿宋_GB2312" w:cs="仿宋_GB2312"/>
          <w:b w:val="0"/>
          <w:bCs w:val="0"/>
          <w:color w:val="000000" w:themeColor="text1"/>
          <w:sz w:val="32"/>
          <w:szCs w:val="32"/>
          <w:highlight w:val="none"/>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32"/>
          <w:szCs w:val="32"/>
          <w:highlight w:val="none"/>
          <w14:textFill>
            <w14:solidFill>
              <w14:schemeClr w14:val="tx1"/>
            </w14:solidFill>
          </w14:textFill>
        </w:rPr>
        <w:t>今年，对4个项目开展了交工质量验证性检测，共抽检指标</w:t>
      </w:r>
      <w:r>
        <w:rPr>
          <w:rFonts w:hint="eastAsia" w:ascii="仿宋_GB2312" w:hAnsi="仿宋_GB2312" w:eastAsia="仿宋_GB2312" w:cs="仿宋_GB2312"/>
          <w:b w:val="0"/>
          <w:bCs w:val="0"/>
          <w:color w:val="auto"/>
          <w:sz w:val="32"/>
          <w:szCs w:val="32"/>
          <w:highlight w:val="none"/>
        </w:rPr>
        <w:t>29个，采集数据近4000个</w:t>
      </w:r>
      <w:r>
        <w:rPr>
          <w:rFonts w:hint="eastAsia" w:ascii="仿宋_GB2312" w:hAnsi="仿宋_GB2312" w:eastAsia="仿宋_GB2312" w:cs="仿宋_GB2312"/>
          <w:b w:val="0"/>
          <w:bCs w:val="0"/>
          <w:color w:val="auto"/>
          <w:sz w:val="32"/>
          <w:szCs w:val="32"/>
          <w:highlight w:val="none"/>
          <w:lang w:eastAsia="zh-CN"/>
        </w:rPr>
        <w:t>，排查督促整改问题15个，</w:t>
      </w:r>
      <w:r>
        <w:rPr>
          <w:rFonts w:hint="eastAsia" w:ascii="仿宋_GB2312" w:hAnsi="仿宋_GB2312" w:eastAsia="仿宋_GB2312" w:cs="仿宋_GB2312"/>
          <w:b w:val="0"/>
          <w:bCs w:val="0"/>
          <w:color w:val="auto"/>
          <w:sz w:val="32"/>
          <w:szCs w:val="32"/>
          <w:highlight w:val="none"/>
        </w:rPr>
        <w:t>通过</w:t>
      </w:r>
      <w:r>
        <w:rPr>
          <w:rFonts w:hint="eastAsia" w:ascii="仿宋_GB2312" w:hAnsi="仿宋_GB2312" w:eastAsia="仿宋_GB2312" w:cs="仿宋_GB2312"/>
          <w:b w:val="0"/>
          <w:bCs w:val="0"/>
          <w:color w:val="auto"/>
          <w:sz w:val="32"/>
          <w:szCs w:val="32"/>
          <w:highlight w:val="none"/>
          <w:lang w:eastAsia="zh-CN"/>
        </w:rPr>
        <w:t>全</w:t>
      </w:r>
      <w:r>
        <w:rPr>
          <w:rFonts w:hint="eastAsia" w:ascii="仿宋_GB2312" w:hAnsi="仿宋_GB2312" w:eastAsia="仿宋_GB2312" w:cs="仿宋_GB2312"/>
          <w:b w:val="0"/>
          <w:bCs w:val="0"/>
          <w:color w:val="000000" w:themeColor="text1"/>
          <w:sz w:val="32"/>
          <w:szCs w:val="32"/>
          <w:highlight w:val="none"/>
          <w:lang w:eastAsia="zh-CN"/>
          <w14:textFill>
            <w14:solidFill>
              <w14:schemeClr w14:val="tx1"/>
            </w14:solidFill>
          </w14:textFill>
        </w:rPr>
        <w:t>程见证检测检验，</w:t>
      </w:r>
      <w:r>
        <w:rPr>
          <w:rFonts w:hint="eastAsia" w:ascii="仿宋_GB2312" w:hAnsi="仿宋_GB2312" w:eastAsia="仿宋_GB2312" w:cs="仿宋_GB2312"/>
          <w:b w:val="0"/>
          <w:bCs w:val="0"/>
          <w:color w:val="000000" w:themeColor="text1"/>
          <w:sz w:val="32"/>
          <w:szCs w:val="32"/>
          <w:highlight w:val="none"/>
          <w14:textFill>
            <w14:solidFill>
              <w14:schemeClr w14:val="tx1"/>
            </w14:solidFill>
          </w14:textFill>
        </w:rPr>
        <w:t>切实守住了项目交工投入试运营前的</w:t>
      </w:r>
      <w:r>
        <w:rPr>
          <w:rFonts w:hint="eastAsia" w:ascii="仿宋_GB2312" w:hAnsi="仿宋_GB2312" w:eastAsia="仿宋_GB2312" w:cs="仿宋_GB2312"/>
          <w:b w:val="0"/>
          <w:bCs w:val="0"/>
          <w:color w:val="000000" w:themeColor="text1"/>
          <w:sz w:val="32"/>
          <w:szCs w:val="32"/>
          <w:highlight w:val="none"/>
          <w:lang w:eastAsia="zh-CN"/>
          <w14:textFill>
            <w14:solidFill>
              <w14:schemeClr w14:val="tx1"/>
            </w14:solidFill>
          </w14:textFill>
        </w:rPr>
        <w:t>“最后一道关口”</w:t>
      </w:r>
      <w:r>
        <w:rPr>
          <w:rFonts w:hint="eastAsia" w:ascii="仿宋_GB2312" w:hAnsi="仿宋_GB2312" w:eastAsia="仿宋_GB2312" w:cs="仿宋_GB2312"/>
          <w:b w:val="0"/>
          <w:bCs w:val="0"/>
          <w:color w:val="000000" w:themeColor="text1"/>
          <w:sz w:val="32"/>
          <w:szCs w:val="32"/>
          <w:highlight w:val="none"/>
          <w14:textFill>
            <w14:solidFill>
              <w14:schemeClr w14:val="tx1"/>
            </w14:solidFill>
          </w14:textFill>
        </w:rPr>
        <w:t>。</w:t>
      </w:r>
      <w:r>
        <w:rPr>
          <w:rFonts w:hint="eastAsia" w:ascii="仿宋_GB2312" w:hAnsi="仿宋_GB2312" w:eastAsia="仿宋_GB2312" w:cs="仿宋_GB2312"/>
          <w:b w:val="0"/>
          <w:bCs w:val="0"/>
          <w:color w:val="000000" w:themeColor="text1"/>
          <w:sz w:val="32"/>
          <w:szCs w:val="32"/>
          <w:highlight w:val="none"/>
          <w:lang w:eastAsia="zh-CN"/>
          <w14:textFill>
            <w14:solidFill>
              <w14:schemeClr w14:val="tx1"/>
            </w14:solidFill>
          </w14:textFill>
        </w:rPr>
        <w:t>四是</w:t>
      </w:r>
      <w:r>
        <w:rPr>
          <w:rFonts w:hint="eastAsia" w:ascii="仿宋_GB2312" w:hAnsi="仿宋_GB2312" w:eastAsia="仿宋_GB2312" w:cs="仿宋_GB2312"/>
          <w:b w:val="0"/>
          <w:bCs w:val="0"/>
          <w:color w:val="000000" w:themeColor="text1"/>
          <w:sz w:val="32"/>
          <w:szCs w:val="32"/>
          <w:highlight w:val="none"/>
          <w14:textFill>
            <w14:solidFill>
              <w14:schemeClr w14:val="tx1"/>
            </w14:solidFill>
          </w14:textFill>
        </w:rPr>
        <w:t>交叉互检，创新机制强监督</w:t>
      </w:r>
      <w:r>
        <w:rPr>
          <w:rFonts w:hint="eastAsia" w:ascii="仿宋_GB2312" w:hAnsi="仿宋_GB2312" w:eastAsia="仿宋_GB2312" w:cs="仿宋_GB2312"/>
          <w:b w:val="0"/>
          <w:bCs w:val="0"/>
          <w:color w:val="000000" w:themeColor="text1"/>
          <w:sz w:val="32"/>
          <w:szCs w:val="32"/>
          <w:highlight w:val="none"/>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32"/>
          <w:szCs w:val="32"/>
          <w:highlight w:val="none"/>
          <w14:textFill>
            <w14:solidFill>
              <w14:schemeClr w14:val="tx1"/>
            </w14:solidFill>
          </w14:textFill>
        </w:rPr>
        <w:t>截至11月初，已完成项目抽检数据785处，抽检项目合格率</w:t>
      </w:r>
      <w:r>
        <w:rPr>
          <w:rFonts w:hint="eastAsia" w:ascii="仿宋_GB2312" w:hAnsi="仿宋_GB2312" w:eastAsia="仿宋_GB2312" w:cs="仿宋_GB2312"/>
          <w:b w:val="0"/>
          <w:bCs w:val="0"/>
          <w:color w:val="000000" w:themeColor="text1"/>
          <w:sz w:val="32"/>
          <w:szCs w:val="32"/>
          <w:highlight w:val="none"/>
          <w:lang w:eastAsia="zh-CN"/>
          <w14:textFill>
            <w14:solidFill>
              <w14:schemeClr w14:val="tx1"/>
            </w14:solidFill>
          </w14:textFill>
        </w:rPr>
        <w:t>几乎</w:t>
      </w:r>
      <w:r>
        <w:rPr>
          <w:rFonts w:hint="eastAsia" w:ascii="仿宋_GB2312" w:hAnsi="仿宋_GB2312" w:eastAsia="仿宋_GB2312" w:cs="仿宋_GB2312"/>
          <w:b w:val="0"/>
          <w:bCs w:val="0"/>
          <w:color w:val="000000" w:themeColor="text1"/>
          <w:sz w:val="32"/>
          <w:szCs w:val="32"/>
          <w:highlight w:val="none"/>
          <w14:textFill>
            <w14:solidFill>
              <w14:schemeClr w14:val="tx1"/>
            </w14:solidFill>
          </w14:textFill>
        </w:rPr>
        <w:t>达100%。</w:t>
      </w:r>
      <w:r>
        <w:rPr>
          <w:rFonts w:hint="eastAsia" w:ascii="仿宋_GB2312" w:hAnsi="仿宋_GB2312" w:eastAsia="仿宋_GB2312" w:cs="仿宋_GB2312"/>
          <w:b w:val="0"/>
          <w:bCs w:val="0"/>
          <w:color w:val="000000" w:themeColor="text1"/>
          <w:sz w:val="32"/>
          <w:szCs w:val="32"/>
          <w:highlight w:val="none"/>
          <w:lang w:eastAsia="zh-CN"/>
          <w14:textFill>
            <w14:solidFill>
              <w14:schemeClr w14:val="tx1"/>
            </w14:solidFill>
          </w14:textFill>
        </w:rPr>
        <w:t>五是</w:t>
      </w:r>
      <w:r>
        <w:rPr>
          <w:rFonts w:hint="eastAsia" w:ascii="仿宋_GB2312" w:hAnsi="仿宋_GB2312" w:eastAsia="仿宋_GB2312" w:cs="仿宋_GB2312"/>
          <w:b w:val="0"/>
          <w:bCs w:val="0"/>
          <w:color w:val="000000" w:themeColor="text1"/>
          <w:sz w:val="32"/>
          <w:szCs w:val="32"/>
          <w:highlight w:val="none"/>
          <w14:textFill>
            <w14:solidFill>
              <w14:schemeClr w14:val="tx1"/>
            </w14:solidFill>
          </w14:textFill>
        </w:rPr>
        <w:t>护航养护，路况提升保平安</w:t>
      </w:r>
      <w:r>
        <w:rPr>
          <w:rFonts w:hint="eastAsia" w:ascii="仿宋_GB2312" w:hAnsi="仿宋_GB2312" w:eastAsia="仿宋_GB2312" w:cs="仿宋_GB2312"/>
          <w:b w:val="0"/>
          <w:bCs w:val="0"/>
          <w:color w:val="000000" w:themeColor="text1"/>
          <w:sz w:val="32"/>
          <w:szCs w:val="32"/>
          <w:highlight w:val="none"/>
          <w:lang w:eastAsia="zh-CN"/>
          <w14:textFill>
            <w14:solidFill>
              <w14:schemeClr w14:val="tx1"/>
            </w14:solidFill>
          </w14:textFill>
        </w:rPr>
        <w:t>。在大中修工程监督方面，积极对接上级工作计划，提前谋划监督重点，扎实开展中间巡检，落实项目交工核验，</w:t>
      </w:r>
      <w:r>
        <w:rPr>
          <w:rFonts w:hint="eastAsia" w:ascii="仿宋_GB2312" w:hAnsi="仿宋_GB2312" w:eastAsia="仿宋_GB2312" w:cs="仿宋_GB2312"/>
          <w:b w:val="0"/>
          <w:bCs w:val="0"/>
          <w:color w:val="000000" w:themeColor="text1"/>
          <w:sz w:val="32"/>
          <w:szCs w:val="32"/>
          <w:highlight w:val="none"/>
          <w14:textFill>
            <w14:solidFill>
              <w14:schemeClr w14:val="tx1"/>
            </w14:solidFill>
          </w14:textFill>
        </w:rPr>
        <w:t>为项目平安建设保驾护航。</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b w:val="0"/>
          <w:bCs w:val="0"/>
        </w:rPr>
      </w:pPr>
      <w:r>
        <w:rPr>
          <w:rFonts w:hint="eastAsia" w:ascii="仿宋_GB2312" w:hAnsi="仿宋_GB2312" w:eastAsia="仿宋_GB2312" w:cs="仿宋_GB2312"/>
          <w:b w:val="0"/>
          <w:bCs w:val="0"/>
          <w:color w:val="000000" w:themeColor="text1"/>
          <w:sz w:val="32"/>
          <w:szCs w:val="32"/>
          <w:highlight w:val="none"/>
          <w14:textFill>
            <w14:solidFill>
              <w14:schemeClr w14:val="tx1"/>
            </w14:solidFill>
          </w14:textFill>
        </w:rPr>
        <w:t>（三）安全监</w:t>
      </w:r>
      <w:r>
        <w:rPr>
          <w:rFonts w:hint="eastAsia" w:ascii="仿宋_GB2312" w:hAnsi="仿宋_GB2312" w:eastAsia="仿宋_GB2312" w:cs="仿宋_GB2312"/>
          <w:b w:val="0"/>
          <w:bCs w:val="0"/>
          <w:color w:val="000000" w:themeColor="text1"/>
          <w:sz w:val="32"/>
          <w:szCs w:val="32"/>
          <w:highlight w:val="none"/>
          <w:lang w:eastAsia="zh-CN"/>
          <w14:textFill>
            <w14:solidFill>
              <w14:schemeClr w14:val="tx1"/>
            </w14:solidFill>
          </w14:textFill>
        </w:rPr>
        <w:t>管</w:t>
      </w:r>
      <w:r>
        <w:rPr>
          <w:rFonts w:hint="eastAsia" w:ascii="仿宋_GB2312" w:hAnsi="仿宋_GB2312" w:eastAsia="仿宋_GB2312" w:cs="仿宋_GB2312"/>
          <w:b w:val="0"/>
          <w:bCs w:val="0"/>
          <w:color w:val="000000" w:themeColor="text1"/>
          <w:sz w:val="32"/>
          <w:szCs w:val="32"/>
          <w:highlight w:val="none"/>
          <w14:textFill>
            <w14:solidFill>
              <w14:schemeClr w14:val="tx1"/>
            </w14:solidFill>
          </w14:textFill>
        </w:rPr>
        <w:t>全覆盖，筑牢红线</w:t>
      </w:r>
      <w:r>
        <w:rPr>
          <w:rFonts w:hint="eastAsia" w:ascii="仿宋_GB2312" w:hAnsi="仿宋_GB2312" w:eastAsia="仿宋_GB2312" w:cs="仿宋_GB2312"/>
          <w:b w:val="0"/>
          <w:bCs w:val="0"/>
          <w:color w:val="000000" w:themeColor="text1"/>
          <w:sz w:val="32"/>
          <w:szCs w:val="32"/>
          <w:highlight w:val="none"/>
          <w:lang w:eastAsia="zh-CN"/>
          <w14:textFill>
            <w14:solidFill>
              <w14:schemeClr w14:val="tx1"/>
            </w14:solidFill>
          </w14:textFill>
        </w:rPr>
        <w:t>护</w:t>
      </w:r>
      <w:r>
        <w:rPr>
          <w:rFonts w:hint="eastAsia" w:ascii="仿宋_GB2312" w:hAnsi="仿宋_GB2312" w:eastAsia="仿宋_GB2312" w:cs="仿宋_GB2312"/>
          <w:b w:val="0"/>
          <w:bCs w:val="0"/>
          <w:color w:val="000000" w:themeColor="text1"/>
          <w:sz w:val="32"/>
          <w:szCs w:val="32"/>
          <w:highlight w:val="none"/>
          <w14:textFill>
            <w14:solidFill>
              <w14:schemeClr w14:val="tx1"/>
            </w14:solidFill>
          </w14:textFill>
        </w:rPr>
        <w:t>平安‌</w:t>
      </w:r>
    </w:p>
    <w:p>
      <w:pPr>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b w:val="0"/>
          <w:bCs w:val="0"/>
          <w:color w:val="000000" w:themeColor="text1"/>
          <w:sz w:val="32"/>
          <w:szCs w:val="32"/>
          <w:highlight w:val="none"/>
          <w14:textFill>
            <w14:solidFill>
              <w14:schemeClr w14:val="tx1"/>
            </w14:solidFill>
          </w14:textFill>
        </w:rPr>
      </w:pPr>
      <w:r>
        <w:rPr>
          <w:rFonts w:hint="eastAsia" w:ascii="仿宋_GB2312" w:hAnsi="仿宋_GB2312" w:eastAsia="仿宋_GB2312" w:cs="仿宋_GB2312"/>
          <w:b w:val="0"/>
          <w:bCs w:val="0"/>
          <w:sz w:val="32"/>
          <w:szCs w:val="32"/>
          <w:lang w:eastAsia="zh-CN"/>
        </w:rPr>
        <w:t>一是</w:t>
      </w:r>
      <w:r>
        <w:rPr>
          <w:rFonts w:hint="eastAsia" w:ascii="仿宋_GB2312" w:hAnsi="仿宋_GB2312" w:eastAsia="仿宋_GB2312" w:cs="仿宋_GB2312"/>
          <w:b w:val="0"/>
          <w:bCs w:val="0"/>
          <w:sz w:val="32"/>
          <w:szCs w:val="32"/>
        </w:rPr>
        <w:t>提级督办</w:t>
      </w:r>
      <w:r>
        <w:rPr>
          <w:rFonts w:hint="eastAsia" w:ascii="仿宋_GB2312" w:hAnsi="仿宋_GB2312" w:eastAsia="仿宋_GB2312" w:cs="仿宋_GB2312"/>
          <w:b w:val="0"/>
          <w:bCs w:val="0"/>
          <w:sz w:val="32"/>
          <w:szCs w:val="32"/>
          <w:lang w:eastAsia="zh-CN"/>
        </w:rPr>
        <w:t>促</w:t>
      </w:r>
      <w:r>
        <w:rPr>
          <w:rFonts w:hint="eastAsia" w:ascii="仿宋_GB2312" w:hAnsi="仿宋_GB2312" w:eastAsia="仿宋_GB2312" w:cs="仿宋_GB2312"/>
          <w:b w:val="0"/>
          <w:bCs w:val="0"/>
          <w:sz w:val="32"/>
          <w:szCs w:val="32"/>
        </w:rPr>
        <w:t>整改，隐患治理见实效</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针对工程建设中存在的违法违规行为，我站采取提级督办措施，形成强大监管压力</w:t>
      </w:r>
      <w:r>
        <w:rPr>
          <w:rFonts w:hint="eastAsia" w:ascii="仿宋_GB2312" w:hAnsi="仿宋_GB2312" w:eastAsia="仿宋_GB2312" w:cs="仿宋_GB2312"/>
          <w:b w:val="0"/>
          <w:bCs w:val="0"/>
          <w:sz w:val="32"/>
          <w:szCs w:val="32"/>
          <w:lang w:eastAsia="zh-CN"/>
        </w:rPr>
        <w:t>促整改</w:t>
      </w:r>
      <w:r>
        <w:rPr>
          <w:rFonts w:hint="eastAsia" w:ascii="仿宋_GB2312" w:hAnsi="仿宋_GB2312" w:eastAsia="仿宋_GB2312" w:cs="仿宋_GB2312"/>
          <w:b w:val="0"/>
          <w:bCs w:val="0"/>
          <w:sz w:val="32"/>
          <w:szCs w:val="32"/>
        </w:rPr>
        <w:t>。截至目前，</w:t>
      </w:r>
      <w:r>
        <w:rPr>
          <w:rFonts w:hint="eastAsia" w:ascii="仿宋_GB2312" w:hAnsi="仿宋_GB2312" w:eastAsia="仿宋_GB2312" w:cs="仿宋_GB2312"/>
          <w:b w:val="0"/>
          <w:bCs w:val="0"/>
          <w:sz w:val="32"/>
          <w:szCs w:val="32"/>
          <w:lang w:eastAsia="zh-CN"/>
        </w:rPr>
        <w:t>因未落实交安设施“三同时”</w:t>
      </w:r>
      <w:r>
        <w:rPr>
          <w:rFonts w:hint="eastAsia" w:ascii="仿宋_GB2312" w:hAnsi="仿宋_GB2312" w:eastAsia="仿宋_GB2312" w:cs="仿宋_GB2312"/>
          <w:b w:val="0"/>
          <w:bCs w:val="0"/>
          <w:sz w:val="32"/>
          <w:szCs w:val="32"/>
        </w:rPr>
        <w:t>提级市应安委督办项目2个</w:t>
      </w:r>
      <w:r>
        <w:rPr>
          <w:rFonts w:hint="eastAsia" w:ascii="仿宋_GB2312" w:hAnsi="仿宋_GB2312" w:eastAsia="仿宋_GB2312" w:cs="仿宋_GB2312"/>
          <w:b w:val="0"/>
          <w:bCs w:val="0"/>
          <w:sz w:val="32"/>
          <w:szCs w:val="32"/>
          <w:lang w:eastAsia="zh-CN"/>
        </w:rPr>
        <w:t>，因未报先建、隐患不及时整改等问题提请</w:t>
      </w:r>
      <w:r>
        <w:rPr>
          <w:rFonts w:hint="eastAsia" w:ascii="仿宋_GB2312" w:hAnsi="仿宋_GB2312" w:eastAsia="仿宋_GB2312" w:cs="仿宋_GB2312"/>
          <w:b w:val="0"/>
          <w:bCs w:val="0"/>
          <w:sz w:val="32"/>
          <w:szCs w:val="32"/>
        </w:rPr>
        <w:t>市局安委督办项目6个</w:t>
      </w:r>
      <w:r>
        <w:rPr>
          <w:rFonts w:hint="eastAsia" w:ascii="仿宋_GB2312" w:hAnsi="仿宋_GB2312" w:eastAsia="仿宋_GB2312" w:cs="仿宋_GB2312"/>
          <w:b w:val="0"/>
          <w:bCs w:val="0"/>
          <w:sz w:val="32"/>
          <w:szCs w:val="32"/>
          <w:lang w:eastAsia="zh-CN"/>
        </w:rPr>
        <w:t>，因</w:t>
      </w:r>
      <w:r>
        <w:rPr>
          <w:rFonts w:hint="eastAsia" w:ascii="仿宋_GB2312" w:hAnsi="仿宋_GB2312" w:eastAsia="仿宋_GB2312" w:cs="仿宋_GB2312"/>
          <w:b w:val="0"/>
          <w:bCs w:val="0"/>
          <w:sz w:val="32"/>
          <w:szCs w:val="32"/>
        </w:rPr>
        <w:t>安全管理行为不规范、临时防护缺位等情况全市视频警示通报12个。通过严格督办，所有隐患均得到及时整治和有效管控。</w:t>
      </w:r>
      <w:r>
        <w:rPr>
          <w:rFonts w:hint="eastAsia" w:ascii="仿宋_GB2312" w:hAnsi="仿宋_GB2312" w:eastAsia="仿宋_GB2312" w:cs="仿宋_GB2312"/>
          <w:b w:val="0"/>
          <w:bCs w:val="0"/>
          <w:sz w:val="32"/>
          <w:szCs w:val="32"/>
          <w:lang w:eastAsia="zh-CN"/>
        </w:rPr>
        <w:t>二是</w:t>
      </w:r>
      <w:r>
        <w:rPr>
          <w:rFonts w:hint="eastAsia" w:ascii="仿宋_GB2312" w:hAnsi="仿宋_GB2312" w:eastAsia="仿宋_GB2312" w:cs="仿宋_GB2312"/>
          <w:b w:val="0"/>
          <w:bCs w:val="0"/>
          <w:sz w:val="32"/>
          <w:szCs w:val="32"/>
        </w:rPr>
        <w:t>安全</w:t>
      </w:r>
      <w:r>
        <w:rPr>
          <w:rFonts w:hint="eastAsia" w:ascii="仿宋_GB2312" w:hAnsi="仿宋_GB2312" w:eastAsia="仿宋_GB2312" w:cs="仿宋_GB2312"/>
          <w:b w:val="0"/>
          <w:bCs w:val="0"/>
          <w:sz w:val="32"/>
          <w:szCs w:val="32"/>
          <w:lang w:eastAsia="zh-CN"/>
        </w:rPr>
        <w:t>宣教强</w:t>
      </w:r>
      <w:r>
        <w:rPr>
          <w:rFonts w:hint="eastAsia" w:ascii="仿宋_GB2312" w:hAnsi="仿宋_GB2312" w:eastAsia="仿宋_GB2312" w:cs="仿宋_GB2312"/>
          <w:b w:val="0"/>
          <w:bCs w:val="0"/>
          <w:sz w:val="32"/>
          <w:szCs w:val="32"/>
        </w:rPr>
        <w:t>赋能，安全意识再提升</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我站全程指导协办2025年怀化市交通建设安全质量业务培训班，共有160余人参与培训。在“安全生产月”期间，各交通建设项目积极响应，广泛开展各类安全活动。累计开展教育培训9场，组织观看警示教育片9场，排查身边安全隐患55余处，参与人数达220余人次</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进一步增强了全员的安全意识和应急处置能力</w:t>
      </w:r>
      <w:r>
        <w:rPr>
          <w:rFonts w:hint="eastAsia" w:ascii="仿宋_GB2312" w:hAnsi="仿宋_GB2312" w:eastAsia="仿宋_GB2312" w:cs="仿宋_GB2312"/>
          <w:b w:val="0"/>
          <w:bCs w:val="0"/>
          <w:sz w:val="32"/>
          <w:szCs w:val="32"/>
          <w:lang w:eastAsia="zh-CN"/>
        </w:rPr>
        <w:t>。三是</w:t>
      </w:r>
      <w:r>
        <w:rPr>
          <w:rFonts w:hint="eastAsia" w:ascii="仿宋_GB2312" w:hAnsi="仿宋_GB2312" w:eastAsia="仿宋_GB2312" w:cs="仿宋_GB2312"/>
          <w:b w:val="0"/>
          <w:bCs w:val="0"/>
          <w:sz w:val="32"/>
          <w:szCs w:val="32"/>
        </w:rPr>
        <w:t>制度落实严要求，平安工地筑根基</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我站以“赋码管理”为抓手，以“隐患清零”为标尺，督促参建单位严格落实“一会三卡”制度、十项重大风险管控、全员安全生产责任制等安全管理制度。</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000000" w:themeColor="text1"/>
          <w:sz w:val="32"/>
          <w:szCs w:val="32"/>
          <w:highlight w:val="none"/>
          <w14:textFill>
            <w14:solidFill>
              <w14:schemeClr w14:val="tx1"/>
            </w14:solidFill>
          </w14:textFill>
        </w:rPr>
      </w:pPr>
      <w:r>
        <w:rPr>
          <w:rFonts w:hint="eastAsia" w:ascii="仿宋_GB2312" w:hAnsi="仿宋_GB2312" w:eastAsia="仿宋_GB2312" w:cs="仿宋_GB2312"/>
          <w:b w:val="0"/>
          <w:bCs w:val="0"/>
          <w:color w:val="000000" w:themeColor="text1"/>
          <w:sz w:val="32"/>
          <w:szCs w:val="32"/>
          <w:highlight w:val="none"/>
          <w14:textFill>
            <w14:solidFill>
              <w14:schemeClr w14:val="tx1"/>
            </w14:solidFill>
          </w14:textFill>
        </w:rPr>
        <w:t>（四）造价监督全</w:t>
      </w:r>
      <w:r>
        <w:rPr>
          <w:rFonts w:hint="eastAsia" w:ascii="仿宋_GB2312" w:hAnsi="仿宋_GB2312" w:eastAsia="仿宋_GB2312" w:cs="仿宋_GB2312"/>
          <w:b w:val="0"/>
          <w:bCs w:val="0"/>
          <w:color w:val="000000" w:themeColor="text1"/>
          <w:sz w:val="32"/>
          <w:szCs w:val="32"/>
          <w:highlight w:val="none"/>
          <w:lang w:eastAsia="zh-CN"/>
          <w14:textFill>
            <w14:solidFill>
              <w14:schemeClr w14:val="tx1"/>
            </w14:solidFill>
          </w14:textFill>
        </w:rPr>
        <w:t>过程</w:t>
      </w:r>
      <w:r>
        <w:rPr>
          <w:rFonts w:hint="eastAsia" w:ascii="仿宋_GB2312" w:hAnsi="仿宋_GB2312" w:eastAsia="仿宋_GB2312" w:cs="仿宋_GB2312"/>
          <w:b w:val="0"/>
          <w:bCs w:val="0"/>
          <w:color w:val="000000" w:themeColor="text1"/>
          <w:sz w:val="32"/>
          <w:szCs w:val="32"/>
          <w:highlight w:val="none"/>
          <w14:textFill>
            <w14:solidFill>
              <w14:schemeClr w14:val="tx1"/>
            </w14:solidFill>
          </w14:textFill>
        </w:rPr>
        <w:t>，精细管理见实效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sz w:val="32"/>
          <w:szCs w:val="32"/>
          <w:lang w:eastAsia="zh-CN"/>
        </w:rPr>
        <w:t>一是</w:t>
      </w:r>
      <w:r>
        <w:rPr>
          <w:rFonts w:hint="eastAsia" w:ascii="仿宋_GB2312" w:hAnsi="仿宋_GB2312" w:eastAsia="仿宋_GB2312" w:cs="仿宋_GB2312"/>
          <w:b w:val="0"/>
          <w:bCs w:val="0"/>
          <w:sz w:val="32"/>
          <w:szCs w:val="32"/>
        </w:rPr>
        <w:t>严格造价审核</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color w:val="000000" w:themeColor="text1"/>
          <w:sz w:val="32"/>
          <w:szCs w:val="32"/>
          <w:highlight w:val="none"/>
          <w14:textFill>
            <w14:solidFill>
              <w14:schemeClr w14:val="tx1"/>
            </w14:solidFill>
          </w14:textFill>
        </w:rPr>
        <w:t>加强对交通建设项目造价的审核管理，严格执行造价审核程序，确保造价审核结果的准确性和公正性。2025年共计审查项目14个，其中审查项目概预算项目13个，金额13.19亿元；审查变更项目1个，金额987.17万元。</w:t>
      </w:r>
      <w:r>
        <w:rPr>
          <w:rFonts w:hint="eastAsia" w:ascii="仿宋_GB2312" w:hAnsi="仿宋_GB2312" w:eastAsia="仿宋_GB2312" w:cs="仿宋_GB2312"/>
          <w:b w:val="0"/>
          <w:bCs w:val="0"/>
          <w:sz w:val="32"/>
          <w:szCs w:val="32"/>
          <w:lang w:eastAsia="zh-CN"/>
        </w:rPr>
        <w:t>二是加强材料价格监控。</w:t>
      </w:r>
      <w:r>
        <w:rPr>
          <w:rFonts w:hint="eastAsia" w:ascii="仿宋_GB2312" w:hAnsi="仿宋_GB2312" w:eastAsia="仿宋_GB2312" w:cs="仿宋_GB2312"/>
          <w:b w:val="0"/>
          <w:bCs w:val="0"/>
          <w:color w:val="000000" w:themeColor="text1"/>
          <w:sz w:val="32"/>
          <w:szCs w:val="32"/>
          <w:highlight w:val="none"/>
          <w14:textFill>
            <w14:solidFill>
              <w14:schemeClr w14:val="tx1"/>
            </w14:solidFill>
          </w14:textFill>
        </w:rPr>
        <w:t>建立材料价格信息采集和分析机制，及时掌握市场材料价格动态，为项目建设提供准确的材料价格信息。定期发布材料价格信息，指导参建单位合理确定材料价格</w:t>
      </w:r>
      <w:r>
        <w:rPr>
          <w:rFonts w:hint="eastAsia" w:ascii="仿宋_GB2312" w:hAnsi="仿宋_GB2312" w:eastAsia="仿宋_GB2312" w:cs="仿宋_GB2312"/>
          <w:b w:val="0"/>
          <w:bCs w:val="0"/>
          <w:color w:val="000000" w:themeColor="text1"/>
          <w:sz w:val="32"/>
          <w:szCs w:val="32"/>
          <w:highlight w:val="none"/>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32"/>
          <w:szCs w:val="32"/>
          <w:highlight w:val="none"/>
          <w14:textFill>
            <w14:solidFill>
              <w14:schemeClr w14:val="tx1"/>
            </w14:solidFill>
          </w14:textFill>
        </w:rPr>
        <w:t>交通建材价格信息采集工作连续多年获得“全省交通建材价格信息采集先进单位”的荣誉称号。</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lang w:eastAsia="zh-CN"/>
          <w14:textFill>
            <w14:solidFill>
              <w14:schemeClr w14:val="tx1"/>
            </w14:solidFill>
          </w14:textFill>
        </w:rPr>
        <w:t>九</w:t>
      </w:r>
      <w:r>
        <w:rPr>
          <w:rFonts w:hint="eastAsia" w:ascii="黑体" w:hAnsi="黑体" w:eastAsia="黑体" w:cs="黑体"/>
          <w:color w:val="000000" w:themeColor="text1"/>
          <w:sz w:val="32"/>
          <w:szCs w:val="32"/>
          <w14:textFill>
            <w14:solidFill>
              <w14:schemeClr w14:val="tx1"/>
            </w14:solidFill>
          </w14:textFill>
        </w:rPr>
        <w:t>、存在的问题及原因分析</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2025年本单位能</w:t>
      </w:r>
      <w:r>
        <w:rPr>
          <w:rFonts w:hint="eastAsia" w:ascii="仿宋_GB2312" w:hAnsi="仿宋_GB2312" w:eastAsia="仿宋_GB2312" w:cs="仿宋_GB2312"/>
          <w:color w:val="000000" w:themeColor="text1"/>
          <w:sz w:val="32"/>
          <w:szCs w:val="32"/>
          <w14:textFill>
            <w14:solidFill>
              <w14:schemeClr w14:val="tx1"/>
            </w14:solidFill>
          </w14:textFill>
        </w:rPr>
        <w:t>认真组织预决算及绩效管理工作，按时完成预决算编制和上报工作</w:t>
      </w:r>
      <w:r>
        <w:rPr>
          <w:rFonts w:hint="eastAsia" w:ascii="仿宋_GB2312" w:hAnsi="仿宋_GB2312" w:eastAsia="仿宋_GB2312" w:cs="仿宋_GB2312"/>
          <w:color w:val="000000" w:themeColor="text1"/>
          <w:sz w:val="32"/>
          <w:szCs w:val="32"/>
          <w:lang w:eastAsia="zh-CN"/>
          <w14:textFill>
            <w14:solidFill>
              <w14:schemeClr w14:val="tx1"/>
            </w14:solidFill>
          </w14:textFill>
        </w:rPr>
        <w:t>，但是仍需要加强对预算绩效管理执行力度。还要更加合理</w:t>
      </w:r>
      <w:r>
        <w:rPr>
          <w:rFonts w:hint="eastAsia" w:ascii="仿宋" w:hAnsi="仿宋" w:eastAsia="仿宋"/>
          <w:color w:val="000000" w:themeColor="text1"/>
          <w:sz w:val="32"/>
          <w:szCs w:val="32"/>
          <w14:textFill>
            <w14:solidFill>
              <w14:schemeClr w14:val="tx1"/>
            </w14:solidFill>
          </w14:textFill>
        </w:rPr>
        <w:t>调用预算资金开展项目</w:t>
      </w:r>
      <w:r>
        <w:rPr>
          <w:rFonts w:hint="eastAsia" w:ascii="仿宋" w:hAnsi="仿宋" w:eastAsia="仿宋"/>
          <w:color w:val="000000" w:themeColor="text1"/>
          <w:sz w:val="32"/>
          <w:szCs w:val="32"/>
          <w:lang w:eastAsia="zh-CN"/>
          <w14:textFill>
            <w14:solidFill>
              <w14:schemeClr w14:val="tx1"/>
            </w14:solidFill>
          </w14:textFill>
        </w:rPr>
        <w:t>，提升资金使用效率，增加预算执行的刚性。</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lang w:eastAsia="zh-CN"/>
          <w14:textFill>
            <w14:solidFill>
              <w14:schemeClr w14:val="tx1"/>
            </w14:solidFill>
          </w14:textFill>
        </w:rPr>
        <w:t>十、</w:t>
      </w:r>
      <w:r>
        <w:rPr>
          <w:rFonts w:hint="eastAsia" w:ascii="黑体" w:hAnsi="黑体" w:eastAsia="黑体" w:cs="黑体"/>
          <w:color w:val="000000" w:themeColor="text1"/>
          <w:sz w:val="32"/>
          <w:szCs w:val="32"/>
          <w14:textFill>
            <w14:solidFill>
              <w14:schemeClr w14:val="tx1"/>
            </w14:solidFill>
          </w14:textFill>
        </w:rPr>
        <w:t>下一步改进措施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提高对预算绩效管理的认识度</w:t>
      </w:r>
      <w:r>
        <w:rPr>
          <w:rFonts w:hint="eastAsia" w:ascii="仿宋_GB2312" w:hAnsi="仿宋_GB2312" w:eastAsia="仿宋_GB2312" w:cs="仿宋_GB2312"/>
          <w:color w:val="000000" w:themeColor="text1"/>
          <w:sz w:val="32"/>
          <w:szCs w:val="32"/>
          <w:lang w:eastAsia="zh-CN"/>
          <w14:textFill>
            <w14:solidFill>
              <w14:schemeClr w14:val="tx1"/>
            </w14:solidFill>
          </w14:textFill>
        </w:rPr>
        <w:t>，规范资金使用流程；设定有效的监督机制，动态评估预算绩效和项目资金使用情况，</w:t>
      </w:r>
      <w:r>
        <w:rPr>
          <w:rFonts w:hint="eastAsia" w:ascii="仿宋_GB2312" w:hAnsi="仿宋_GB2312" w:eastAsia="仿宋_GB2312" w:cs="仿宋_GB2312"/>
          <w:color w:val="000000" w:themeColor="text1"/>
          <w:sz w:val="32"/>
          <w:szCs w:val="32"/>
          <w14:textFill>
            <w14:solidFill>
              <w14:schemeClr w14:val="tx1"/>
            </w14:solidFill>
          </w14:textFill>
        </w:rPr>
        <w:t>提高预算执行力度。</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color w:val="000000" w:themeColor="text1"/>
          <w:sz w:val="32"/>
          <w:szCs w:val="32"/>
          <w:lang w:eastAsia="zh-CN"/>
          <w14:textFill>
            <w14:solidFill>
              <w14:schemeClr w14:val="tx1"/>
            </w14:solidFill>
          </w14:textFill>
        </w:rPr>
      </w:pPr>
      <w:r>
        <w:rPr>
          <w:rFonts w:hint="eastAsia" w:ascii="黑体" w:hAnsi="黑体" w:eastAsia="黑体" w:cs="黑体"/>
          <w:color w:val="000000" w:themeColor="text1"/>
          <w:sz w:val="32"/>
          <w:szCs w:val="32"/>
          <w:lang w:eastAsia="zh-CN"/>
          <w14:textFill>
            <w14:solidFill>
              <w14:schemeClr w14:val="tx1"/>
            </w14:solidFill>
          </w14:textFill>
        </w:rPr>
        <w:t>十一、绩效自评结果拟应用和公开情况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我</w:t>
      </w:r>
      <w:r>
        <w:rPr>
          <w:rFonts w:hint="eastAsia" w:ascii="仿宋_GB2312" w:hAnsi="仿宋_GB2312" w:eastAsia="仿宋_GB2312" w:cs="仿宋_GB2312"/>
          <w:color w:val="000000" w:themeColor="text1"/>
          <w:sz w:val="32"/>
          <w:szCs w:val="32"/>
          <w:lang w:eastAsia="zh-CN"/>
          <w14:textFill>
            <w14:solidFill>
              <w14:schemeClr w14:val="tx1"/>
            </w14:solidFill>
          </w14:textFill>
        </w:rPr>
        <w:t>站</w:t>
      </w:r>
      <w:r>
        <w:rPr>
          <w:rFonts w:hint="eastAsia" w:ascii="仿宋_GB2312" w:hAnsi="仿宋_GB2312" w:eastAsia="仿宋_GB2312" w:cs="仿宋_GB2312"/>
          <w:color w:val="000000" w:themeColor="text1"/>
          <w:sz w:val="32"/>
          <w:szCs w:val="32"/>
          <w14:textFill>
            <w14:solidFill>
              <w14:schemeClr w14:val="tx1"/>
            </w14:solidFill>
          </w14:textFill>
        </w:rPr>
        <w:t>将对绩效自评结果进行总结分析，将其作为本部门预算安排、完善政策、改进管理的重要依据，同时将于202</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6</w:t>
      </w:r>
      <w:r>
        <w:rPr>
          <w:rFonts w:hint="eastAsia" w:ascii="仿宋_GB2312" w:hAnsi="仿宋_GB2312" w:eastAsia="仿宋_GB2312" w:cs="仿宋_GB2312"/>
          <w:color w:val="000000" w:themeColor="text1"/>
          <w:sz w:val="32"/>
          <w:szCs w:val="32"/>
          <w14:textFill>
            <w14:solidFill>
              <w14:schemeClr w14:val="tx1"/>
            </w14:solidFill>
          </w14:textFill>
        </w:rPr>
        <w:t>年6月30日前，在部门门户网站上公开部门整体支出绩效自评报告，接受社会公众监督。</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color w:val="000000" w:themeColor="text1"/>
          <w:sz w:val="32"/>
          <w:szCs w:val="32"/>
          <w:lang w:eastAsia="zh-CN"/>
          <w14:textFill>
            <w14:solidFill>
              <w14:schemeClr w14:val="tx1"/>
            </w14:solidFill>
          </w14:textFill>
        </w:rPr>
      </w:pPr>
      <w:r>
        <w:rPr>
          <w:rFonts w:hint="eastAsia" w:ascii="黑体" w:hAnsi="黑体" w:eastAsia="黑体" w:cs="黑体"/>
          <w:color w:val="000000" w:themeColor="text1"/>
          <w:sz w:val="32"/>
          <w:szCs w:val="32"/>
          <w:lang w:eastAsia="zh-CN"/>
          <w14:textFill>
            <w14:solidFill>
              <w14:schemeClr w14:val="tx1"/>
            </w14:solidFill>
          </w14:textFill>
        </w:rPr>
        <w:t>十二、其他需要说明的情况</w:t>
      </w:r>
    </w:p>
    <w:p>
      <w:pPr>
        <w:widowControl/>
        <w:shd w:val="clear" w:color="auto" w:fill="FFFFFF"/>
        <w:spacing w:line="600" w:lineRule="atLeast"/>
        <w:ind w:firstLine="632"/>
        <w:rPr>
          <w:rFonts w:hint="eastAsia" w:ascii="仿宋" w:hAnsi="仿宋" w:eastAsia="仿宋"/>
          <w:spacing w:val="-2"/>
          <w:sz w:val="32"/>
          <w:szCs w:val="32"/>
          <w:lang w:eastAsia="zh-CN"/>
        </w:rPr>
      </w:pPr>
      <w:r>
        <w:rPr>
          <w:rFonts w:hint="eastAsia" w:ascii="仿宋" w:hAnsi="仿宋" w:eastAsia="仿宋"/>
          <w:spacing w:val="-2"/>
          <w:sz w:val="32"/>
          <w:szCs w:val="32"/>
          <w:lang w:eastAsia="zh-CN"/>
        </w:rPr>
        <w:t>整体支出报告应包括以下附件：</w:t>
      </w:r>
    </w:p>
    <w:p>
      <w:pPr>
        <w:widowControl/>
        <w:shd w:val="clear" w:color="auto" w:fill="FFFFFF"/>
        <w:spacing w:line="600" w:lineRule="atLeast"/>
        <w:ind w:firstLine="632"/>
        <w:rPr>
          <w:rFonts w:hint="eastAsia" w:ascii="仿宋" w:hAnsi="仿宋" w:eastAsia="仿宋"/>
          <w:spacing w:val="-2"/>
          <w:sz w:val="32"/>
          <w:szCs w:val="32"/>
          <w:lang w:val="en-US" w:eastAsia="zh-CN"/>
        </w:rPr>
      </w:pPr>
      <w:r>
        <w:rPr>
          <w:rFonts w:hint="eastAsia" w:ascii="仿宋" w:hAnsi="仿宋" w:eastAsia="仿宋"/>
          <w:spacing w:val="-2"/>
          <w:sz w:val="32"/>
          <w:szCs w:val="32"/>
          <w:lang w:val="en-US" w:eastAsia="zh-CN"/>
        </w:rPr>
        <w:t>1.部门整体支出绩效评价基础数据表</w:t>
      </w:r>
    </w:p>
    <w:p>
      <w:pPr>
        <w:widowControl/>
        <w:shd w:val="clear" w:color="auto" w:fill="FFFFFF"/>
        <w:spacing w:line="600" w:lineRule="atLeast"/>
        <w:ind w:firstLine="632"/>
        <w:rPr>
          <w:rFonts w:hint="eastAsia" w:ascii="仿宋" w:hAnsi="仿宋" w:eastAsia="仿宋"/>
          <w:spacing w:val="-2"/>
          <w:sz w:val="32"/>
          <w:szCs w:val="32"/>
          <w:lang w:val="en-US" w:eastAsia="zh-CN"/>
        </w:rPr>
      </w:pPr>
      <w:r>
        <w:rPr>
          <w:rFonts w:hint="eastAsia" w:ascii="仿宋" w:hAnsi="仿宋" w:eastAsia="仿宋"/>
          <w:spacing w:val="-2"/>
          <w:sz w:val="32"/>
          <w:szCs w:val="32"/>
          <w:lang w:val="en-US" w:eastAsia="zh-CN"/>
        </w:rPr>
        <w:t>2.部门整体支出绩效自评表</w:t>
      </w:r>
    </w:p>
    <w:p>
      <w:pPr>
        <w:widowControl/>
        <w:shd w:val="clear" w:color="auto" w:fill="FFFFFF"/>
        <w:spacing w:line="600" w:lineRule="atLeast"/>
        <w:ind w:firstLine="632"/>
        <w:rPr>
          <w:rFonts w:hint="default" w:ascii="仿宋" w:hAnsi="仿宋" w:eastAsia="仿宋"/>
          <w:spacing w:val="-2"/>
          <w:sz w:val="32"/>
          <w:szCs w:val="32"/>
          <w:lang w:val="en-US" w:eastAsia="zh-CN"/>
        </w:rPr>
      </w:pPr>
      <w:r>
        <w:rPr>
          <w:rFonts w:hint="eastAsia" w:ascii="仿宋" w:hAnsi="仿宋" w:eastAsia="仿宋"/>
          <w:spacing w:val="-2"/>
          <w:sz w:val="32"/>
          <w:szCs w:val="32"/>
          <w:lang w:val="en-US" w:eastAsia="zh-CN"/>
        </w:rPr>
        <w:t>3.项目支出绩效自评表</w:t>
      </w:r>
    </w:p>
    <w:p>
      <w:pPr>
        <w:keepNext w:val="0"/>
        <w:keepLines w:val="0"/>
        <w:pageBreakBefore w:val="0"/>
        <w:widowControl w:val="0"/>
        <w:kinsoku/>
        <w:wordWrap/>
        <w:overflowPunct/>
        <w:topLinePunct w:val="0"/>
        <w:autoSpaceDE/>
        <w:autoSpaceDN/>
        <w:bidi w:val="0"/>
        <w:adjustRightInd/>
        <w:snapToGrid/>
        <w:spacing w:line="560" w:lineRule="exact"/>
        <w:ind w:firstLine="3200" w:firstLineChars="1000"/>
        <w:textAlignment w:val="auto"/>
        <w:rPr>
          <w:rFonts w:hint="eastAsia" w:ascii="仿宋_GB2312" w:hAnsi="仿宋_GB2312" w:eastAsia="仿宋_GB2312" w:cs="仿宋_GB2312"/>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2730" w:firstLineChars="1300"/>
        <w:textAlignment w:val="auto"/>
        <w:rPr>
          <w:rFonts w:hint="default"/>
          <w:color w:val="000000" w:themeColor="text1"/>
          <w:lang w:val="en-US" w:eastAsia="zh-CN"/>
          <w14:textFill>
            <w14:solidFill>
              <w14:schemeClr w14:val="tx1"/>
            </w14:solidFill>
          </w14:textFill>
        </w:rPr>
      </w:pPr>
    </w:p>
    <w:sectPr>
      <w:footerReference r:id="rId3" w:type="default"/>
      <w:pgSz w:w="11906" w:h="16838"/>
      <w:pgMar w:top="1361" w:right="1701" w:bottom="1361" w:left="170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modern"/>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alibri Light">
    <w:altName w:val="DejaVu Sans"/>
    <w:panose1 w:val="020F0302020204030204"/>
    <w:charset w:val="00"/>
    <w:family w:val="auto"/>
    <w:pitch w:val="default"/>
    <w:sig w:usb0="00000000" w:usb1="00000000" w:usb2="00000000" w:usb3="00000000" w:csb0="2000019F" w:csb1="00000000"/>
  </w:font>
  <w:font w:name="楷体_GB2312">
    <w:altName w:val="方正楷体_GBK"/>
    <w:panose1 w:val="02010609030101010101"/>
    <w:charset w:val="86"/>
    <w:family w:val="auto"/>
    <w:pitch w:val="default"/>
    <w:sig w:usb0="00000000" w:usb1="00000000" w:usb2="00000000" w:usb3="00000000" w:csb0="00000000" w:csb1="00000000"/>
  </w:font>
  <w:font w:name="方正楷体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auto"/>
    <w:pitch w:val="default"/>
    <w:sig w:usb0="00000000" w:usb1="00000000" w:usb2="00000000" w:usb3="00000000" w:csb0="00000000" w:csb1="00000000"/>
  </w:font>
  <w:font w:name="方正仿宋_GBK">
    <w:panose1 w:val="02000000000000000000"/>
    <w:charset w:val="86"/>
    <w:family w:val="auto"/>
    <w:pitch w:val="default"/>
    <w:sig w:usb0="00000001" w:usb1="08000000" w:usb2="00000000" w:usb3="00000000" w:csb0="00040000" w:csb1="00000000"/>
  </w:font>
  <w:font w:name="Times New Roman Regular">
    <w:altName w:val="DejaVu Sans"/>
    <w:panose1 w:val="02020603050405020304"/>
    <w:charset w:val="00"/>
    <w:family w:val="auto"/>
    <w:pitch w:val="default"/>
    <w:sig w:usb0="00000000" w:usb1="00000000" w:usb2="00000009" w:usb3="00000000" w:csb0="400001FF" w:csb1="FFFF0000"/>
  </w:font>
  <w:font w:name="仿宋">
    <w:altName w:val="方正仿宋_GBK"/>
    <w:panose1 w:val="02010609060101010101"/>
    <w:charset w:val="86"/>
    <w:family w:val="auto"/>
    <w:pitch w:val="default"/>
    <w:sig w:usb0="00000000" w:usb1="00000000" w:usb2="00000016" w:usb3="00000000" w:csb0="00040001" w:csb1="00000000"/>
  </w:font>
  <w:font w:name="方正仿宋_GB2312">
    <w:altName w:val="方正仿宋_GBK"/>
    <w:panose1 w:val="02000000000000000000"/>
    <w:charset w:val="86"/>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rPr>
                              <w:rFonts w:hint="eastAsia" w:ascii="方正仿宋_GB2312" w:hAnsi="方正仿宋_GB2312" w:eastAsia="方正仿宋_GB2312" w:cs="方正仿宋_GB2312"/>
                              <w:sz w:val="28"/>
                              <w:szCs w:val="28"/>
                            </w:rPr>
                            <w:fldChar w:fldCharType="begin"/>
                          </w:r>
                          <w:r>
                            <w:rPr>
                              <w:rFonts w:hint="eastAsia" w:ascii="方正仿宋_GB2312" w:hAnsi="方正仿宋_GB2312" w:eastAsia="方正仿宋_GB2312" w:cs="方正仿宋_GB2312"/>
                              <w:sz w:val="28"/>
                              <w:szCs w:val="28"/>
                            </w:rPr>
                            <w:instrText xml:space="preserve"> PAGE  \* MERGEFORMAT </w:instrText>
                          </w:r>
                          <w:r>
                            <w:rPr>
                              <w:rFonts w:hint="eastAsia" w:ascii="方正仿宋_GB2312" w:hAnsi="方正仿宋_GB2312" w:eastAsia="方正仿宋_GB2312" w:cs="方正仿宋_GB2312"/>
                              <w:sz w:val="28"/>
                              <w:szCs w:val="28"/>
                            </w:rPr>
                            <w:fldChar w:fldCharType="separate"/>
                          </w:r>
                          <w:r>
                            <w:rPr>
                              <w:rFonts w:hint="eastAsia" w:ascii="方正仿宋_GB2312" w:hAnsi="方正仿宋_GB2312" w:eastAsia="方正仿宋_GB2312" w:cs="方正仿宋_GB2312"/>
                              <w:sz w:val="28"/>
                              <w:szCs w:val="28"/>
                            </w:rPr>
                            <w:t>1</w:t>
                          </w:r>
                          <w:r>
                            <w:rPr>
                              <w:rFonts w:hint="eastAsia" w:ascii="方正仿宋_GB2312" w:hAnsi="方正仿宋_GB2312" w:eastAsia="方正仿宋_GB2312" w:cs="方正仿宋_GB2312"/>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JIJGtDECAABhBAAADgAAAAAAAAABACAAAAA1&#10;AQAAZHJzL2Uyb0RvYy54bWxQSwUGAAAAAAYABgBZAQAA2AUAAAAA&#10;">
              <v:fill on="f" focussize="0,0"/>
              <v:stroke on="f" weight="0.5pt"/>
              <v:imagedata o:title=""/>
              <o:lock v:ext="edit" aspectratio="f"/>
              <v:textbox inset="0mm,0mm,0mm,0mm" style="mso-fit-shape-to-text:t;">
                <w:txbxContent>
                  <w:p>
                    <w:pPr>
                      <w:pStyle w:val="5"/>
                    </w:pPr>
                    <w:r>
                      <w:rPr>
                        <w:rFonts w:hint="eastAsia" w:ascii="方正仿宋_GB2312" w:hAnsi="方正仿宋_GB2312" w:eastAsia="方正仿宋_GB2312" w:cs="方正仿宋_GB2312"/>
                        <w:sz w:val="28"/>
                        <w:szCs w:val="28"/>
                      </w:rPr>
                      <w:fldChar w:fldCharType="begin"/>
                    </w:r>
                    <w:r>
                      <w:rPr>
                        <w:rFonts w:hint="eastAsia" w:ascii="方正仿宋_GB2312" w:hAnsi="方正仿宋_GB2312" w:eastAsia="方正仿宋_GB2312" w:cs="方正仿宋_GB2312"/>
                        <w:sz w:val="28"/>
                        <w:szCs w:val="28"/>
                      </w:rPr>
                      <w:instrText xml:space="preserve"> PAGE  \* MERGEFORMAT </w:instrText>
                    </w:r>
                    <w:r>
                      <w:rPr>
                        <w:rFonts w:hint="eastAsia" w:ascii="方正仿宋_GB2312" w:hAnsi="方正仿宋_GB2312" w:eastAsia="方正仿宋_GB2312" w:cs="方正仿宋_GB2312"/>
                        <w:sz w:val="28"/>
                        <w:szCs w:val="28"/>
                      </w:rPr>
                      <w:fldChar w:fldCharType="separate"/>
                    </w:r>
                    <w:r>
                      <w:rPr>
                        <w:rFonts w:hint="eastAsia" w:ascii="方正仿宋_GB2312" w:hAnsi="方正仿宋_GB2312" w:eastAsia="方正仿宋_GB2312" w:cs="方正仿宋_GB2312"/>
                        <w:sz w:val="28"/>
                        <w:szCs w:val="28"/>
                      </w:rPr>
                      <w:t>1</w:t>
                    </w:r>
                    <w:r>
                      <w:rPr>
                        <w:rFonts w:hint="eastAsia" w:ascii="方正仿宋_GB2312" w:hAnsi="方正仿宋_GB2312" w:eastAsia="方正仿宋_GB2312" w:cs="方正仿宋_GB2312"/>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3CCB5D"/>
    <w:multiLevelType w:val="singleLevel"/>
    <w:tmpl w:val="903CCB5D"/>
    <w:lvl w:ilvl="0" w:tentative="0">
      <w:start w:val="2"/>
      <w:numFmt w:val="chineseCounting"/>
      <w:suff w:val="nothing"/>
      <w:lvlText w:val="（%1）"/>
      <w:lvlJc w:val="left"/>
      <w:rPr>
        <w:rFonts w:hint="eastAsia"/>
      </w:rPr>
    </w:lvl>
  </w:abstractNum>
  <w:abstractNum w:abstractNumId="1">
    <w:nsid w:val="5A8A8E5D"/>
    <w:multiLevelType w:val="singleLevel"/>
    <w:tmpl w:val="5A8A8E5D"/>
    <w:lvl w:ilvl="0" w:tentative="0">
      <w:start w:val="4"/>
      <w:numFmt w:val="chineseCounting"/>
      <w:suff w:val="nothing"/>
      <w:lvlText w:val="%1、"/>
      <w:lvlJc w:val="left"/>
      <w:rPr>
        <w:rFonts w:hint="eastAsia"/>
      </w:rPr>
    </w:lvl>
  </w:abstractNum>
  <w:abstractNum w:abstractNumId="2">
    <w:nsid w:val="66F648F6"/>
    <w:multiLevelType w:val="singleLevel"/>
    <w:tmpl w:val="66F648F6"/>
    <w:lvl w:ilvl="0" w:tentative="0">
      <w:start w:val="2"/>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ZjYjQwYmM1YmU1OGUzZDhlNzBiOTg2OTQ1MDg2NjIifQ=="/>
    <w:docVar w:name="KSO_WPS_MARK_KEY" w:val="9920a277-c0c3-43b4-93d3-1636fe398e0b"/>
  </w:docVars>
  <w:rsids>
    <w:rsidRoot w:val="753C4E9B"/>
    <w:rsid w:val="001E42EF"/>
    <w:rsid w:val="00305624"/>
    <w:rsid w:val="00D40BB2"/>
    <w:rsid w:val="05A3635A"/>
    <w:rsid w:val="05E95AA6"/>
    <w:rsid w:val="0C180A78"/>
    <w:rsid w:val="0D276746"/>
    <w:rsid w:val="0D464D9C"/>
    <w:rsid w:val="0DD52794"/>
    <w:rsid w:val="0DDA54E4"/>
    <w:rsid w:val="0E956870"/>
    <w:rsid w:val="10256126"/>
    <w:rsid w:val="105E2EAF"/>
    <w:rsid w:val="1067786B"/>
    <w:rsid w:val="10C666A5"/>
    <w:rsid w:val="11385058"/>
    <w:rsid w:val="114023E8"/>
    <w:rsid w:val="117F087D"/>
    <w:rsid w:val="11B77F60"/>
    <w:rsid w:val="1223366A"/>
    <w:rsid w:val="1360009E"/>
    <w:rsid w:val="143877FD"/>
    <w:rsid w:val="15BD1231"/>
    <w:rsid w:val="17F1593F"/>
    <w:rsid w:val="18CF781A"/>
    <w:rsid w:val="19E805B2"/>
    <w:rsid w:val="1A7D450C"/>
    <w:rsid w:val="1DC87107"/>
    <w:rsid w:val="205B5E0E"/>
    <w:rsid w:val="21103F5F"/>
    <w:rsid w:val="21B50F80"/>
    <w:rsid w:val="22FE234B"/>
    <w:rsid w:val="247A570E"/>
    <w:rsid w:val="251F465E"/>
    <w:rsid w:val="258F4359"/>
    <w:rsid w:val="25EB7A66"/>
    <w:rsid w:val="277E6F02"/>
    <w:rsid w:val="27B408AA"/>
    <w:rsid w:val="27F7006F"/>
    <w:rsid w:val="295D4225"/>
    <w:rsid w:val="29990575"/>
    <w:rsid w:val="29F319B0"/>
    <w:rsid w:val="2AF6742D"/>
    <w:rsid w:val="2D8B2179"/>
    <w:rsid w:val="2DA6AB36"/>
    <w:rsid w:val="2DA745D7"/>
    <w:rsid w:val="2E30696B"/>
    <w:rsid w:val="2E4C09B7"/>
    <w:rsid w:val="2E833798"/>
    <w:rsid w:val="2F48270C"/>
    <w:rsid w:val="30797D45"/>
    <w:rsid w:val="312A2265"/>
    <w:rsid w:val="31FE6094"/>
    <w:rsid w:val="325440DA"/>
    <w:rsid w:val="32A332A4"/>
    <w:rsid w:val="32AD84DE"/>
    <w:rsid w:val="32EFAD5B"/>
    <w:rsid w:val="337FA541"/>
    <w:rsid w:val="33D38441"/>
    <w:rsid w:val="368D0CCF"/>
    <w:rsid w:val="369E387A"/>
    <w:rsid w:val="36FC0F5D"/>
    <w:rsid w:val="375773F8"/>
    <w:rsid w:val="37BB2B5F"/>
    <w:rsid w:val="393E32BB"/>
    <w:rsid w:val="3AD3DB8A"/>
    <w:rsid w:val="3AFAE3BB"/>
    <w:rsid w:val="3BE96D9B"/>
    <w:rsid w:val="3C9E57AB"/>
    <w:rsid w:val="3DFF0B1C"/>
    <w:rsid w:val="3EE92F3A"/>
    <w:rsid w:val="3F1B84AF"/>
    <w:rsid w:val="3F4FBE5B"/>
    <w:rsid w:val="3FF72092"/>
    <w:rsid w:val="40B95CE5"/>
    <w:rsid w:val="419B2857"/>
    <w:rsid w:val="41D71DA8"/>
    <w:rsid w:val="44797A46"/>
    <w:rsid w:val="44997EE2"/>
    <w:rsid w:val="449B5067"/>
    <w:rsid w:val="455A0E50"/>
    <w:rsid w:val="46957E2E"/>
    <w:rsid w:val="4724216A"/>
    <w:rsid w:val="47AF3420"/>
    <w:rsid w:val="47E6F9B6"/>
    <w:rsid w:val="490822EC"/>
    <w:rsid w:val="4B6FFB4D"/>
    <w:rsid w:val="4C6611ED"/>
    <w:rsid w:val="4C712ABF"/>
    <w:rsid w:val="4C7A3BAD"/>
    <w:rsid w:val="4E004C23"/>
    <w:rsid w:val="4E3E7521"/>
    <w:rsid w:val="4EEE9A68"/>
    <w:rsid w:val="4F1A4380"/>
    <w:rsid w:val="4F4C7EF7"/>
    <w:rsid w:val="4F4CC390"/>
    <w:rsid w:val="4F6BD032"/>
    <w:rsid w:val="4FF872A0"/>
    <w:rsid w:val="4FFFB988"/>
    <w:rsid w:val="510A0869"/>
    <w:rsid w:val="51342108"/>
    <w:rsid w:val="52DC5586"/>
    <w:rsid w:val="552A0475"/>
    <w:rsid w:val="5598523A"/>
    <w:rsid w:val="576B8DD4"/>
    <w:rsid w:val="578D10CB"/>
    <w:rsid w:val="57FC5C7D"/>
    <w:rsid w:val="57FFF3B2"/>
    <w:rsid w:val="59500BC6"/>
    <w:rsid w:val="59CF7B73"/>
    <w:rsid w:val="59E7714F"/>
    <w:rsid w:val="59EC06C3"/>
    <w:rsid w:val="5A5915AC"/>
    <w:rsid w:val="5BFB60A8"/>
    <w:rsid w:val="5C7BF0C6"/>
    <w:rsid w:val="5CDBD02A"/>
    <w:rsid w:val="5CFB586F"/>
    <w:rsid w:val="5D9BF1E3"/>
    <w:rsid w:val="5EF9AB99"/>
    <w:rsid w:val="5F1D14E4"/>
    <w:rsid w:val="5F76CE46"/>
    <w:rsid w:val="5F8D97DE"/>
    <w:rsid w:val="6057032F"/>
    <w:rsid w:val="61265BEC"/>
    <w:rsid w:val="61417485"/>
    <w:rsid w:val="62557ED0"/>
    <w:rsid w:val="627351D5"/>
    <w:rsid w:val="63E941DB"/>
    <w:rsid w:val="65125B5F"/>
    <w:rsid w:val="662FFD35"/>
    <w:rsid w:val="665DCB32"/>
    <w:rsid w:val="67F9322E"/>
    <w:rsid w:val="67FF5C67"/>
    <w:rsid w:val="6A12486A"/>
    <w:rsid w:val="6BF91D90"/>
    <w:rsid w:val="6BFF4682"/>
    <w:rsid w:val="6C343920"/>
    <w:rsid w:val="6DFB0220"/>
    <w:rsid w:val="6DFF44F2"/>
    <w:rsid w:val="6EA83FF3"/>
    <w:rsid w:val="6F695C97"/>
    <w:rsid w:val="6F7FC49D"/>
    <w:rsid w:val="6F9E17E4"/>
    <w:rsid w:val="6FB877C9"/>
    <w:rsid w:val="70FC0717"/>
    <w:rsid w:val="73EBE70E"/>
    <w:rsid w:val="753C4E9B"/>
    <w:rsid w:val="75630CAA"/>
    <w:rsid w:val="75BB1D55"/>
    <w:rsid w:val="75EB673F"/>
    <w:rsid w:val="76DEFE50"/>
    <w:rsid w:val="76DF7942"/>
    <w:rsid w:val="77B7A8D1"/>
    <w:rsid w:val="77BED2EE"/>
    <w:rsid w:val="77F77F8D"/>
    <w:rsid w:val="77FDD48E"/>
    <w:rsid w:val="781113A7"/>
    <w:rsid w:val="791E6510"/>
    <w:rsid w:val="7BB21F52"/>
    <w:rsid w:val="7BBD607A"/>
    <w:rsid w:val="7BF7CFC2"/>
    <w:rsid w:val="7C8D4A41"/>
    <w:rsid w:val="7D13B2E4"/>
    <w:rsid w:val="7D3EAB10"/>
    <w:rsid w:val="7D7E69BD"/>
    <w:rsid w:val="7DEA6FE3"/>
    <w:rsid w:val="7DEFFB64"/>
    <w:rsid w:val="7DFFB4DD"/>
    <w:rsid w:val="7ED71F19"/>
    <w:rsid w:val="7EE69F54"/>
    <w:rsid w:val="7EF91F62"/>
    <w:rsid w:val="7FAB9DA4"/>
    <w:rsid w:val="7FAD01CD"/>
    <w:rsid w:val="7FBF5E49"/>
    <w:rsid w:val="7FCD05D8"/>
    <w:rsid w:val="7FDCC03B"/>
    <w:rsid w:val="7FDFA9A2"/>
    <w:rsid w:val="7FF24EFF"/>
    <w:rsid w:val="7FF966A2"/>
    <w:rsid w:val="7FFB0292"/>
    <w:rsid w:val="7FFF3E7A"/>
    <w:rsid w:val="87F9C66A"/>
    <w:rsid w:val="8F9BE27A"/>
    <w:rsid w:val="947F2A9B"/>
    <w:rsid w:val="9DFA11D7"/>
    <w:rsid w:val="9F8F4384"/>
    <w:rsid w:val="9FF6244F"/>
    <w:rsid w:val="A1136206"/>
    <w:rsid w:val="A9FD83B4"/>
    <w:rsid w:val="ADDD27FF"/>
    <w:rsid w:val="AFDF1002"/>
    <w:rsid w:val="AFFBC9E2"/>
    <w:rsid w:val="AFFD10D8"/>
    <w:rsid w:val="B3F6CDCB"/>
    <w:rsid w:val="B5FEE8E8"/>
    <w:rsid w:val="B7FF377E"/>
    <w:rsid w:val="B9FAACD8"/>
    <w:rsid w:val="BB7D63DA"/>
    <w:rsid w:val="BBED63EF"/>
    <w:rsid w:val="BBFF0DDB"/>
    <w:rsid w:val="BE0D6290"/>
    <w:rsid w:val="BEFF18EA"/>
    <w:rsid w:val="BF73B586"/>
    <w:rsid w:val="BFF98FF8"/>
    <w:rsid w:val="BFFFC535"/>
    <w:rsid w:val="BFFFFF17"/>
    <w:rsid w:val="CB9798F3"/>
    <w:rsid w:val="CF9687FE"/>
    <w:rsid w:val="CFBF9B4F"/>
    <w:rsid w:val="CFF3E691"/>
    <w:rsid w:val="D3FD1A4F"/>
    <w:rsid w:val="D3FF35ED"/>
    <w:rsid w:val="D55B2551"/>
    <w:rsid w:val="D6BB41B8"/>
    <w:rsid w:val="D6DF558D"/>
    <w:rsid w:val="DBDFB9DE"/>
    <w:rsid w:val="DCB7F1C9"/>
    <w:rsid w:val="DCFE3157"/>
    <w:rsid w:val="DDF3B1D8"/>
    <w:rsid w:val="DDFE2508"/>
    <w:rsid w:val="DE97A8ED"/>
    <w:rsid w:val="DEFE87E4"/>
    <w:rsid w:val="DF4C20FE"/>
    <w:rsid w:val="DFDF4ED3"/>
    <w:rsid w:val="DFF759A2"/>
    <w:rsid w:val="DFFF8F11"/>
    <w:rsid w:val="E4CF8B72"/>
    <w:rsid w:val="EB678F1D"/>
    <w:rsid w:val="EBDC59C1"/>
    <w:rsid w:val="EBDF8DC3"/>
    <w:rsid w:val="EE7E7794"/>
    <w:rsid w:val="EEFCCD1A"/>
    <w:rsid w:val="EF3FD2C6"/>
    <w:rsid w:val="EF58AA3F"/>
    <w:rsid w:val="EF7F7488"/>
    <w:rsid w:val="EFBD0D22"/>
    <w:rsid w:val="EFFD441B"/>
    <w:rsid w:val="F21ABAA9"/>
    <w:rsid w:val="F36D93DD"/>
    <w:rsid w:val="F5CA1397"/>
    <w:rsid w:val="F65D5B26"/>
    <w:rsid w:val="F6F7EA76"/>
    <w:rsid w:val="F7D93F6E"/>
    <w:rsid w:val="F7F7B612"/>
    <w:rsid w:val="F85EA1A9"/>
    <w:rsid w:val="F9B9F3F8"/>
    <w:rsid w:val="FB7D8803"/>
    <w:rsid w:val="FBBF433F"/>
    <w:rsid w:val="FBFF8B75"/>
    <w:rsid w:val="FBFFEAB4"/>
    <w:rsid w:val="FCABDBB4"/>
    <w:rsid w:val="FCB9247C"/>
    <w:rsid w:val="FE7B7C88"/>
    <w:rsid w:val="FEF75EE9"/>
    <w:rsid w:val="FEFFB7DB"/>
    <w:rsid w:val="FF7D22B1"/>
    <w:rsid w:val="FF7D399F"/>
    <w:rsid w:val="FF7DC185"/>
    <w:rsid w:val="FF9D767A"/>
    <w:rsid w:val="FFD1D5E3"/>
    <w:rsid w:val="FFDF9728"/>
    <w:rsid w:val="FFE6CEC6"/>
    <w:rsid w:val="FFEEE482"/>
    <w:rsid w:val="FFFFC3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keepNext/>
      <w:keepLines/>
      <w:spacing w:line="560" w:lineRule="exact"/>
      <w:ind w:firstLine="200" w:firstLineChars="200"/>
      <w:outlineLvl w:val="1"/>
    </w:pPr>
    <w:rPr>
      <w:rFonts w:eastAsia="楷体_GB2312" w:asciiTheme="majorAscii" w:hAnsiTheme="majorAscii" w:cstheme="majorBidi"/>
      <w:bCs/>
      <w:sz w:val="32"/>
      <w:szCs w:val="32"/>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0"/>
    <w:pPr>
      <w:ind w:firstLine="200" w:firstLineChars="200"/>
    </w:pPr>
  </w:style>
  <w:style w:type="paragraph" w:styleId="4">
    <w:name w:val="Body Text Indent"/>
    <w:basedOn w:val="1"/>
    <w:unhideWhenUsed/>
    <w:qFormat/>
    <w:uiPriority w:val="0"/>
    <w:pPr>
      <w:spacing w:beforeLines="0" w:afterLines="0"/>
      <w:ind w:firstLine="640" w:firstLineChars="200"/>
    </w:pPr>
    <w:rPr>
      <w:rFonts w:hint="default"/>
      <w:sz w:val="32"/>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paragraph" w:styleId="9">
    <w:name w:val="Body Text First Indent 2"/>
    <w:basedOn w:val="4"/>
    <w:next w:val="1"/>
    <w:unhideWhenUsed/>
    <w:qFormat/>
    <w:uiPriority w:val="99"/>
    <w:pPr>
      <w:spacing w:beforeLines="0" w:afterLines="0"/>
      <w:ind w:firstLine="420"/>
    </w:pPr>
    <w:rPr>
      <w:rFonts w:hint="default"/>
      <w:sz w:val="32"/>
    </w:rPr>
  </w:style>
  <w:style w:type="character" w:styleId="12">
    <w:name w:val="Strong"/>
    <w:basedOn w:val="11"/>
    <w:qFormat/>
    <w:uiPriority w:val="0"/>
    <w:rPr>
      <w:b/>
    </w:rPr>
  </w:style>
  <w:style w:type="paragraph" w:customStyle="1" w:styleId="13">
    <w:name w:val="标题1"/>
    <w:basedOn w:val="2"/>
    <w:qFormat/>
    <w:uiPriority w:val="0"/>
    <w:rPr>
      <w:rFonts w:eastAsia="黑体"/>
    </w:rPr>
  </w:style>
  <w:style w:type="paragraph" w:customStyle="1" w:styleId="14">
    <w:name w:val="首行缩进"/>
    <w:basedOn w:val="1"/>
    <w:qFormat/>
    <w:uiPriority w:val="0"/>
    <w:pPr>
      <w:ind w:firstLine="480" w:firstLineChars="200"/>
    </w:pPr>
    <w:rPr>
      <w:lang w:val="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4137</Words>
  <Characters>4402</Characters>
  <Lines>0</Lines>
  <Paragraphs>0</Paragraphs>
  <TotalTime>134</TotalTime>
  <ScaleCrop>false</ScaleCrop>
  <LinksUpToDate>false</LinksUpToDate>
  <CharactersWithSpaces>4403</CharactersWithSpaces>
  <Application>WPS Office_11.8.2.1130_F1E327BC-269C-435d-A152-05C5408002CA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2024-02-29T02:03:00Z</dcterms:created>
  <dc:creator>1402836399</dc:creator>
  <cp:lastModifiedBy>yq</cp:lastModifiedBy>
  <cp:lastPrinted>2024-06-15T00:54:00Z</cp:lastPrinted>
  <dcterms:modified xsi:type="dcterms:W3CDTF">2026-06-23T15:35:22Z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2052-11.8.2.1130</vt:lpwstr>
  </property>
  <property fmtid="{D5CDD505-2E9C-101B-9397-08002B2CF9AE}" pid="3" name="ICV">
    <vt:lpwstr>4B545E2748234224AA7888E0D1AE4147_13</vt:lpwstr>
  </property>
  <property fmtid="{D5CDD505-2E9C-101B-9397-08002B2CF9AE}" pid="4" name="KSOTemplateDocerSaveRecord">
    <vt:lpwstr>eyJoZGlkIjoiYTc0NjVlOTQ5NGU3NDViODRkZWVmODM4Y2MyYmNjY2IiLCJ1c2VySWQiOiIzNTM0MTAxODAifQ==</vt:lpwstr>
  </property>
</Properties>
</file>