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ascii="Times New Roman" w:hAnsi="Times New Roman" w:cs="Times New Roman"/>
          <w:color w:val="auto"/>
          <w:sz w:val="56"/>
          <w:szCs w:val="56"/>
        </w:rPr>
      </w:pPr>
    </w:p>
    <w:p>
      <w:pPr>
        <w:pStyle w:val="14"/>
        <w:jc w:val="center"/>
        <w:rPr>
          <w:rFonts w:ascii="Times New Roman" w:hAnsi="Times New Roman" w:cs="Times New Roman"/>
          <w:color w:val="auto"/>
          <w:sz w:val="84"/>
          <w:szCs w:val="84"/>
        </w:rPr>
      </w:pPr>
    </w:p>
    <w:p>
      <w:pPr>
        <w:pStyle w:val="14"/>
        <w:jc w:val="center"/>
        <w:rPr>
          <w:rFonts w:ascii="Times New Roman" w:hAnsi="Times New Roman" w:cs="Times New Roman"/>
          <w:color w:val="auto"/>
          <w:sz w:val="84"/>
          <w:szCs w:val="84"/>
        </w:rPr>
      </w:pPr>
    </w:p>
    <w:p>
      <w:pPr>
        <w:pStyle w:val="14"/>
        <w:jc w:val="center"/>
        <w:rPr>
          <w:rFonts w:hint="eastAsia" w:ascii="Times New Roman" w:hAnsi="Times New Roman" w:eastAsia="方正小标宋简体" w:cs="Times New Roman"/>
          <w:color w:val="auto"/>
          <w:sz w:val="72"/>
          <w:szCs w:val="72"/>
        </w:rPr>
      </w:pPr>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lang w:val="en-US" w:eastAsia="zh-CN"/>
        </w:rPr>
        <w:t>5</w:t>
      </w:r>
      <w:r>
        <w:rPr>
          <w:rFonts w:ascii="Times New Roman" w:hAnsi="Times New Roman" w:eastAsia="方正小标宋简体" w:cs="Times New Roman"/>
          <w:color w:val="auto"/>
          <w:sz w:val="72"/>
          <w:szCs w:val="72"/>
        </w:rPr>
        <w:t>年度</w:t>
      </w:r>
      <w:r>
        <w:rPr>
          <w:rFonts w:hint="eastAsia" w:ascii="Times New Roman" w:hAnsi="Times New Roman" w:eastAsia="方正小标宋简体" w:cs="Times New Roman"/>
          <w:color w:val="auto"/>
          <w:sz w:val="72"/>
          <w:szCs w:val="72"/>
        </w:rPr>
        <w:t>怀化市交通建设</w:t>
      </w:r>
    </w:p>
    <w:p>
      <w:pPr>
        <w:pStyle w:val="14"/>
        <w:jc w:val="center"/>
        <w:rPr>
          <w:rFonts w:ascii="Times New Roman" w:hAnsi="Times New Roman" w:eastAsia="方正小标宋简体" w:cs="Times New Roman"/>
          <w:color w:val="auto"/>
          <w:sz w:val="72"/>
          <w:szCs w:val="72"/>
        </w:rPr>
      </w:pPr>
      <w:r>
        <w:rPr>
          <w:rFonts w:hint="eastAsia" w:ascii="Times New Roman" w:hAnsi="Times New Roman" w:eastAsia="方正小标宋简体" w:cs="Times New Roman"/>
          <w:color w:val="auto"/>
          <w:sz w:val="72"/>
          <w:szCs w:val="72"/>
        </w:rPr>
        <w:t>质量安全监督站</w:t>
      </w:r>
      <w:r>
        <w:rPr>
          <w:rFonts w:ascii="Times New Roman" w:hAnsi="Times New Roman" w:eastAsia="方正小标宋简体" w:cs="Times New Roman"/>
          <w:color w:val="auto"/>
          <w:sz w:val="72"/>
          <w:szCs w:val="72"/>
        </w:rPr>
        <w:t>部门决算</w:t>
      </w:r>
    </w:p>
    <w:p>
      <w:pPr>
        <w:pStyle w:val="14"/>
        <w:jc w:val="center"/>
        <w:rPr>
          <w:rFonts w:ascii="Times New Roman" w:hAnsi="Times New Roman" w:eastAsia="方正小标宋_GBK" w:cs="Times New Roman"/>
          <w:color w:val="auto"/>
          <w:sz w:val="56"/>
          <w:szCs w:val="56"/>
        </w:rPr>
      </w:pPr>
    </w:p>
    <w:p>
      <w:pPr>
        <w:pStyle w:val="14"/>
        <w:jc w:val="center"/>
        <w:rPr>
          <w:rFonts w:ascii="Times New Roman" w:hAnsi="Times New Roman" w:cs="Times New Roman"/>
          <w:color w:val="auto"/>
          <w:sz w:val="56"/>
          <w:szCs w:val="56"/>
        </w:rPr>
      </w:pPr>
    </w:p>
    <w:p>
      <w:pPr>
        <w:pStyle w:val="14"/>
        <w:rPr>
          <w:rFonts w:ascii="Times New Roman" w:hAnsi="Times New Roman" w:cs="Times New Roman"/>
          <w:color w:val="auto"/>
          <w:sz w:val="56"/>
          <w:szCs w:val="56"/>
        </w:rPr>
      </w:pPr>
    </w:p>
    <w:p>
      <w:pPr>
        <w:pStyle w:val="14"/>
        <w:jc w:val="center"/>
        <w:rPr>
          <w:rFonts w:ascii="Times New Roman" w:hAnsi="Times New Roman" w:cs="Times New Roman"/>
          <w:color w:val="auto"/>
          <w:sz w:val="32"/>
          <w:szCs w:val="32"/>
        </w:rPr>
      </w:pPr>
    </w:p>
    <w:p>
      <w:pPr>
        <w:pStyle w:val="14"/>
        <w:jc w:val="center"/>
        <w:rPr>
          <w:rFonts w:ascii="Times New Roman" w:hAnsi="Times New Roman" w:cs="Times New Roman"/>
          <w:color w:val="auto"/>
          <w:sz w:val="32"/>
          <w:szCs w:val="32"/>
        </w:rPr>
      </w:pPr>
    </w:p>
    <w:p>
      <w:pPr>
        <w:pStyle w:val="14"/>
        <w:jc w:val="center"/>
        <w:rPr>
          <w:rFonts w:ascii="Times New Roman" w:hAnsi="Times New Roman" w:cs="Times New Roman"/>
          <w:color w:val="auto"/>
          <w:sz w:val="32"/>
          <w:szCs w:val="32"/>
        </w:rPr>
      </w:pPr>
    </w:p>
    <w:p>
      <w:pPr>
        <w:pStyle w:val="14"/>
        <w:tabs>
          <w:tab w:val="left" w:pos="2475"/>
          <w:tab w:val="center" w:pos="4425"/>
        </w:tabs>
        <w:jc w:val="left"/>
        <w:rPr>
          <w:rFonts w:ascii="Times New Roman" w:hAnsi="Times New Roman" w:cs="Times New Roman"/>
          <w:b/>
          <w:color w:val="auto"/>
          <w:sz w:val="36"/>
          <w:szCs w:val="28"/>
        </w:rPr>
        <w:sectPr>
          <w:pgSz w:w="11906" w:h="16838"/>
          <w:pgMar w:top="1417" w:right="1588" w:bottom="1417" w:left="1588" w:header="851" w:footer="992" w:gutter="0"/>
          <w:cols w:space="425" w:num="1"/>
          <w:docGrid w:type="lines" w:linePitch="312" w:charSpace="0"/>
        </w:sectPr>
      </w:pPr>
      <w:r>
        <w:rPr>
          <w:rFonts w:hint="eastAsia" w:ascii="Times New Roman" w:hAnsi="Times New Roman" w:cs="Times New Roman"/>
          <w:color w:val="auto"/>
          <w:sz w:val="32"/>
          <w:szCs w:val="32"/>
          <w:lang w:eastAsia="zh-CN"/>
        </w:rPr>
        <w:tab/>
      </w:r>
    </w:p>
    <w:p>
      <w:pPr>
        <w:pStyle w:val="14"/>
        <w:spacing w:line="600" w:lineRule="exact"/>
        <w:jc w:val="both"/>
        <w:rPr>
          <w:rFonts w:ascii="Times New Roman" w:hAnsi="Times New Roman" w:cs="Times New Roman"/>
          <w:b/>
          <w:color w:val="auto"/>
          <w:sz w:val="36"/>
          <w:szCs w:val="28"/>
        </w:rPr>
      </w:pPr>
    </w:p>
    <w:p>
      <w:pPr>
        <w:pStyle w:val="14"/>
        <w:spacing w:line="600" w:lineRule="exact"/>
        <w:jc w:val="center"/>
        <w:rPr>
          <w:rFonts w:ascii="Times New Roman" w:hAnsi="Times New Roman" w:cs="Times New Roman"/>
          <w:bCs/>
          <w:color w:val="auto"/>
          <w:sz w:val="36"/>
          <w:szCs w:val="28"/>
        </w:rPr>
      </w:pPr>
      <w:r>
        <w:rPr>
          <w:rFonts w:ascii="Times New Roman" w:hAnsi="Times New Roman" w:cs="Times New Roman"/>
          <w:bCs/>
          <w:color w:val="auto"/>
          <w:sz w:val="36"/>
          <w:szCs w:val="28"/>
        </w:rPr>
        <w:t>目  录</w:t>
      </w:r>
    </w:p>
    <w:p>
      <w:pPr>
        <w:pStyle w:val="14"/>
        <w:spacing w:line="600" w:lineRule="exact"/>
        <w:jc w:val="center"/>
        <w:rPr>
          <w:rFonts w:ascii="Times New Roman" w:hAnsi="Times New Roman" w:cs="Times New Roman"/>
          <w:b/>
          <w:color w:val="auto"/>
          <w:sz w:val="36"/>
          <w:szCs w:val="28"/>
        </w:rPr>
      </w:pPr>
    </w:p>
    <w:p>
      <w:pPr>
        <w:pStyle w:val="14"/>
        <w:spacing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 xml:space="preserve">第一部分 </w:t>
      </w:r>
      <w:r>
        <w:rPr>
          <w:rFonts w:hint="eastAsia" w:ascii="Times New Roman" w:hAnsi="Times New Roman" w:cs="Times New Roman"/>
          <w:bCs/>
          <w:color w:val="auto"/>
          <w:sz w:val="32"/>
          <w:szCs w:val="32"/>
        </w:rPr>
        <w:t>怀化市交通建设质量安全监督站</w:t>
      </w:r>
      <w:r>
        <w:rPr>
          <w:rFonts w:ascii="Times New Roman" w:hAnsi="Times New Roman" w:cs="Times New Roman"/>
          <w:bCs/>
          <w:color w:val="auto"/>
          <w:sz w:val="32"/>
          <w:szCs w:val="32"/>
        </w:rPr>
        <w:t>概况</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 部门决算表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 部门决算情况说明</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一、收入支出决算总体情况说明</w:t>
      </w:r>
    </w:p>
    <w:p>
      <w:pPr>
        <w:spacing w:line="600" w:lineRule="exact"/>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八、政府性基金预算收入支出决算情况</w:t>
      </w:r>
    </w:p>
    <w:p>
      <w:pPr>
        <w:autoSpaceDE w:val="0"/>
        <w:autoSpaceDN w:val="0"/>
        <w:adjustRightInd w:val="0"/>
        <w:spacing w:line="600" w:lineRule="exact"/>
        <w:jc w:val="left"/>
        <w:rPr>
          <w:color w:val="auto"/>
        </w:rPr>
      </w:pPr>
      <w:r>
        <w:rPr>
          <w:rFonts w:hint="eastAsia" w:ascii="Times New Roman" w:hAnsi="Times New Roman" w:eastAsia="仿宋_GB2312" w:cs="Times New Roman"/>
          <w:color w:val="auto"/>
          <w:kern w:val="0"/>
          <w:sz w:val="32"/>
          <w:szCs w:val="32"/>
          <w:lang w:val="en" w:eastAsia="zh-CN"/>
        </w:rPr>
        <w:t>九、国有资本经营预算收入支出决算情况</w:t>
      </w:r>
      <w:r>
        <w:rPr>
          <w:rFonts w:hint="default" w:ascii="Times New Roman" w:hAnsi="Times New Roman" w:eastAsia="仿宋_GB2312" w:cs="Times New Roman"/>
          <w:color w:val="auto"/>
          <w:kern w:val="0"/>
          <w:sz w:val="32"/>
          <w:szCs w:val="32"/>
          <w:lang w:val="en"/>
        </w:rPr>
        <w:t xml:space="preserve">  </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eastAsia="zh-CN"/>
        </w:rPr>
        <w:t>十</w:t>
      </w:r>
      <w:r>
        <w:rPr>
          <w:rFonts w:ascii="Times New Roman" w:hAnsi="Times New Roman" w:eastAsia="仿宋_GB2312" w:cs="Times New Roman"/>
          <w:color w:val="auto"/>
          <w:kern w:val="0"/>
          <w:sz w:val="32"/>
          <w:szCs w:val="32"/>
        </w:rPr>
        <w:t>、关于机关运行经费支出说明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一</w:t>
      </w:r>
      <w:r>
        <w:rPr>
          <w:rFonts w:ascii="Times New Roman" w:hAnsi="Times New Roman" w:eastAsia="仿宋_GB2312" w:cs="Times New Roman"/>
          <w:color w:val="auto"/>
          <w:kern w:val="0"/>
          <w:sz w:val="32"/>
          <w:szCs w:val="32"/>
        </w:rPr>
        <w:t>、一般性支出情况说明</w:t>
      </w:r>
    </w:p>
    <w:p>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二</w:t>
      </w:r>
      <w:r>
        <w:rPr>
          <w:rFonts w:ascii="Times New Roman" w:hAnsi="Times New Roman" w:eastAsia="仿宋_GB2312" w:cs="Times New Roman"/>
          <w:color w:val="auto"/>
          <w:kern w:val="0"/>
          <w:sz w:val="32"/>
          <w:szCs w:val="32"/>
        </w:rPr>
        <w:t>、关于政府采购支出说明</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三</w:t>
      </w:r>
      <w:r>
        <w:rPr>
          <w:rFonts w:ascii="Times New Roman" w:hAnsi="Times New Roman" w:eastAsia="仿宋_GB2312" w:cs="Times New Roman"/>
          <w:color w:val="auto"/>
          <w:sz w:val="32"/>
          <w:szCs w:val="32"/>
        </w:rPr>
        <w:t>、关于国有资产占用情况说明</w:t>
      </w:r>
    </w:p>
    <w:p>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四</w:t>
      </w:r>
      <w:r>
        <w:rPr>
          <w:rFonts w:ascii="Times New Roman" w:hAnsi="Times New Roman" w:eastAsia="仿宋_GB2312" w:cs="Times New Roman"/>
          <w:color w:val="auto"/>
          <w:sz w:val="32"/>
          <w:szCs w:val="32"/>
        </w:rPr>
        <w:t>、关于202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年度预算绩效管理情况的说明</w:t>
      </w:r>
    </w:p>
    <w:p>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第四部分 名词解释</w:t>
      </w:r>
    </w:p>
    <w:p>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第五部分 附件</w:t>
      </w:r>
    </w:p>
    <w:p>
      <w:pPr>
        <w:pStyle w:val="14"/>
        <w:spacing w:line="600" w:lineRule="exact"/>
        <w:rPr>
          <w:rFonts w:ascii="Times New Roman" w:hAnsi="Times New Roman" w:cs="Times New Roman"/>
          <w:bCs/>
          <w:color w:val="auto"/>
          <w:sz w:val="28"/>
          <w:szCs w:val="28"/>
        </w:rPr>
      </w:pPr>
    </w:p>
    <w:p>
      <w:pPr>
        <w:jc w:val="center"/>
        <w:rPr>
          <w:rFonts w:ascii="Times New Roman" w:hAnsi="Times New Roman" w:cs="Times New Roman"/>
          <w:color w:val="auto"/>
          <w:sz w:val="72"/>
          <w:szCs w:val="72"/>
        </w:rPr>
      </w:pPr>
      <w:bookmarkStart w:id="0" w:name="_GoBack"/>
      <w:bookmarkEnd w:id="0"/>
    </w:p>
    <w:p>
      <w:pPr>
        <w:jc w:val="center"/>
        <w:rPr>
          <w:rFonts w:ascii="Times New Roman" w:hAnsi="Times New Roman" w:cs="Times New Roman"/>
          <w:color w:val="auto"/>
          <w:sz w:val="72"/>
          <w:szCs w:val="72"/>
        </w:rPr>
      </w:pPr>
    </w:p>
    <w:p>
      <w:pPr>
        <w:jc w:val="center"/>
        <w:rPr>
          <w:rFonts w:ascii="Times New Roman" w:hAnsi="Times New Roman" w:cs="Times New Roman"/>
          <w:color w:val="auto"/>
          <w:sz w:val="72"/>
          <w:szCs w:val="72"/>
        </w:rPr>
      </w:pPr>
    </w:p>
    <w:p>
      <w:pPr>
        <w:pStyle w:val="7"/>
        <w:rPr>
          <w:rFonts w:ascii="Times New Roman" w:hAnsi="Times New Roman" w:cs="Times New Roman"/>
          <w:color w:val="auto"/>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color w:val="auto"/>
          <w:sz w:val="72"/>
          <w:szCs w:val="72"/>
        </w:rPr>
      </w:pPr>
    </w:p>
    <w:p>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pPr>
        <w:pStyle w:val="14"/>
        <w:spacing w:line="360" w:lineRule="auto"/>
        <w:jc w:val="center"/>
        <w:rPr>
          <w:rFonts w:hint="eastAsia"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怀化市交通建设质量</w:t>
      </w:r>
    </w:p>
    <w:p>
      <w:pPr>
        <w:pStyle w:val="14"/>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安全监督站</w:t>
      </w:r>
      <w:r>
        <w:rPr>
          <w:rFonts w:ascii="Times New Roman" w:hAnsi="Times New Roman" w:eastAsia="方正小标宋_GBK" w:cs="Times New Roman"/>
          <w:color w:val="auto"/>
          <w:sz w:val="52"/>
          <w:szCs w:val="52"/>
        </w:rPr>
        <w:t>概况</w:t>
      </w:r>
    </w:p>
    <w:p>
      <w:pPr>
        <w:pStyle w:val="8"/>
        <w:ind w:left="0" w:leftChars="0" w:firstLine="0" w:firstLineChars="0"/>
        <w:rPr>
          <w:rFonts w:ascii="Times New Roman" w:hAnsi="Times New Roman" w:cs="Times New Roman"/>
          <w:color w:val="auto"/>
        </w:rPr>
      </w:pPr>
    </w:p>
    <w:p>
      <w:pPr>
        <w:pStyle w:val="15"/>
        <w:numPr>
          <w:ilvl w:val="0"/>
          <w:numId w:val="1"/>
        </w:numPr>
        <w:spacing w:line="600" w:lineRule="exact"/>
        <w:ind w:firstLine="0" w:firstLineChars="0"/>
        <w:jc w:val="left"/>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部门职责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ascii="Times New Roman" w:hAnsi="Times New Roman" w:eastAsia="仿宋_GB2312" w:cs="Times New Roman"/>
          <w:color w:val="auto"/>
          <w:sz w:val="32"/>
          <w:szCs w:val="32"/>
        </w:rPr>
        <w:t>（一）</w:t>
      </w:r>
      <w:r>
        <w:rPr>
          <w:rFonts w:hint="eastAsia" w:ascii="仿宋_GB2312" w:hAnsi="仿宋_GB2312" w:eastAsia="仿宋_GB2312" w:cs="仿宋_GB2312"/>
          <w:color w:val="auto"/>
          <w:sz w:val="32"/>
          <w:szCs w:val="32"/>
          <w:lang w:val="en-US" w:eastAsia="zh-CN"/>
        </w:rPr>
        <w:t>贯彻执行国家和省交通建设工程质量、施工安全生产、工程造价的法律、法规、规章和标准，参与拟定全市交通建设工程质量、安全、造价监督的规定、办法和实施细则相关事务性工作，并组织实施。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（二）负责全市国省干线公路、水运工程建设的质量安全与造价监督等事务性工作。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（三）参与全市交通建设市场的监督。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参与全市国省干线公路、水运工程建设项目交（竣）工验收等事务性工作。负责受监交通建设工程的交工质量验证检测、竣工质量鉴定，对主要工程材料、构配件、工程实体进行中间质量检查等事务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（五）承担市交通运输局审批的公路、水运等交通建设工程造价审查等事务性工作。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（六）负责全市交通建设项目的定额测定、交通建设材料价格信息的调查发布、公路水运工程造价数据库的建立和管理，协助主管部门开展造价相关事务性工作。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（七）负责受监交通建设工程监理、试验检测机构、造价咨询机构及人员的信用评价初审工作，协助主管部门进行执业培训等相关事务性工作。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（八）配合相关部门查处交通建设工程质量安全违法行为。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（九）受理对交通建设工程质量缺陷、安全生产隐患和造价相关问题的检举和投诉；调解交通建设工程造价争议；参与交通建设工程质量与生产安全事故调查处理工作。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（十）指导县市区农村公路建设质量安全造价及交通建设质量安全监督机构工作。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（十一）增加地方铁路工程质量安全责任监管的事务性职责和原市交通建设工程试验检测中心的职责。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bCs/>
          <w:color w:val="auto"/>
          <w:kern w:val="0"/>
          <w:sz w:val="32"/>
          <w:szCs w:val="32"/>
        </w:rPr>
      </w:pPr>
      <w:r>
        <w:rPr>
          <w:rFonts w:hint="eastAsia" w:ascii="仿宋_GB2312" w:hAnsi="仿宋_GB2312" w:eastAsia="仿宋_GB2312" w:cs="仿宋_GB2312"/>
          <w:color w:val="auto"/>
          <w:sz w:val="32"/>
          <w:szCs w:val="32"/>
          <w:lang w:val="en-US" w:eastAsia="zh-CN"/>
        </w:rPr>
        <w:t>（十二）承办市交通运输局交办的其他工作。</w:t>
      </w:r>
    </w:p>
    <w:p>
      <w:pPr>
        <w:pStyle w:val="15"/>
        <w:numPr>
          <w:ilvl w:val="0"/>
          <w:numId w:val="0"/>
        </w:numPr>
        <w:spacing w:line="600" w:lineRule="exact"/>
        <w:jc w:val="left"/>
        <w:rPr>
          <w:rFonts w:ascii="Times New Roman" w:hAnsi="Times New Roman" w:eastAsia="黑体" w:cs="Times New Roman"/>
          <w:color w:val="auto"/>
          <w:sz w:val="32"/>
          <w:szCs w:val="32"/>
        </w:rPr>
      </w:pPr>
    </w:p>
    <w:p>
      <w:pPr>
        <w:widowControl/>
        <w:spacing w:line="600" w:lineRule="exac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9"/>
        <w:rPr>
          <w:color w:val="auto"/>
        </w:rPr>
      </w:pPr>
      <w:r>
        <w:rPr>
          <w:rFonts w:ascii="Times New Roman" w:hAnsi="Times New Roman" w:eastAsia="仿宋_GB2312" w:cs="Times New Roman"/>
          <w:bCs/>
          <w:color w:val="auto"/>
          <w:kern w:val="0"/>
          <w:sz w:val="32"/>
          <w:szCs w:val="32"/>
        </w:rPr>
        <w:t>（一）内设机构设置。</w:t>
      </w:r>
      <w:r>
        <w:rPr>
          <w:rFonts w:hint="eastAsia" w:ascii="Times New Roman" w:hAnsi="Times New Roman" w:eastAsia="仿宋_GB2312" w:cs="Times New Roman"/>
          <w:bCs/>
          <w:color w:val="auto"/>
          <w:kern w:val="0"/>
          <w:sz w:val="32"/>
          <w:szCs w:val="32"/>
        </w:rPr>
        <w:t>怀化市交通建设质量安全监督站</w:t>
      </w:r>
      <w:r>
        <w:rPr>
          <w:rFonts w:hint="eastAsia" w:ascii="仿宋_GB2312" w:hAnsi="仿宋_GB2312" w:eastAsia="仿宋_GB2312" w:cs="仿宋_GB2312"/>
          <w:color w:val="auto"/>
          <w:sz w:val="32"/>
          <w:szCs w:val="32"/>
          <w:lang w:val="en-US" w:eastAsia="zh-CN"/>
        </w:rPr>
        <w:t>内设机构7个，包括：综合部、人事和财务部、安全应急部、质量监理监督部、检测监督部、造价监督部、铁路质量监理监督部。</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bCs/>
          <w:color w:val="auto"/>
          <w:kern w:val="0"/>
          <w:sz w:val="32"/>
          <w:szCs w:val="32"/>
          <w:lang w:eastAsia="zh-CN"/>
        </w:rPr>
      </w:pPr>
      <w:r>
        <w:rPr>
          <w:rFonts w:ascii="Times New Roman" w:hAnsi="Times New Roman" w:eastAsia="仿宋_GB2312" w:cs="Times New Roman"/>
          <w:bCs/>
          <w:color w:val="auto"/>
          <w:kern w:val="0"/>
          <w:sz w:val="32"/>
          <w:szCs w:val="32"/>
        </w:rPr>
        <w:t>（二）决算单位构成。</w:t>
      </w:r>
      <w:r>
        <w:rPr>
          <w:rFonts w:hint="eastAsia" w:ascii="Times New Roman" w:hAnsi="Times New Roman" w:eastAsia="仿宋_GB2312" w:cs="Times New Roman"/>
          <w:bCs/>
          <w:color w:val="auto"/>
          <w:kern w:val="0"/>
          <w:sz w:val="32"/>
          <w:szCs w:val="32"/>
        </w:rPr>
        <w:t>怀化市交通建设质量安全监督站</w:t>
      </w:r>
      <w:r>
        <w:rPr>
          <w:rFonts w:ascii="Times New Roman" w:hAnsi="Times New Roman" w:eastAsia="仿宋_GB2312" w:cs="Times New Roman"/>
          <w:bCs/>
          <w:color w:val="auto"/>
          <w:kern w:val="0"/>
          <w:sz w:val="32"/>
          <w:szCs w:val="32"/>
        </w:rPr>
        <w:t>202</w:t>
      </w:r>
      <w:r>
        <w:rPr>
          <w:rFonts w:hint="eastAsia" w:ascii="Times New Roman" w:hAnsi="Times New Roman" w:eastAsia="仿宋_GB2312" w:cs="Times New Roman"/>
          <w:bCs/>
          <w:color w:val="auto"/>
          <w:kern w:val="0"/>
          <w:sz w:val="32"/>
          <w:szCs w:val="32"/>
          <w:lang w:val="en-US" w:eastAsia="zh-CN"/>
        </w:rPr>
        <w:t>5</w:t>
      </w:r>
      <w:r>
        <w:rPr>
          <w:rFonts w:ascii="Times New Roman" w:hAnsi="Times New Roman" w:eastAsia="仿宋_GB2312" w:cs="Times New Roman"/>
          <w:bCs/>
          <w:color w:val="auto"/>
          <w:kern w:val="0"/>
          <w:sz w:val="32"/>
          <w:szCs w:val="32"/>
        </w:rPr>
        <w:t>年部门决算汇总公开单位构成</w:t>
      </w:r>
      <w:r>
        <w:rPr>
          <w:rFonts w:hint="eastAsia" w:ascii="Times New Roman" w:hAnsi="Times New Roman" w:eastAsia="仿宋_GB2312" w:cs="黑体"/>
          <w:color w:val="auto"/>
          <w:kern w:val="0"/>
          <w:sz w:val="32"/>
          <w:szCs w:val="32"/>
          <w:lang w:val="en-US" w:eastAsia="zh-CN" w:bidi="ar-SA"/>
        </w:rPr>
        <w:t>仅包括</w:t>
      </w:r>
      <w:r>
        <w:rPr>
          <w:rFonts w:hint="eastAsia" w:ascii="Times New Roman" w:hAnsi="Times New Roman" w:eastAsia="仿宋_GB2312" w:cs="Times New Roman"/>
          <w:bCs/>
          <w:color w:val="auto"/>
          <w:kern w:val="0"/>
          <w:sz w:val="32"/>
          <w:szCs w:val="32"/>
        </w:rPr>
        <w:t>怀化市交通建设质量安全监督站</w:t>
      </w:r>
      <w:r>
        <w:rPr>
          <w:rFonts w:hint="eastAsia" w:ascii="Times New Roman" w:hAnsi="Times New Roman" w:eastAsia="仿宋_GB2312" w:cs="Times New Roman"/>
          <w:bCs/>
          <w:color w:val="auto"/>
          <w:kern w:val="0"/>
          <w:sz w:val="32"/>
          <w:szCs w:val="32"/>
          <w:lang w:eastAsia="zh-CN"/>
        </w:rPr>
        <w:t>。</w:t>
      </w:r>
    </w:p>
    <w:p>
      <w:pPr>
        <w:jc w:val="both"/>
        <w:rPr>
          <w:rFonts w:ascii="Times New Roman" w:hAnsi="Times New Roman" w:eastAsia="黑体" w:cs="Times New Roman"/>
          <w:color w:val="auto"/>
          <w:sz w:val="28"/>
          <w:szCs w:val="28"/>
        </w:rPr>
      </w:pPr>
    </w:p>
    <w:p>
      <w:pPr>
        <w:jc w:val="center"/>
        <w:rPr>
          <w:rFonts w:ascii="Times New Roman" w:hAnsi="Times New Roman" w:eastAsia="黑体" w:cs="Times New Roman"/>
          <w:color w:val="auto"/>
          <w:sz w:val="28"/>
          <w:szCs w:val="28"/>
        </w:rPr>
      </w:pPr>
    </w:p>
    <w:p>
      <w:pPr>
        <w:jc w:val="center"/>
        <w:rPr>
          <w:rFonts w:ascii="Times New Roman" w:hAnsi="Times New Roman" w:eastAsia="黑体" w:cs="Times New Roman"/>
          <w:color w:val="auto"/>
          <w:sz w:val="28"/>
          <w:szCs w:val="28"/>
        </w:rPr>
      </w:pPr>
    </w:p>
    <w:p>
      <w:pPr>
        <w:pStyle w:val="7"/>
        <w:rPr>
          <w:rFonts w:ascii="Times New Roman" w:hAnsi="Times New Roman" w:cs="Times New Roman"/>
          <w:color w:val="auto"/>
        </w:rPr>
        <w:sectPr>
          <w:footerReference r:id="rId5" w:type="default"/>
          <w:pgSz w:w="11906" w:h="16838"/>
          <w:pgMar w:top="1417" w:right="1588" w:bottom="1417" w:left="1588" w:header="851" w:footer="992" w:gutter="0"/>
          <w:pgNumType w:start="1"/>
          <w:cols w:space="425" w:num="1"/>
          <w:docGrid w:type="lines" w:linePitch="312" w:charSpace="0"/>
        </w:sectPr>
      </w:pPr>
    </w:p>
    <w:p>
      <w:pPr>
        <w:pStyle w:val="14"/>
        <w:jc w:val="both"/>
        <w:rPr>
          <w:rFonts w:ascii="Times New Roman" w:hAnsi="Times New Roman" w:eastAsia="方正小标宋_GBK" w:cs="Times New Roman"/>
          <w:color w:val="auto"/>
          <w:sz w:val="52"/>
          <w:szCs w:val="52"/>
        </w:rPr>
      </w:pPr>
    </w:p>
    <w:p>
      <w:pPr>
        <w:pStyle w:val="14"/>
        <w:jc w:val="center"/>
        <w:rPr>
          <w:rFonts w:ascii="Times New Roman" w:hAnsi="Times New Roman" w:eastAsia="方正小标宋_GBK" w:cs="Times New Roman"/>
          <w:color w:val="auto"/>
          <w:sz w:val="52"/>
          <w:szCs w:val="52"/>
        </w:rPr>
      </w:pPr>
    </w:p>
    <w:p>
      <w:pPr>
        <w:pStyle w:val="14"/>
        <w:jc w:val="center"/>
        <w:rPr>
          <w:rFonts w:ascii="Times New Roman" w:hAnsi="Times New Roman" w:eastAsia="方正小标宋_GBK" w:cs="Times New Roman"/>
          <w:color w:val="auto"/>
          <w:sz w:val="52"/>
          <w:szCs w:val="52"/>
        </w:rPr>
      </w:pPr>
    </w:p>
    <w:p>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第二部分</w:t>
      </w:r>
    </w:p>
    <w:p>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部门决算表</w:t>
      </w:r>
    </w:p>
    <w:p>
      <w:pPr>
        <w:pStyle w:val="14"/>
        <w:numPr>
          <w:ilvl w:val="0"/>
          <w:numId w:val="0"/>
        </w:numPr>
        <w:jc w:val="both"/>
        <w:rPr>
          <w:rFonts w:ascii="Times New Roman" w:hAnsi="Times New Roman" w:eastAsia="方正小标宋_GBK" w:cs="Times New Roman"/>
          <w:color w:val="auto"/>
          <w:sz w:val="52"/>
          <w:szCs w:val="52"/>
        </w:rPr>
      </w:pPr>
    </w:p>
    <w:p>
      <w:pPr>
        <w:pStyle w:val="9"/>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共9张决算表，即《收入支出决算总表》《收入决算表》《支出决算表》《财政拨款收入支出决算总表》《一般公共预算财政拨款支出决算表》《一般公共预算财政拨款基本支出决算表》《政府性基金预算财政拨款收入支出决算表》《国有资本经营预算财政拨款支出决算表》《财政拨款“三公”经费支出决算表》。（详情见附件一）</w:t>
      </w:r>
    </w:p>
    <w:p>
      <w:pPr>
        <w:pStyle w:val="14"/>
        <w:rPr>
          <w:rFonts w:ascii="Times New Roman" w:hAnsi="Times New Roman" w:cs="Times New Roman"/>
          <w:color w:val="auto"/>
          <w:sz w:val="72"/>
          <w:szCs w:val="72"/>
        </w:rPr>
      </w:pPr>
    </w:p>
    <w:p>
      <w:pPr>
        <w:pStyle w:val="14"/>
        <w:rPr>
          <w:rFonts w:ascii="Times New Roman" w:hAnsi="Times New Roman" w:cs="Times New Roman"/>
          <w:color w:val="auto"/>
          <w:sz w:val="72"/>
          <w:szCs w:val="72"/>
        </w:rPr>
      </w:pPr>
    </w:p>
    <w:p>
      <w:pPr>
        <w:pStyle w:val="14"/>
        <w:rPr>
          <w:rFonts w:ascii="Times New Roman" w:hAnsi="Times New Roman" w:cs="Times New Roman"/>
          <w:color w:val="auto"/>
          <w:sz w:val="72"/>
          <w:szCs w:val="72"/>
        </w:rPr>
      </w:pPr>
    </w:p>
    <w:p>
      <w:pPr>
        <w:pStyle w:val="14"/>
        <w:rPr>
          <w:rFonts w:ascii="Times New Roman" w:hAnsi="Times New Roman" w:cs="Times New Roman"/>
          <w:color w:val="auto"/>
          <w:sz w:val="72"/>
          <w:szCs w:val="72"/>
        </w:rPr>
      </w:pPr>
    </w:p>
    <w:p>
      <w:pPr>
        <w:pStyle w:val="14"/>
        <w:rPr>
          <w:rFonts w:ascii="Times New Roman" w:hAnsi="Times New Roman" w:cs="Times New Roman"/>
          <w:color w:val="auto"/>
          <w:sz w:val="72"/>
          <w:szCs w:val="72"/>
        </w:rPr>
      </w:pPr>
    </w:p>
    <w:p>
      <w:pPr>
        <w:pStyle w:val="14"/>
        <w:jc w:val="center"/>
        <w:rPr>
          <w:rFonts w:ascii="Times New Roman" w:hAnsi="Times New Roman" w:cs="Times New Roman"/>
          <w:color w:val="auto"/>
          <w:sz w:val="72"/>
          <w:szCs w:val="72"/>
        </w:rPr>
      </w:pPr>
    </w:p>
    <w:p>
      <w:pPr>
        <w:pStyle w:val="14"/>
        <w:jc w:val="center"/>
        <w:rPr>
          <w:rFonts w:ascii="Times New Roman" w:hAnsi="Times New Roman" w:eastAsia="方正小标宋_GBK" w:cs="Times New Roman"/>
          <w:color w:val="auto"/>
          <w:sz w:val="72"/>
          <w:szCs w:val="7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p>
    <w:p>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lang w:val="en-US" w:eastAsia="zh-CN"/>
        </w:rPr>
        <w:t>5</w:t>
      </w:r>
      <w:r>
        <w:rPr>
          <w:rFonts w:ascii="Times New Roman" w:hAnsi="Times New Roman" w:eastAsia="方正小标宋_GBK" w:cs="Times New Roman"/>
          <w:color w:val="auto"/>
          <w:sz w:val="52"/>
          <w:szCs w:val="52"/>
        </w:rPr>
        <w:t>年度部门决算情况说明</w:t>
      </w:r>
    </w:p>
    <w:p>
      <w:pPr>
        <w:widowControl/>
        <w:jc w:val="left"/>
        <w:rPr>
          <w:rFonts w:ascii="Times New Roman" w:hAnsi="Times New Roman" w:cs="Times New Roman"/>
          <w:color w:val="auto"/>
          <w:sz w:val="32"/>
          <w:szCs w:val="32"/>
        </w:rPr>
      </w:pPr>
      <w:r>
        <w:rPr>
          <w:rFonts w:ascii="Times New Roman" w:hAnsi="Times New Roman" w:eastAsia="方正小标宋_GBK" w:cs="Times New Roman"/>
          <w:color w:val="auto"/>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一、收入支出决算总体情况说明</w:t>
      </w:r>
    </w:p>
    <w:p>
      <w:pPr>
        <w:snapToGrid w:val="0"/>
        <w:spacing w:line="520" w:lineRule="exact"/>
        <w:ind w:firstLine="640" w:firstLineChars="200"/>
        <w:rPr>
          <w:rFonts w:hint="eastAsia" w:ascii="仿宋_GB2312" w:hAnsi="仿宋" w:eastAsia="仿宋"/>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12.62</w:t>
      </w:r>
      <w:r>
        <w:rPr>
          <w:rFonts w:ascii="Times New Roman" w:hAnsi="Times New Roman" w:eastAsia="仿宋_GB2312" w:cs="Times New Roman"/>
          <w:color w:val="auto"/>
          <w:sz w:val="32"/>
          <w:szCs w:val="32"/>
        </w:rPr>
        <w:t>%，主要是因为</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增加人员工资福利及公用经费</w:t>
      </w:r>
      <w:r>
        <w:rPr>
          <w:rFonts w:hint="eastAsia" w:ascii="仿宋" w:hAnsi="仿宋" w:eastAsia="仿宋"/>
          <w:color w:val="auto"/>
          <w:sz w:val="32"/>
          <w:szCs w:val="32"/>
        </w:rPr>
        <w:t>，</w:t>
      </w:r>
      <w:r>
        <w:rPr>
          <w:rFonts w:hint="eastAsia" w:ascii="仿宋" w:hAnsi="仿宋" w:eastAsia="仿宋"/>
          <w:color w:val="auto"/>
          <w:sz w:val="32"/>
          <w:szCs w:val="32"/>
          <w:lang w:eastAsia="zh-CN"/>
        </w:rPr>
        <w:t>且</w:t>
      </w:r>
      <w:r>
        <w:rPr>
          <w:rFonts w:hint="eastAsia" w:ascii="仿宋" w:hAnsi="仿宋" w:eastAsia="仿宋"/>
          <w:color w:val="auto"/>
          <w:sz w:val="32"/>
          <w:szCs w:val="32"/>
        </w:rPr>
        <w:t>财政</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重要农村公路监督、</w:t>
      </w:r>
      <w:r>
        <w:rPr>
          <w:rFonts w:hint="eastAsia" w:ascii="仿宋_GB2312" w:hAnsi="仿宋_GB2312" w:eastAsia="仿宋_GB2312" w:cs="仿宋_GB2312"/>
          <w:color w:val="auto"/>
          <w:sz w:val="32"/>
          <w:szCs w:val="32"/>
          <w:lang w:val="en-US" w:eastAsia="zh-CN"/>
        </w:rPr>
        <w:t>国省干路公路大中修工程质量安全监督、地方铁路建设工程质量安全监督、交通工程建设安全</w:t>
      </w:r>
      <w:r>
        <w:rPr>
          <w:rFonts w:hint="eastAsia" w:ascii="Times New Roman" w:hAnsi="Times New Roman" w:eastAsia="仿宋_GB2312" w:cs="Times New Roman"/>
          <w:color w:val="auto"/>
          <w:sz w:val="32"/>
          <w:szCs w:val="32"/>
          <w:lang w:eastAsia="zh-CN"/>
        </w:rPr>
        <w:t>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二、收入决算情况说明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年度收入合计</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%；上级补助收入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事业收入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经营收入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附属单位上缴收入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其他收入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年度支出合计万元，其中：基本支出</w:t>
      </w:r>
      <w:r>
        <w:rPr>
          <w:rFonts w:hint="eastAsia" w:ascii="Times New Roman" w:hAnsi="Times New Roman" w:eastAsia="仿宋_GB2312" w:cs="Times New Roman"/>
          <w:color w:val="auto"/>
          <w:sz w:val="32"/>
          <w:szCs w:val="32"/>
          <w:lang w:val="en-US" w:eastAsia="zh-CN"/>
        </w:rPr>
        <w:t>888.28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91.74</w:t>
      </w:r>
      <w:r>
        <w:rPr>
          <w:rFonts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lang w:val="en-US" w:eastAsia="zh-CN"/>
        </w:rPr>
        <w:t>80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8.26</w:t>
      </w:r>
      <w:r>
        <w:rPr>
          <w:rFonts w:ascii="Times New Roman" w:hAnsi="Times New Roman" w:eastAsia="仿宋_GB2312" w:cs="Times New Roman"/>
          <w:color w:val="auto"/>
          <w:sz w:val="32"/>
          <w:szCs w:val="32"/>
        </w:rPr>
        <w:t>%；上缴上级支出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营支出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对附属单位补助支出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四、财政拨款收入支出决算总体情况说明</w:t>
      </w:r>
    </w:p>
    <w:p>
      <w:pPr>
        <w:snapToGrid w:val="0"/>
        <w:spacing w:line="520" w:lineRule="exact"/>
        <w:ind w:firstLine="640" w:firstLineChars="200"/>
        <w:rPr>
          <w:rFonts w:hint="eastAsia" w:ascii="仿宋_GB2312" w:hAnsi="仿宋" w:eastAsia="仿宋_GB2312"/>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年度财政拨款收、支总计</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12.62</w:t>
      </w:r>
      <w:r>
        <w:rPr>
          <w:rFonts w:ascii="Times New Roman" w:hAnsi="Times New Roman" w:eastAsia="仿宋_GB2312" w:cs="Times New Roman"/>
          <w:color w:val="auto"/>
          <w:sz w:val="32"/>
          <w:szCs w:val="32"/>
        </w:rPr>
        <w:t>%，主要是因为</w:t>
      </w:r>
      <w:r>
        <w:rPr>
          <w:rFonts w:hint="eastAsia" w:ascii="仿宋" w:hAnsi="仿宋" w:eastAsia="仿宋"/>
          <w:color w:val="auto"/>
          <w:sz w:val="32"/>
          <w:szCs w:val="32"/>
        </w:rPr>
        <w:t>交通事业单位体制改革由其他交通二级机构</w:t>
      </w:r>
      <w:r>
        <w:rPr>
          <w:rFonts w:hint="eastAsia" w:ascii="仿宋" w:hAnsi="仿宋" w:eastAsia="仿宋"/>
          <w:color w:val="auto"/>
          <w:sz w:val="32"/>
          <w:szCs w:val="32"/>
          <w:lang w:eastAsia="zh-CN"/>
        </w:rPr>
        <w:t>划转五人增加人员工资福利及公用经费</w:t>
      </w:r>
      <w:r>
        <w:rPr>
          <w:rFonts w:hint="eastAsia" w:ascii="仿宋" w:hAnsi="仿宋" w:eastAsia="仿宋"/>
          <w:color w:val="auto"/>
          <w:sz w:val="32"/>
          <w:szCs w:val="32"/>
        </w:rPr>
        <w:t>，</w:t>
      </w:r>
      <w:r>
        <w:rPr>
          <w:rFonts w:hint="eastAsia" w:ascii="仿宋" w:hAnsi="仿宋" w:eastAsia="仿宋"/>
          <w:color w:val="auto"/>
          <w:sz w:val="32"/>
          <w:szCs w:val="32"/>
          <w:lang w:eastAsia="zh-CN"/>
        </w:rPr>
        <w:t>且</w:t>
      </w:r>
      <w:r>
        <w:rPr>
          <w:rFonts w:hint="eastAsia" w:ascii="仿宋" w:hAnsi="仿宋" w:eastAsia="仿宋"/>
          <w:color w:val="auto"/>
          <w:sz w:val="32"/>
          <w:szCs w:val="32"/>
        </w:rPr>
        <w:t>财政</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（一）一般公共预算财政拨款支出决算总体情况</w:t>
      </w:r>
    </w:p>
    <w:p>
      <w:pPr>
        <w:snapToGrid w:val="0"/>
        <w:spacing w:line="520" w:lineRule="exact"/>
        <w:ind w:firstLine="640" w:firstLineChars="200"/>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%，与上年相比，财政拨款支出增加增加</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12.62</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主要是因为主要是因为</w:t>
      </w:r>
      <w:r>
        <w:rPr>
          <w:rFonts w:hint="eastAsia" w:ascii="仿宋" w:hAnsi="仿宋" w:eastAsia="仿宋"/>
          <w:color w:val="auto"/>
          <w:sz w:val="32"/>
          <w:szCs w:val="32"/>
        </w:rPr>
        <w:t>交通事业单位体制改革由其他交通二级机构</w:t>
      </w:r>
      <w:r>
        <w:rPr>
          <w:rFonts w:hint="eastAsia" w:ascii="仿宋" w:hAnsi="仿宋" w:eastAsia="仿宋"/>
          <w:color w:val="auto"/>
          <w:sz w:val="32"/>
          <w:szCs w:val="32"/>
          <w:lang w:eastAsia="zh-CN"/>
        </w:rPr>
        <w:t>划转五人增加人员工资福利及公用经费</w:t>
      </w:r>
      <w:r>
        <w:rPr>
          <w:rFonts w:hint="eastAsia" w:ascii="仿宋" w:hAnsi="仿宋" w:eastAsia="仿宋"/>
          <w:color w:val="auto"/>
          <w:sz w:val="32"/>
          <w:szCs w:val="32"/>
        </w:rPr>
        <w:t>，</w:t>
      </w:r>
      <w:r>
        <w:rPr>
          <w:rFonts w:hint="eastAsia" w:ascii="仿宋" w:hAnsi="仿宋" w:eastAsia="仿宋"/>
          <w:color w:val="auto"/>
          <w:sz w:val="32"/>
          <w:szCs w:val="32"/>
          <w:lang w:eastAsia="zh-CN"/>
        </w:rPr>
        <w:t>且</w:t>
      </w:r>
      <w:r>
        <w:rPr>
          <w:rFonts w:hint="eastAsia" w:ascii="仿宋" w:hAnsi="仿宋" w:eastAsia="仿宋"/>
          <w:color w:val="auto"/>
          <w:sz w:val="32"/>
          <w:szCs w:val="32"/>
        </w:rPr>
        <w:t>财政</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度财政拨款支出</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万元，主要用于以下方面：一般公共服务（类）支出</w:t>
      </w:r>
      <w:r>
        <w:rPr>
          <w:rFonts w:hint="eastAsia" w:ascii="Times New Roman" w:hAnsi="Times New Roman" w:eastAsia="仿宋_GB2312" w:cs="Times New Roman"/>
          <w:color w:val="auto"/>
          <w:sz w:val="32"/>
          <w:szCs w:val="32"/>
          <w:lang w:val="en-US" w:eastAsia="zh-CN"/>
        </w:rPr>
        <w:t>64.28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6.64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社会保障和就业支出</w:t>
      </w:r>
      <w:r>
        <w:rPr>
          <w:rFonts w:hint="eastAsia" w:ascii="Times New Roman" w:hAnsi="Times New Roman" w:eastAsia="仿宋_GB2312" w:cs="Times New Roman"/>
          <w:color w:val="auto"/>
          <w:sz w:val="32"/>
          <w:szCs w:val="32"/>
          <w:lang w:val="en-US" w:eastAsia="zh-CN"/>
        </w:rPr>
        <w:t>142.5万元，占14.72%；卫生健康支出30.44万元，占3.14%；交通运输支出663.01万元，占68.47%，住房保障支出64.58万元，占6.67%；其他支出3.47万元，占0.36%。</w:t>
      </w:r>
    </w:p>
    <w:p>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2025年度财政拨款支出年初预算数为756.19万元，支出决算数为968.28万元，完成年初预算的128.05%，其中：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1、社会保障和就业支出（类）行政事业单位养老支出（款）行政单位离退休（项）</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机关事业单位基本养老保险缴费支出（项）。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年初预算为125.42万元，支出决算为139.18万元，完成年初预算的113.62%，</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增加了养老保险</w:t>
      </w:r>
      <w:r>
        <w:rPr>
          <w:rFonts w:hint="eastAsia" w:ascii="Times New Roman" w:hAnsi="Times New Roman" w:eastAsia="仿宋_GB2312" w:cs="Times New Roman"/>
          <w:color w:val="auto"/>
          <w:sz w:val="32"/>
          <w:szCs w:val="32"/>
          <w:lang w:eastAsia="zh-CN"/>
        </w:rPr>
        <w:t>支出。</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eastAsia="zh-CN"/>
        </w:rPr>
        <w:t>社会保障和就业支出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eastAsia="zh-CN"/>
        </w:rPr>
        <w:t>就业补助</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其他就业补助支出</w:t>
      </w:r>
      <w:r>
        <w:rPr>
          <w:rFonts w:ascii="Times New Roman" w:hAnsi="Times New Roman" w:eastAsia="仿宋_GB2312" w:cs="Times New Roman"/>
          <w:color w:val="auto"/>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3.32</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我单位安排</w:t>
      </w:r>
      <w:r>
        <w:rPr>
          <w:rFonts w:hint="eastAsia" w:ascii="Times New Roman" w:hAnsi="Times New Roman" w:eastAsia="仿宋_GB2312" w:cs="Times New Roman"/>
          <w:color w:val="auto"/>
          <w:sz w:val="32"/>
          <w:szCs w:val="32"/>
          <w:lang w:val="en-US" w:eastAsia="zh-CN"/>
        </w:rPr>
        <w:t>1名</w:t>
      </w:r>
      <w:r>
        <w:rPr>
          <w:rFonts w:hint="eastAsia" w:ascii="Times New Roman" w:hAnsi="Times New Roman" w:eastAsia="仿宋_GB2312" w:cs="Times New Roman"/>
          <w:color w:val="auto"/>
          <w:sz w:val="32"/>
          <w:szCs w:val="32"/>
        </w:rPr>
        <w:t>公益性岗位</w:t>
      </w:r>
      <w:r>
        <w:rPr>
          <w:rFonts w:hint="eastAsia" w:ascii="Times New Roman" w:hAnsi="Times New Roman" w:eastAsia="仿宋_GB2312" w:cs="Times New Roman"/>
          <w:color w:val="auto"/>
          <w:sz w:val="32"/>
          <w:szCs w:val="32"/>
          <w:lang w:eastAsia="zh-CN"/>
        </w:rPr>
        <w:t>人员，省级财政</w:t>
      </w:r>
      <w:r>
        <w:rPr>
          <w:rFonts w:hint="eastAsia" w:ascii="Times New Roman" w:hAnsi="Times New Roman" w:eastAsia="仿宋_GB2312" w:cs="Times New Roman"/>
          <w:color w:val="auto"/>
          <w:sz w:val="32"/>
          <w:szCs w:val="32"/>
        </w:rPr>
        <w:t>补贴</w:t>
      </w:r>
      <w:r>
        <w:rPr>
          <w:rFonts w:hint="eastAsia" w:ascii="Times New Roman" w:hAnsi="Times New Roman" w:eastAsia="仿宋_GB2312" w:cs="Times New Roman"/>
          <w:color w:val="auto"/>
          <w:sz w:val="32"/>
          <w:szCs w:val="32"/>
          <w:lang w:val="en-US" w:eastAsia="zh-CN"/>
        </w:rPr>
        <w:t>3.32万元，年初未纳入预算。</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eastAsia="zh-CN"/>
        </w:rPr>
        <w:t>其他</w:t>
      </w:r>
      <w:r>
        <w:rPr>
          <w:rFonts w:ascii="Times New Roman" w:hAnsi="Times New Roman" w:eastAsia="仿宋_GB2312" w:cs="Times New Roman"/>
          <w:color w:val="auto"/>
          <w:sz w:val="32"/>
          <w:szCs w:val="32"/>
        </w:rPr>
        <w:t>一般公共服务（款）</w:t>
      </w:r>
      <w:r>
        <w:rPr>
          <w:rFonts w:hint="eastAsia" w:ascii="Times New Roman" w:hAnsi="Times New Roman" w:eastAsia="仿宋_GB2312" w:cs="Times New Roman"/>
          <w:color w:val="auto"/>
          <w:sz w:val="32"/>
          <w:szCs w:val="32"/>
          <w:lang w:eastAsia="zh-CN"/>
        </w:rPr>
        <w:t>其他</w:t>
      </w:r>
      <w:r>
        <w:rPr>
          <w:rFonts w:ascii="Times New Roman" w:hAnsi="Times New Roman" w:eastAsia="仿宋_GB2312" w:cs="Times New Roman"/>
          <w:color w:val="auto"/>
          <w:sz w:val="32"/>
          <w:szCs w:val="32"/>
        </w:rPr>
        <w:t>一般公共服务</w:t>
      </w:r>
      <w:r>
        <w:rPr>
          <w:rFonts w:hint="eastAsia" w:ascii="Times New Roman" w:hAnsi="Times New Roman" w:eastAsia="仿宋_GB2312" w:cs="Times New Roman"/>
          <w:color w:val="auto"/>
          <w:sz w:val="32"/>
          <w:szCs w:val="32"/>
          <w:lang w:eastAsia="zh-CN"/>
        </w:rPr>
        <w:t>支出</w:t>
      </w:r>
      <w:r>
        <w:rPr>
          <w:rFonts w:ascii="Times New Roman" w:hAnsi="Times New Roman" w:eastAsia="仿宋_GB2312" w:cs="Times New Roman"/>
          <w:color w:val="auto"/>
          <w:sz w:val="32"/>
          <w:szCs w:val="32"/>
        </w:rPr>
        <w:t>（项）。</w:t>
      </w:r>
    </w:p>
    <w:p>
      <w:pPr>
        <w:snapToGrid w:val="0"/>
        <w:spacing w:line="520" w:lineRule="exact"/>
        <w:ind w:firstLine="640" w:firstLineChars="200"/>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64.28</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rPr>
        <w:t>2025年</w:t>
      </w:r>
      <w:r>
        <w:rPr>
          <w:rFonts w:hint="eastAsia" w:ascii="Times New Roman" w:hAnsi="Times New Roman" w:eastAsia="仿宋_GB2312" w:cs="Times New Roman"/>
          <w:color w:val="auto"/>
          <w:sz w:val="32"/>
          <w:szCs w:val="32"/>
          <w:lang w:eastAsia="zh-CN"/>
        </w:rPr>
        <w:t>进行年度工资正常晋薪调整，同时</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卫生健康支出（类）行政事业单位医疗（款）行政单位医疗</w:t>
      </w:r>
      <w:r>
        <w:rPr>
          <w:rFonts w:hint="eastAsia" w:ascii="Times New Roman" w:hAnsi="Times New Roman" w:eastAsia="仿宋_GB2312"/>
          <w:color w:val="auto"/>
          <w:sz w:val="32"/>
          <w:szCs w:val="32"/>
          <w:lang w:val="en-US" w:eastAsia="zh-CN"/>
        </w:rPr>
        <w:t>/事业单位医疗</w:t>
      </w:r>
      <w:r>
        <w:rPr>
          <w:rFonts w:hint="eastAsia" w:ascii="Times New Roman" w:hAnsi="Times New Roman" w:eastAsia="仿宋_GB2312"/>
          <w:color w:val="auto"/>
          <w:sz w:val="32"/>
          <w:szCs w:val="32"/>
          <w:lang w:eastAsia="zh-CN"/>
        </w:rPr>
        <w:t>（项）</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26.41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30.44</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完成年初预算的115.26%，</w:t>
      </w:r>
      <w:r>
        <w:rPr>
          <w:rFonts w:ascii="Times New Roman" w:hAnsi="Times New Roman" w:eastAsia="仿宋_GB2312" w:cs="Times New Roman"/>
          <w:color w:val="auto"/>
          <w:sz w:val="32"/>
          <w:szCs w:val="32"/>
        </w:rPr>
        <w:t>决算数大于年初预算数的主要原因是：</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增加了医疗保险</w:t>
      </w:r>
      <w:r>
        <w:rPr>
          <w:rFonts w:hint="eastAsia" w:ascii="Times New Roman" w:hAnsi="Times New Roman" w:eastAsia="仿宋_GB2312" w:cs="Times New Roman"/>
          <w:color w:val="auto"/>
          <w:sz w:val="32"/>
          <w:szCs w:val="32"/>
          <w:lang w:eastAsia="zh-CN"/>
        </w:rPr>
        <w:t>支出。</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交通运输支出（类）公路水路运输（款）行政运行（项）。</w:t>
      </w:r>
    </w:p>
    <w:p>
      <w:pPr>
        <w:pStyle w:val="14"/>
        <w:overflowPunct w:val="0"/>
        <w:autoSpaceDE/>
        <w:autoSpaceDN/>
        <w:spacing w:line="600" w:lineRule="exact"/>
        <w:ind w:firstLine="640" w:firstLineChars="200"/>
        <w:jc w:val="both"/>
        <w:rPr>
          <w:rFonts w:hint="eastAsia" w:ascii="Times New Roman" w:hAnsi="Times New Roman" w:eastAsia="仿宋"/>
          <w:color w:val="auto"/>
          <w:sz w:val="32"/>
          <w:szCs w:val="32"/>
          <w:lang w:val="en-US" w:eastAsia="zh-CN"/>
        </w:rPr>
      </w:pPr>
      <w:r>
        <w:rPr>
          <w:rFonts w:hint="eastAsia" w:ascii="Times New Roman" w:hAnsi="Times New Roman" w:eastAsia="仿宋_GB2312"/>
          <w:color w:val="auto"/>
          <w:sz w:val="32"/>
          <w:szCs w:val="32"/>
          <w:lang w:val="en-US" w:eastAsia="zh-CN"/>
        </w:rPr>
        <w:t>年初预算为524.62万元，支出决算数为583.01万元，完成年初预算的111.51%</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交</w:t>
      </w:r>
      <w:r>
        <w:rPr>
          <w:rFonts w:hint="eastAsia" w:ascii="仿宋" w:hAnsi="仿宋" w:eastAsia="仿宋"/>
          <w:color w:val="auto"/>
          <w:sz w:val="32"/>
          <w:szCs w:val="32"/>
        </w:rPr>
        <w:t>通事业单位体制改革由其他交通二级机构划转五人</w:t>
      </w:r>
      <w:r>
        <w:rPr>
          <w:rFonts w:hint="eastAsia" w:ascii="仿宋" w:hAnsi="仿宋" w:eastAsia="仿宋"/>
          <w:color w:val="auto"/>
          <w:sz w:val="32"/>
          <w:szCs w:val="32"/>
          <w:lang w:eastAsia="zh-CN"/>
        </w:rPr>
        <w:t>增加工资津贴福利支出。</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6、交通运输支出（类）公路水路运输（款）公路养护（项）</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年初预算为0万元，支出决算为50万元,决算数大于年初预算数的主要原因是：年中追加国省干线大中修项目支出50万元，年初无预算。</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7、交通运输支出（类）公路水路运输（款）其他公路水路运输支出（项）</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年初预算为25万元，支出决算为23万元，完成年初预算的92%，决算数与年初预算数基本持平。2025年重要农村公路监督工作经费20万元，地方铁路建设工程质量安全监督经费3万元。</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8、交通运输支出（类）其他交通运输支出（款）其他交通运输支出（项）</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年初预算为0万元，支出决算数为7万元，决算数大于年初预算数的主要原因是</w:t>
      </w:r>
      <w:r>
        <w:rPr>
          <w:rFonts w:hint="eastAsia" w:ascii="Times New Roman" w:hAnsi="Times New Roman" w:eastAsia="仿宋_GB2312"/>
          <w:color w:val="auto"/>
          <w:sz w:val="32"/>
          <w:szCs w:val="32"/>
          <w:lang w:val="en-US" w:eastAsia="zh-CN"/>
        </w:rPr>
        <w:t>年中追加交通安全经费7万元，年初无预算。</w:t>
      </w:r>
    </w:p>
    <w:p>
      <w:pPr>
        <w:pStyle w:val="14"/>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highlight w:val="none"/>
          <w:lang w:val="en-US" w:eastAsia="zh-CN"/>
        </w:rPr>
        <w:t>9、</w:t>
      </w:r>
      <w:r>
        <w:rPr>
          <w:rFonts w:hint="eastAsia" w:ascii="Times New Roman" w:hAnsi="Times New Roman" w:eastAsia="仿宋_GB2312"/>
          <w:color w:val="auto"/>
          <w:sz w:val="32"/>
          <w:szCs w:val="32"/>
          <w:lang w:val="en-US" w:eastAsia="zh-CN"/>
        </w:rPr>
        <w:t>住房保障支出（类）住房改革支出（款）住房公积金（项）</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lang w:val="en-US" w:eastAsia="zh-CN"/>
        </w:rPr>
        <w:t>年初预算为54.75万元，支出决算数为64.58万元，完成年初预算的117.95%。</w:t>
      </w:r>
      <w:r>
        <w:rPr>
          <w:rFonts w:hint="eastAsia" w:ascii="Times New Roman" w:hAnsi="Times New Roman" w:eastAsia="仿宋_GB2312"/>
          <w:color w:val="auto"/>
          <w:sz w:val="32"/>
          <w:szCs w:val="32"/>
          <w:highlight w:val="none"/>
          <w:lang w:val="en-US" w:eastAsia="zh-CN"/>
        </w:rPr>
        <w:t>决算数大于年初预算数的主要原因是</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增加了住房公积金支出。</w:t>
      </w:r>
    </w:p>
    <w:p>
      <w:pPr>
        <w:pStyle w:val="14"/>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10、其他支出（类）其他支出（款）其他支出（项）</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年初预算为0万元，支出决算为3.47万元，决算数大于预算数的主要原因是</w:t>
      </w:r>
      <w:r>
        <w:rPr>
          <w:rFonts w:hint="eastAsia" w:ascii="Times New Roman" w:hAnsi="Times New Roman" w:eastAsia="仿宋_GB2312" w:cs="Times New Roman"/>
          <w:color w:val="auto"/>
          <w:sz w:val="32"/>
          <w:szCs w:val="32"/>
          <w:lang w:val="en-US" w:eastAsia="zh-CN"/>
        </w:rPr>
        <w:t>2025年收取垫付单位家属区水费、个税代扣代缴手续费和养老保险个人部分缴费本息退还。</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按照支出功能分类，</w:t>
      </w:r>
      <w:r>
        <w:rPr>
          <w:rFonts w:hint="eastAsia" w:ascii="Times New Roman" w:hAnsi="Times New Roman" w:eastAsia="仿宋_GB2312" w:cs="Times New Roman"/>
          <w:color w:val="auto"/>
          <w:sz w:val="32"/>
          <w:szCs w:val="32"/>
          <w:lang w:eastAsia="zh-CN"/>
        </w:rPr>
        <w:t>交通运输</w:t>
      </w:r>
      <w:r>
        <w:rPr>
          <w:rFonts w:hint="eastAsia" w:ascii="Times New Roman" w:hAnsi="Times New Roman" w:eastAsia="仿宋_GB2312" w:cs="Times New Roman"/>
          <w:color w:val="auto"/>
          <w:sz w:val="32"/>
          <w:szCs w:val="32"/>
        </w:rPr>
        <w:t>方面的支出规模较大，主要是：</w:t>
      </w:r>
      <w:r>
        <w:rPr>
          <w:rFonts w:hint="eastAsia" w:ascii="Times New Roman" w:hAnsi="Times New Roman" w:eastAsia="仿宋_GB2312" w:cs="Times New Roman"/>
          <w:color w:val="auto"/>
          <w:sz w:val="32"/>
          <w:szCs w:val="32"/>
          <w:lang w:eastAsia="zh-CN"/>
        </w:rPr>
        <w:t>行政运行</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583.01</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60.21</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工资福利、办公差旅等公用经费开支，保障日常行政管理正常运行。</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888.28</w:t>
      </w:r>
      <w:r>
        <w:rPr>
          <w:rFonts w:ascii="Times New Roman" w:hAnsi="Times New Roman" w:eastAsia="仿宋_GB2312" w:cs="Times New Roman"/>
          <w:color w:val="auto"/>
          <w:sz w:val="32"/>
          <w:szCs w:val="32"/>
        </w:rPr>
        <w:t>万元，其中：</w:t>
      </w:r>
    </w:p>
    <w:p>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s="Times New Roman"/>
          <w:color w:val="auto"/>
          <w:sz w:val="32"/>
          <w:szCs w:val="32"/>
        </w:rPr>
        <w:t>人员经费</w:t>
      </w:r>
      <w:r>
        <w:rPr>
          <w:rFonts w:hint="eastAsia" w:ascii="Times New Roman" w:hAnsi="Times New Roman" w:eastAsia="仿宋_GB2312" w:cs="Times New Roman"/>
          <w:color w:val="auto"/>
          <w:sz w:val="32"/>
          <w:szCs w:val="32"/>
          <w:lang w:val="en-US" w:eastAsia="zh-CN"/>
        </w:rPr>
        <w:t>860.66</w:t>
      </w:r>
      <w:r>
        <w:rPr>
          <w:rFonts w:hint="eastAsia"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96.89</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w:t>
      </w:r>
      <w:r>
        <w:rPr>
          <w:rFonts w:hint="eastAsia" w:ascii="Times New Roman" w:hAnsi="Times New Roman" w:eastAsia="仿宋_GB2312"/>
          <w:color w:val="auto"/>
          <w:sz w:val="32"/>
          <w:szCs w:val="32"/>
          <w:lang w:val="en-US" w:eastAsia="zh-CN"/>
        </w:rPr>
        <w:t>主要包括基本工资268.79万元</w:t>
      </w:r>
      <w:r>
        <w:rPr>
          <w:rFonts w:hint="eastAsia" w:ascii="Times New Roman" w:hAnsi="Times New Roman" w:eastAsia="仿宋_GB2312"/>
          <w:color w:val="auto"/>
          <w:sz w:val="32"/>
          <w:szCs w:val="32"/>
        </w:rPr>
        <w:t>、津贴补</w:t>
      </w:r>
      <w:r>
        <w:rPr>
          <w:rFonts w:hint="eastAsia" w:ascii="Times New Roman" w:hAnsi="Times New Roman" w:eastAsia="仿宋_GB2312"/>
          <w:color w:val="auto"/>
          <w:sz w:val="32"/>
          <w:szCs w:val="32"/>
          <w:lang w:eastAsia="zh-CN"/>
        </w:rPr>
        <w:t>贴</w:t>
      </w:r>
      <w:r>
        <w:rPr>
          <w:rFonts w:hint="eastAsia" w:ascii="Times New Roman" w:hAnsi="Times New Roman" w:eastAsia="仿宋_GB2312"/>
          <w:color w:val="auto"/>
          <w:sz w:val="32"/>
          <w:szCs w:val="32"/>
          <w:lang w:val="en-US" w:eastAsia="zh-CN"/>
        </w:rPr>
        <w:t>225.23万元</w:t>
      </w:r>
      <w:r>
        <w:rPr>
          <w:rFonts w:hint="eastAsia" w:ascii="Times New Roman" w:hAnsi="Times New Roman" w:eastAsia="仿宋_GB2312"/>
          <w:color w:val="auto"/>
          <w:sz w:val="32"/>
          <w:szCs w:val="32"/>
        </w:rPr>
        <w:t>、奖金</w:t>
      </w:r>
      <w:r>
        <w:rPr>
          <w:rFonts w:hint="eastAsia" w:ascii="Times New Roman" w:hAnsi="Times New Roman" w:eastAsia="仿宋_GB2312"/>
          <w:color w:val="auto"/>
          <w:sz w:val="32"/>
          <w:szCs w:val="32"/>
          <w:lang w:val="en-US" w:eastAsia="zh-CN"/>
        </w:rPr>
        <w:t>79.18万元</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职工基本养老保险及医疗保险费</w:t>
      </w:r>
      <w:r>
        <w:rPr>
          <w:rFonts w:hint="eastAsia" w:ascii="Times New Roman" w:hAnsi="Times New Roman" w:eastAsia="仿宋_GB2312"/>
          <w:color w:val="auto"/>
          <w:sz w:val="32"/>
          <w:szCs w:val="32"/>
          <w:lang w:val="en-US" w:eastAsia="zh-CN"/>
        </w:rPr>
        <w:t xml:space="preserve">107.07万元，其他社会保障缴费4.08万元，公积金64.58万元，对个人和家庭的补助68.74万元等。 </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lang w:val="en-US" w:eastAsia="zh-CN"/>
        </w:rPr>
        <w:t>27.62</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3.11</w:t>
      </w:r>
      <w:r>
        <w:rPr>
          <w:rFonts w:ascii="Times New Roman" w:hAnsi="Times New Roman" w:eastAsia="仿宋_GB2312" w:cs="Times New Roman"/>
          <w:color w:val="auto"/>
          <w:sz w:val="32"/>
          <w:szCs w:val="32"/>
        </w:rPr>
        <w:t>%，主要包括</w:t>
      </w:r>
      <w:r>
        <w:rPr>
          <w:rFonts w:hint="eastAsia" w:ascii="Times New Roman" w:hAnsi="Times New Roman" w:eastAsia="仿宋_GB2312" w:cs="Times New Roman"/>
          <w:color w:val="auto"/>
          <w:sz w:val="32"/>
          <w:szCs w:val="32"/>
          <w:lang w:eastAsia="zh-CN"/>
        </w:rPr>
        <w:t>工会经费</w:t>
      </w:r>
      <w:r>
        <w:rPr>
          <w:rFonts w:hint="eastAsia" w:ascii="Times New Roman" w:hAnsi="Times New Roman" w:eastAsia="仿宋_GB2312" w:cs="Times New Roman"/>
          <w:color w:val="auto"/>
          <w:sz w:val="32"/>
          <w:szCs w:val="32"/>
          <w:lang w:val="en-US" w:eastAsia="zh-CN"/>
        </w:rPr>
        <w:t>22.48万元，办公设备购置2.47万元等。</w:t>
      </w:r>
    </w:p>
    <w:p>
      <w:pPr>
        <w:pStyle w:val="14"/>
        <w:numPr>
          <w:ilvl w:val="0"/>
          <w:numId w:val="3"/>
        </w:numP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财政拨款“三公”经费支出决算情况说明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pPr>
        <w:spacing w:line="572" w:lineRule="exact"/>
        <w:ind w:firstLine="640" w:firstLineChars="200"/>
        <w:rPr>
          <w:rFonts w:ascii="Times New Roman" w:hAnsi="Times New Roman" w:eastAsia="仿宋_GB2312" w:cs="Times New Roman"/>
          <w:color w:val="auto"/>
          <w:sz w:val="32"/>
          <w:szCs w:val="32"/>
          <w:highlight w:val="yellow"/>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1.5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354.67</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7.51</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58.53</w:t>
      </w:r>
      <w:r>
        <w:rPr>
          <w:rFonts w:ascii="Times New Roman" w:hAnsi="Times New Roman" w:eastAsia="仿宋_GB2312" w:cs="Times New Roman"/>
          <w:color w:val="auto"/>
          <w:sz w:val="32"/>
          <w:szCs w:val="32"/>
        </w:rPr>
        <w:t>%。决算数大于预算数的主要原因是</w:t>
      </w:r>
      <w:r>
        <w:rPr>
          <w:rFonts w:hint="eastAsia" w:ascii="Times New Roman" w:hAnsi="Times New Roman" w:eastAsia="仿宋_GB2312" w:cs="Times New Roman"/>
          <w:color w:val="auto"/>
          <w:sz w:val="32"/>
          <w:szCs w:val="32"/>
          <w:lang w:eastAsia="zh-CN"/>
        </w:rPr>
        <w:t>年初预算不够科学精准，</w:t>
      </w:r>
      <w:r>
        <w:rPr>
          <w:rFonts w:hint="eastAsia" w:ascii="Times New Roman" w:hAnsi="Times New Roman" w:eastAsia="仿宋_GB2312" w:cs="Times New Roman"/>
          <w:color w:val="auto"/>
          <w:sz w:val="32"/>
          <w:szCs w:val="32"/>
          <w:highlight w:val="none"/>
          <w:lang w:eastAsia="zh-CN"/>
        </w:rPr>
        <w:t>年中又追加了交通安全经费、国省干线大中修质量安全监督</w:t>
      </w:r>
      <w:r>
        <w:rPr>
          <w:rFonts w:hint="eastAsia" w:ascii="Times New Roman" w:hAnsi="Times New Roman" w:eastAsia="仿宋_GB2312" w:cs="Times New Roman"/>
          <w:color w:val="auto"/>
          <w:sz w:val="32"/>
          <w:szCs w:val="32"/>
          <w:highlight w:val="none"/>
          <w:lang w:val="en-US" w:eastAsia="zh-CN"/>
        </w:rPr>
        <w:t>项目经费，并对公务用车维护费用进行了调整</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rPr>
        <w:t>决算数小于上年数的主要原因是</w:t>
      </w:r>
      <w:r>
        <w:rPr>
          <w:rFonts w:hint="eastAsia" w:ascii="仿宋" w:hAnsi="仿宋" w:eastAsia="仿宋"/>
          <w:color w:val="auto"/>
          <w:sz w:val="32"/>
        </w:rPr>
        <w:t>无公务接待支出，科学统筹出差公务车辆使用，将同方向同性质的出差合并，减少用车频次。</w:t>
      </w:r>
    </w:p>
    <w:p>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7.31</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降低</w:t>
      </w:r>
      <w:r>
        <w:rPr>
          <w:rFonts w:hint="eastAsia" w:ascii="Times New Roman" w:hAnsi="Times New Roman" w:eastAsia="仿宋_GB2312" w:cs="Times New Roman"/>
          <w:color w:val="auto"/>
          <w:sz w:val="32"/>
          <w:szCs w:val="32"/>
          <w:lang w:val="en-US" w:eastAsia="zh-CN"/>
        </w:rPr>
        <w:t>57.88</w:t>
      </w:r>
      <w:r>
        <w:rPr>
          <w:rFonts w:ascii="Times New Roman" w:hAnsi="Times New Roman" w:eastAsia="仿宋_GB2312" w:cs="Times New Roman"/>
          <w:color w:val="auto"/>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公务用车</w:t>
      </w:r>
      <w:r>
        <w:rPr>
          <w:rFonts w:ascii="Times New Roman" w:hAnsi="Times New Roman" w:eastAsia="仿宋_GB2312" w:cs="Times New Roman"/>
          <w:color w:val="auto"/>
          <w:sz w:val="32"/>
          <w:szCs w:val="32"/>
          <w:highlight w:val="none"/>
        </w:rPr>
        <w:t>购置费</w:t>
      </w:r>
      <w:r>
        <w:rPr>
          <w:rFonts w:ascii="Times New Roman" w:hAnsi="Times New Roman" w:eastAsia="仿宋_GB2312" w:cs="Times New Roman"/>
          <w:color w:val="auto"/>
          <w:sz w:val="32"/>
          <w:szCs w:val="32"/>
        </w:rPr>
        <w:t>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与上年持平，</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eastAsia="zh-CN"/>
        </w:rPr>
        <w:t>本年没有更新公务用车。</w:t>
      </w:r>
    </w:p>
    <w:p>
      <w:pPr>
        <w:spacing w:line="572"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对</w:t>
      </w:r>
      <w:r>
        <w:rPr>
          <w:rFonts w:hint="eastAsia" w:ascii="Times New Roman" w:hAnsi="Times New Roman" w:eastAsia="仿宋_GB2312"/>
          <w:color w:val="auto"/>
          <w:sz w:val="32"/>
          <w:szCs w:val="32"/>
          <w:lang w:val="en-US" w:eastAsia="zh-CN"/>
        </w:rPr>
        <w:t>各县市区交通安全监督检查、质量检测、部门衔接工作、调研等发生的支出</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7.31</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降低</w:t>
      </w:r>
      <w:r>
        <w:rPr>
          <w:rFonts w:hint="eastAsia" w:ascii="Times New Roman" w:hAnsi="Times New Roman" w:eastAsia="仿宋_GB2312" w:cs="Times New Roman"/>
          <w:color w:val="auto"/>
          <w:sz w:val="32"/>
          <w:szCs w:val="32"/>
          <w:lang w:val="en-US" w:eastAsia="zh-CN"/>
        </w:rPr>
        <w:t>57.88</w:t>
      </w:r>
      <w:r>
        <w:rPr>
          <w:rFonts w:ascii="Times New Roman" w:hAnsi="Times New Roman" w:eastAsia="仿宋_GB2312" w:cs="Times New Roman"/>
          <w:color w:val="auto"/>
          <w:sz w:val="32"/>
          <w:szCs w:val="32"/>
        </w:rPr>
        <w:t>%。决算数大于预算数的主要原因是</w:t>
      </w:r>
      <w:r>
        <w:rPr>
          <w:rFonts w:hint="eastAsia" w:ascii="Times New Roman" w:hAnsi="Times New Roman" w:eastAsia="仿宋_GB2312" w:cs="Times New Roman"/>
          <w:color w:val="auto"/>
          <w:sz w:val="32"/>
          <w:szCs w:val="32"/>
          <w:lang w:eastAsia="zh-CN"/>
        </w:rPr>
        <w:t>预算不够精准</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w:t>
      </w:r>
      <w:r>
        <w:rPr>
          <w:rFonts w:ascii="Times New Roman" w:hAnsi="Times New Roman" w:eastAsia="仿宋_GB2312" w:cs="Times New Roman"/>
          <w:color w:val="auto"/>
          <w:sz w:val="32"/>
          <w:szCs w:val="32"/>
        </w:rPr>
        <w:t>于上年数的主要原因是</w:t>
      </w:r>
      <w:r>
        <w:rPr>
          <w:rFonts w:hint="eastAsia" w:ascii="仿宋" w:hAnsi="仿宋" w:eastAsia="仿宋"/>
          <w:color w:val="auto"/>
          <w:sz w:val="32"/>
        </w:rPr>
        <w:t>科学统筹出差公务车辆使用，将同方向同性质的出差合并，减少用车频次。</w:t>
      </w:r>
      <w:r>
        <w:rPr>
          <w:rFonts w:ascii="Times New Roman" w:hAnsi="Times New Roman" w:eastAsia="仿宋_GB2312" w:cs="Times New Roman"/>
          <w:color w:val="auto"/>
          <w:sz w:val="32"/>
          <w:szCs w:val="32"/>
        </w:rPr>
        <w:t>截止202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p>
    <w:p>
      <w:pPr>
        <w:pStyle w:val="14"/>
        <w:ind w:firstLine="640" w:firstLineChars="200"/>
        <w:rPr>
          <w:rFonts w:hint="default" w:ascii="Times New Roman" w:hAnsi="Times New Roman" w:eastAsia="仿宋_GB2312" w:cs="Times New Roman"/>
          <w:color w:val="auto"/>
          <w:sz w:val="32"/>
          <w:szCs w:val="32"/>
          <w:lang w:val="en-US"/>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0.5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0.2</w:t>
      </w:r>
      <w:r>
        <w:rPr>
          <w:rFonts w:ascii="Times New Roman" w:hAnsi="Times New Roman" w:eastAsia="仿宋_GB2312" w:cs="Times New Roman"/>
          <w:color w:val="auto"/>
          <w:sz w:val="32"/>
          <w:szCs w:val="32"/>
        </w:rPr>
        <w:t>万元。决算数</w:t>
      </w:r>
      <w:r>
        <w:rPr>
          <w:rFonts w:hint="eastAsia" w:ascii="Times New Roman" w:hAnsi="Times New Roman" w:eastAsia="仿宋_GB2312" w:cs="Times New Roman"/>
          <w:color w:val="auto"/>
          <w:sz w:val="32"/>
          <w:szCs w:val="32"/>
          <w:lang w:eastAsia="zh-CN"/>
        </w:rPr>
        <w:t>小于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eastAsia="zh-CN"/>
        </w:rPr>
        <w:t>市</w:t>
      </w:r>
      <w:r>
        <w:rPr>
          <w:rFonts w:hint="eastAsia" w:ascii="仿宋" w:hAnsi="仿宋" w:eastAsia="仿宋"/>
          <w:color w:val="auto"/>
          <w:sz w:val="32"/>
        </w:rPr>
        <w:t>委市政府调整公务接待</w:t>
      </w:r>
      <w:r>
        <w:rPr>
          <w:rFonts w:hint="eastAsia" w:ascii="仿宋" w:hAnsi="仿宋" w:eastAsia="仿宋"/>
          <w:color w:val="auto"/>
          <w:sz w:val="32"/>
          <w:lang w:eastAsia="zh-CN"/>
        </w:rPr>
        <w:t>管理规定</w:t>
      </w:r>
      <w:r>
        <w:rPr>
          <w:rFonts w:hint="eastAsia" w:ascii="仿宋" w:hAnsi="仿宋" w:eastAsia="仿宋"/>
          <w:color w:val="auto"/>
          <w:sz w:val="32"/>
        </w:rPr>
        <w:t>，</w:t>
      </w:r>
      <w:r>
        <w:rPr>
          <w:rFonts w:hint="eastAsia" w:ascii="仿宋" w:hAnsi="仿宋" w:eastAsia="仿宋"/>
          <w:color w:val="auto"/>
          <w:sz w:val="32"/>
          <w:lang w:eastAsia="zh-CN"/>
        </w:rPr>
        <w:t>发生公务活动时接待对象自行用餐或者接待单位协助用餐，餐费由接待对象自付</w:t>
      </w:r>
      <w:r>
        <w:rPr>
          <w:rFonts w:hint="eastAsia" w:ascii="仿宋" w:hAnsi="仿宋" w:eastAsia="仿宋"/>
          <w:color w:val="auto"/>
          <w:sz w:val="32"/>
        </w:rPr>
        <w:t>。</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小于</w:t>
      </w:r>
      <w:r>
        <w:rPr>
          <w:rFonts w:ascii="Times New Roman" w:hAnsi="Times New Roman" w:eastAsia="仿宋_GB2312" w:cs="Times New Roman"/>
          <w:color w:val="auto"/>
          <w:sz w:val="32"/>
          <w:szCs w:val="32"/>
        </w:rPr>
        <w:t>上年数的主要原因是</w:t>
      </w:r>
      <w:r>
        <w:rPr>
          <w:rFonts w:hint="eastAsia" w:ascii="Times New Roman" w:hAnsi="Times New Roman" w:eastAsia="仿宋_GB2312" w:cs="Times New Roman"/>
          <w:color w:val="auto"/>
          <w:sz w:val="32"/>
          <w:szCs w:val="32"/>
          <w:lang w:eastAsia="zh-CN"/>
        </w:rPr>
        <w:t>根据文件要求，</w:t>
      </w:r>
      <w:r>
        <w:rPr>
          <w:rFonts w:hint="eastAsia" w:ascii="仿宋" w:hAnsi="仿宋" w:eastAsia="仿宋"/>
          <w:color w:val="auto"/>
          <w:sz w:val="32"/>
        </w:rPr>
        <w:t>全年未发生开支</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年度共接待来访团组</w:t>
      </w:r>
      <w:r>
        <w:rPr>
          <w:rFonts w:hint="eastAsia" w:ascii="Times New Roman" w:hAnsi="Times New Roman" w:eastAsia="仿宋_GB2312" w:cs="Times New Roman"/>
          <w:color w:val="auto"/>
          <w:sz w:val="32"/>
          <w:szCs w:val="32"/>
          <w:lang w:val="en-US" w:eastAsia="zh-CN"/>
        </w:rPr>
        <w:t>0个。</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w:t>
      </w:r>
      <w:r>
        <w:rPr>
          <w:rFonts w:hint="eastAsia" w:ascii="Times New Roman" w:hAnsi="Times New Roman" w:eastAsia="仿宋_GB2312" w:cs="Times New Roman"/>
          <w:color w:val="auto"/>
          <w:sz w:val="32"/>
          <w:szCs w:val="32"/>
          <w:lang w:eastAsia="zh-CN"/>
        </w:rPr>
        <w:t>本单位无</w:t>
      </w:r>
      <w:r>
        <w:rPr>
          <w:rFonts w:ascii="Times New Roman" w:hAnsi="Times New Roman" w:eastAsia="仿宋_GB2312" w:cs="Times New Roman"/>
          <w:color w:val="auto"/>
          <w:sz w:val="32"/>
          <w:szCs w:val="32"/>
        </w:rPr>
        <w:t>政府性基金</w:t>
      </w:r>
      <w:r>
        <w:rPr>
          <w:rFonts w:hint="eastAsia" w:ascii="Times New Roman" w:hAnsi="Times New Roman" w:eastAsia="仿宋_GB2312" w:cs="Times New Roman"/>
          <w:color w:val="auto"/>
          <w:sz w:val="32"/>
          <w:szCs w:val="32"/>
          <w:lang w:eastAsia="zh-CN"/>
        </w:rPr>
        <w:t>收支。</w:t>
      </w:r>
    </w:p>
    <w:p>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cs="Times New Roman"/>
          <w:bCs/>
          <w:color w:val="auto"/>
          <w:sz w:val="32"/>
          <w:szCs w:val="32"/>
          <w:lang w:eastAsia="zh-CN"/>
        </w:rPr>
      </w:pPr>
      <w:r>
        <w:rPr>
          <w:rFonts w:hint="eastAsia" w:ascii="Times New Roman" w:hAnsi="Times New Roman" w:cs="Times New Roman"/>
          <w:bCs/>
          <w:color w:val="auto"/>
          <w:sz w:val="32"/>
          <w:szCs w:val="32"/>
          <w:lang w:eastAsia="zh-CN"/>
        </w:rPr>
        <w:t>九、国有资本经营预算收入支出决算情况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2025年度国有资本经营收入0万元，支出0万元。</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lang w:eastAsia="zh-CN"/>
        </w:rPr>
        <w:t>十</w:t>
      </w:r>
      <w:r>
        <w:rPr>
          <w:rFonts w:ascii="Times New Roman" w:hAnsi="Times New Roman" w:cs="Times New Roman"/>
          <w:bCs/>
          <w:color w:val="auto"/>
          <w:sz w:val="32"/>
          <w:szCs w:val="32"/>
        </w:rPr>
        <w:t>、关于机关运行经费支出说明</w:t>
      </w:r>
    </w:p>
    <w:p>
      <w:pPr>
        <w:pStyle w:val="14"/>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本部门不属于行政单位和参照公务员法管理事业单位，无机关运行经费。</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一</w:t>
      </w:r>
      <w:r>
        <w:rPr>
          <w:rFonts w:ascii="Times New Roman" w:hAnsi="Times New Roman" w:cs="Times New Roman"/>
          <w:bCs/>
          <w:color w:val="auto"/>
          <w:sz w:val="32"/>
          <w:szCs w:val="32"/>
        </w:rPr>
        <w:t>、一般性支出情况说明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cs="Times New Roman"/>
          <w:bCs/>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年本部门</w:t>
      </w:r>
      <w:r>
        <w:rPr>
          <w:rFonts w:hint="eastAsia" w:ascii="Times New Roman" w:hAnsi="Times New Roman" w:eastAsia="仿宋_GB2312"/>
          <w:color w:val="auto"/>
          <w:sz w:val="32"/>
          <w:szCs w:val="32"/>
          <w:lang w:eastAsia="zh-CN"/>
        </w:rPr>
        <w:t>会议费年初预算数</w:t>
      </w:r>
      <w:r>
        <w:rPr>
          <w:rFonts w:hint="eastAsia" w:ascii="Times New Roman" w:hAnsi="Times New Roman" w:eastAsia="仿宋_GB2312"/>
          <w:color w:val="auto"/>
          <w:sz w:val="32"/>
          <w:szCs w:val="32"/>
          <w:lang w:val="en-US" w:eastAsia="zh-CN"/>
        </w:rPr>
        <w:t>0万元，</w:t>
      </w:r>
      <w:r>
        <w:rPr>
          <w:rFonts w:hint="eastAsia" w:ascii="Times New Roman" w:hAnsi="Times New Roman" w:eastAsia="仿宋_GB2312"/>
          <w:color w:val="auto"/>
          <w:sz w:val="32"/>
          <w:szCs w:val="32"/>
        </w:rPr>
        <w:t>开支会议费</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培训费年初预算数</w:t>
      </w:r>
      <w:r>
        <w:rPr>
          <w:rFonts w:hint="eastAsia" w:ascii="Times New Roman" w:hAnsi="Times New Roman" w:eastAsia="仿宋_GB2312"/>
          <w:color w:val="auto"/>
          <w:sz w:val="32"/>
          <w:szCs w:val="32"/>
          <w:lang w:val="en-US" w:eastAsia="zh-CN"/>
        </w:rPr>
        <w:t>1万元，</w:t>
      </w:r>
      <w:r>
        <w:rPr>
          <w:rFonts w:hint="eastAsia" w:ascii="Times New Roman" w:hAnsi="Times New Roman" w:eastAsia="仿宋_GB2312"/>
          <w:color w:val="auto"/>
          <w:sz w:val="32"/>
          <w:szCs w:val="32"/>
        </w:rPr>
        <w:t>培训</w:t>
      </w:r>
      <w:r>
        <w:rPr>
          <w:rFonts w:hint="eastAsia" w:ascii="Times New Roman" w:hAnsi="Times New Roman" w:eastAsia="仿宋_GB2312"/>
          <w:color w:val="auto"/>
          <w:sz w:val="32"/>
          <w:szCs w:val="32"/>
          <w:lang w:eastAsia="zh-CN"/>
        </w:rPr>
        <w:t>费开支</w:t>
      </w:r>
      <w:r>
        <w:rPr>
          <w:rFonts w:hint="eastAsia" w:ascii="Times New Roman" w:hAnsi="Times New Roman" w:eastAsia="仿宋_GB2312"/>
          <w:color w:val="auto"/>
          <w:sz w:val="32"/>
          <w:szCs w:val="32"/>
          <w:lang w:val="en-US" w:eastAsia="zh-CN"/>
        </w:rPr>
        <w:t>0.44</w:t>
      </w:r>
      <w:r>
        <w:rPr>
          <w:rFonts w:hint="eastAsia" w:ascii="Times New Roman" w:hAnsi="Times New Roman" w:eastAsia="仿宋_GB2312"/>
          <w:color w:val="auto"/>
          <w:sz w:val="32"/>
          <w:szCs w:val="32"/>
        </w:rPr>
        <w:t>万元，用于开展</w:t>
      </w:r>
      <w:r>
        <w:rPr>
          <w:rFonts w:hint="eastAsia" w:ascii="Times New Roman" w:hAnsi="Times New Roman" w:eastAsia="仿宋_GB2312"/>
          <w:color w:val="auto"/>
          <w:sz w:val="32"/>
          <w:szCs w:val="32"/>
          <w:lang w:eastAsia="zh-CN"/>
        </w:rPr>
        <w:t>事业单位在职人员</w:t>
      </w:r>
      <w:r>
        <w:rPr>
          <w:rFonts w:hint="eastAsia" w:ascii="Times New Roman" w:hAnsi="Times New Roman" w:eastAsia="仿宋_GB2312"/>
          <w:color w:val="auto"/>
          <w:sz w:val="32"/>
          <w:szCs w:val="32"/>
        </w:rPr>
        <w:t>培训，人数</w:t>
      </w:r>
      <w:r>
        <w:rPr>
          <w:rFonts w:hint="eastAsia" w:ascii="Times New Roman" w:hAnsi="Times New Roman" w:eastAsia="仿宋_GB2312"/>
          <w:color w:val="auto"/>
          <w:sz w:val="32"/>
          <w:szCs w:val="32"/>
          <w:lang w:val="en-US" w:eastAsia="zh-CN"/>
        </w:rPr>
        <w:t>44</w:t>
      </w:r>
      <w:r>
        <w:rPr>
          <w:rFonts w:hint="eastAsia" w:ascii="Times New Roman" w:hAnsi="Times New Roman" w:eastAsia="仿宋_GB2312"/>
          <w:color w:val="auto"/>
          <w:sz w:val="32"/>
          <w:szCs w:val="32"/>
        </w:rPr>
        <w:t>人，内容为</w:t>
      </w:r>
      <w:r>
        <w:rPr>
          <w:rFonts w:hint="eastAsia" w:ascii="Times New Roman" w:hAnsi="Times New Roman" w:eastAsia="仿宋_GB2312"/>
          <w:color w:val="auto"/>
          <w:sz w:val="32"/>
          <w:szCs w:val="32"/>
          <w:lang w:eastAsia="zh-CN"/>
        </w:rPr>
        <w:t>专业技术及公共科目培训。</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年度本部门无举办节庆、晚会、论坛、赛事等活动</w:t>
      </w:r>
      <w:r>
        <w:rPr>
          <w:rFonts w:hint="eastAsia" w:ascii="Times New Roman" w:hAnsi="Times New Roman" w:eastAsia="仿宋_GB2312"/>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二</w:t>
      </w:r>
      <w:r>
        <w:rPr>
          <w:rFonts w:ascii="Times New Roman" w:hAnsi="Times New Roman" w:cs="Times New Roman"/>
          <w:bCs/>
          <w:color w:val="auto"/>
          <w:sz w:val="32"/>
          <w:szCs w:val="32"/>
        </w:rPr>
        <w:t>、关于政府采购支出说明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w:t>
      </w:r>
      <w:r>
        <w:rPr>
          <w:rFonts w:hint="eastAsia" w:ascii="仿宋_GB2312" w:hAnsi="仿宋" w:eastAsia="仿宋_GB2312" w:cs="仿宋"/>
          <w:bCs/>
          <w:color w:val="auto"/>
          <w:sz w:val="32"/>
          <w:szCs w:val="32"/>
        </w:rPr>
        <w:t>采购国产麒麟安可替代设备电脑四台</w:t>
      </w:r>
      <w:r>
        <w:rPr>
          <w:rFonts w:hint="eastAsia" w:ascii="仿宋_GB2312" w:hAnsi="仿宋" w:eastAsia="仿宋_GB2312" w:cs="仿宋"/>
          <w:bCs/>
          <w:color w:val="auto"/>
          <w:sz w:val="32"/>
          <w:szCs w:val="32"/>
          <w:lang w:eastAsia="zh-CN"/>
        </w:rPr>
        <w:t>。</w:t>
      </w:r>
      <w:r>
        <w:rPr>
          <w:rFonts w:ascii="Times New Roman" w:hAnsi="Times New Roman" w:eastAsia="仿宋_GB2312" w:cs="Times New Roman"/>
          <w:color w:val="auto"/>
          <w:sz w:val="32"/>
          <w:szCs w:val="32"/>
        </w:rPr>
        <w:t>其中：政府采购货物支出</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年度本部门（单位）整体支出开展绩效自评，涉及项目</w:t>
      </w:r>
      <w:r>
        <w:rPr>
          <w:rFonts w:hint="eastAsia" w:ascii="Times New Roman" w:hAnsi="Times New Roman" w:eastAsia="仿宋_GB2312" w:cs="Times New Roman"/>
          <w:color w:val="auto"/>
          <w:kern w:val="0"/>
          <w:sz w:val="32"/>
          <w:szCs w:val="32"/>
          <w:lang w:val="en-US" w:eastAsia="zh-CN"/>
        </w:rPr>
        <w:t>4</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_GB2312" w:cs="Times New Roman"/>
          <w:color w:val="auto"/>
          <w:kern w:val="0"/>
          <w:sz w:val="32"/>
          <w:szCs w:val="32"/>
          <w:lang w:val="en-US" w:eastAsia="zh-CN"/>
        </w:rPr>
        <w:t>80</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lang w:val="en-US" w:eastAsia="zh-CN"/>
        </w:rPr>
        <w:t>4</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80</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个；国有资本经营预算项目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个；社会保险基金预算项目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w:t>
      </w:r>
    </w:p>
    <w:p>
      <w:pPr>
        <w:overflowPunct w:val="0"/>
        <w:spacing w:line="600" w:lineRule="exact"/>
        <w:ind w:firstLine="640" w:firstLineChars="200"/>
        <w:rPr>
          <w:rFonts w:hint="eastAsia" w:ascii="Times New Roman" w:hAnsi="Times New Roman" w:eastAsia="仿宋_GB2312" w:cs="Times New Roman"/>
          <w:color w:val="auto"/>
          <w:kern w:val="0"/>
          <w:sz w:val="32"/>
          <w:szCs w:val="32"/>
          <w:lang w:eastAsia="zh-CN"/>
        </w:rPr>
      </w:pPr>
      <w:r>
        <w:rPr>
          <w:rFonts w:ascii="Times New Roman" w:hAnsi="Times New Roman" w:eastAsia="仿宋_GB2312" w:cs="Times New Roman"/>
          <w:color w:val="auto"/>
          <w:kern w:val="0"/>
          <w:sz w:val="32"/>
          <w:szCs w:val="32"/>
        </w:rPr>
        <w:t>（二）绩效评价结果。一是绩效自评结果。202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年度本部门（单位）整体支出全年预算数</w:t>
      </w:r>
      <w:r>
        <w:rPr>
          <w:rFonts w:hint="eastAsia" w:ascii="Times New Roman" w:hAnsi="Times New Roman" w:eastAsia="仿宋_GB2312" w:cs="Times New Roman"/>
          <w:color w:val="auto"/>
          <w:kern w:val="0"/>
          <w:sz w:val="32"/>
          <w:szCs w:val="32"/>
        </w:rPr>
        <w:t>756.19</w:t>
      </w:r>
      <w:r>
        <w:rPr>
          <w:rFonts w:ascii="Times New Roman" w:hAnsi="Times New Roman" w:eastAsia="仿宋_GB2312" w:cs="Times New Roman"/>
          <w:color w:val="auto"/>
          <w:kern w:val="0"/>
          <w:sz w:val="32"/>
          <w:szCs w:val="32"/>
        </w:rPr>
        <w:t>万元，执行数</w:t>
      </w:r>
      <w:r>
        <w:rPr>
          <w:rFonts w:hint="eastAsia" w:ascii="Times New Roman" w:hAnsi="Times New Roman" w:eastAsia="仿宋_GB2312" w:cs="Times New Roman"/>
          <w:color w:val="auto"/>
          <w:kern w:val="0"/>
          <w:sz w:val="32"/>
          <w:szCs w:val="32"/>
          <w:lang w:val="en-US" w:eastAsia="zh-CN"/>
        </w:rPr>
        <w:t>968.28</w:t>
      </w:r>
      <w:r>
        <w:rPr>
          <w:rFonts w:ascii="Times New Roman" w:hAnsi="Times New Roman" w:eastAsia="仿宋_GB2312" w:cs="Times New Roman"/>
          <w:color w:val="auto"/>
          <w:kern w:val="0"/>
          <w:sz w:val="32"/>
          <w:szCs w:val="32"/>
        </w:rPr>
        <w:t>万元，完成预算的</w:t>
      </w:r>
      <w:r>
        <w:rPr>
          <w:rFonts w:hint="eastAsia" w:ascii="Times New Roman" w:hAnsi="Times New Roman" w:eastAsia="仿宋_GB2312" w:cs="Times New Roman"/>
          <w:color w:val="auto"/>
          <w:kern w:val="0"/>
          <w:sz w:val="32"/>
          <w:szCs w:val="32"/>
          <w:lang w:val="en-US" w:eastAsia="zh-CN"/>
        </w:rPr>
        <w:t>128.05</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kern w:val="0"/>
          <w:sz w:val="32"/>
          <w:szCs w:val="32"/>
          <w:lang w:val="en-US" w:eastAsia="zh-CN"/>
        </w:rPr>
        <w:t>98</w:t>
      </w:r>
      <w:r>
        <w:rPr>
          <w:rFonts w:ascii="Times New Roman" w:hAnsi="Times New Roman" w:eastAsia="仿宋_GB2312" w:cs="Times New Roman"/>
          <w:color w:val="auto"/>
          <w:kern w:val="0"/>
          <w:sz w:val="32"/>
          <w:szCs w:val="32"/>
        </w:rPr>
        <w:t>分，评价等级为“</w:t>
      </w:r>
      <w:r>
        <w:rPr>
          <w:rFonts w:hint="eastAsia" w:ascii="Times New Roman" w:hAnsi="Times New Roman" w:eastAsia="仿宋_GB2312" w:cs="Times New Roman"/>
          <w:color w:val="auto"/>
          <w:kern w:val="0"/>
          <w:sz w:val="32"/>
          <w:szCs w:val="32"/>
          <w:lang w:eastAsia="zh-CN"/>
        </w:rPr>
        <w:t>优秀</w:t>
      </w:r>
      <w:r>
        <w:rPr>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eastAsia="zh-CN"/>
        </w:rPr>
        <w:t>（详情见附件二）</w:t>
      </w:r>
    </w:p>
    <w:p>
      <w:pPr>
        <w:overflowPunct w:val="0"/>
        <w:spacing w:line="600" w:lineRule="exact"/>
        <w:ind w:firstLine="640" w:firstLineChars="200"/>
        <w:rPr>
          <w:rFonts w:hint="eastAsia" w:ascii="Times New Roman" w:hAnsi="Times New Roman" w:eastAsia="仿宋_GB2312" w:cs="Times New Roman"/>
          <w:color w:val="auto"/>
          <w:kern w:val="0"/>
          <w:sz w:val="32"/>
          <w:szCs w:val="32"/>
          <w:lang w:val="en-US" w:eastAsia="zh-CN"/>
        </w:rPr>
      </w:pPr>
      <w:r>
        <w:rPr>
          <w:rFonts w:ascii="Times New Roman" w:hAnsi="Times New Roman" w:eastAsia="仿宋_GB2312" w:cs="Times New Roman"/>
          <w:color w:val="auto"/>
          <w:kern w:val="0"/>
          <w:sz w:val="32"/>
          <w:szCs w:val="32"/>
        </w:rPr>
        <w:t>（三）评价结果应用情况。</w:t>
      </w:r>
      <w:r>
        <w:rPr>
          <w:rFonts w:hint="eastAsia" w:ascii="Times New Roman" w:hAnsi="Times New Roman" w:eastAsia="仿宋_GB2312" w:cs="Times New Roman"/>
          <w:color w:val="auto"/>
          <w:kern w:val="0"/>
          <w:sz w:val="32"/>
          <w:szCs w:val="32"/>
          <w:lang w:val="en-US" w:eastAsia="zh-CN"/>
        </w:rPr>
        <w:t>我站重视绩效自评结果，对于评价结果优秀的项目优先争取财政资金保障，对于评价结果一般的项目进行督促和完善，不断优化财政资源配置，切实提升资金使用效率。及时公开绩效信息，接受社会监督。</w:t>
      </w:r>
    </w:p>
    <w:p>
      <w:pPr>
        <w:pStyle w:val="14"/>
        <w:jc w:val="center"/>
        <w:rPr>
          <w:rFonts w:ascii="Times New Roman" w:hAnsi="Times New Roman" w:cs="Times New Roman"/>
          <w:color w:val="auto"/>
          <w:sz w:val="72"/>
          <w:szCs w:val="72"/>
        </w:rPr>
      </w:pPr>
    </w:p>
    <w:p>
      <w:pPr>
        <w:pStyle w:val="14"/>
        <w:jc w:val="center"/>
        <w:rPr>
          <w:rFonts w:ascii="Times New Roman" w:hAnsi="Times New Roman" w:cs="Times New Roman"/>
          <w:color w:val="auto"/>
          <w:sz w:val="72"/>
          <w:szCs w:val="72"/>
        </w:rPr>
      </w:pPr>
    </w:p>
    <w:p>
      <w:pPr>
        <w:pStyle w:val="14"/>
        <w:jc w:val="center"/>
        <w:rPr>
          <w:rFonts w:ascii="Times New Roman" w:hAnsi="Times New Roman" w:cs="Times New Roman"/>
          <w:color w:val="auto"/>
          <w:sz w:val="72"/>
          <w:szCs w:val="72"/>
        </w:rPr>
      </w:pPr>
    </w:p>
    <w:p>
      <w:pPr>
        <w:pStyle w:val="14"/>
        <w:jc w:val="both"/>
        <w:rPr>
          <w:rFonts w:ascii="Times New Roman" w:hAnsi="Times New Roman" w:cs="Times New Roman"/>
          <w:color w:val="auto"/>
          <w:sz w:val="72"/>
          <w:szCs w:val="72"/>
        </w:rPr>
      </w:pPr>
    </w:p>
    <w:p>
      <w:pPr>
        <w:pStyle w:val="14"/>
        <w:spacing w:line="360" w:lineRule="auto"/>
        <w:jc w:val="center"/>
        <w:rPr>
          <w:rFonts w:hint="eastAsia" w:ascii="Times New Roman" w:hAnsi="Times New Roman" w:eastAsia="方正小标宋_GBK" w:cs="Times New Roman"/>
          <w:color w:val="auto"/>
          <w:sz w:val="52"/>
          <w:szCs w:val="52"/>
          <w:lang w:eastAsia="zh-CN"/>
        </w:rPr>
      </w:pPr>
    </w:p>
    <w:p>
      <w:pPr>
        <w:pStyle w:val="14"/>
        <w:spacing w:line="360" w:lineRule="auto"/>
        <w:jc w:val="center"/>
        <w:rPr>
          <w:rFonts w:hint="eastAsia" w:ascii="Times New Roman" w:hAnsi="Times New Roman" w:eastAsia="方正小标宋_GBK" w:cs="Times New Roman"/>
          <w:color w:val="auto"/>
          <w:sz w:val="52"/>
          <w:szCs w:val="52"/>
          <w:lang w:eastAsia="zh-CN"/>
        </w:rPr>
      </w:pPr>
    </w:p>
    <w:p>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第四部分</w:t>
      </w:r>
    </w:p>
    <w:p>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名词解释</w:t>
      </w:r>
    </w:p>
    <w:p>
      <w:pPr>
        <w:widowControl/>
        <w:jc w:val="left"/>
        <w:rPr>
          <w:rFonts w:ascii="Times New Roman" w:hAnsi="Times New Roman" w:cs="Times New Roman"/>
          <w:color w:val="auto"/>
          <w:kern w:val="0"/>
          <w:sz w:val="32"/>
          <w:szCs w:val="32"/>
        </w:rPr>
      </w:pPr>
    </w:p>
    <w:p>
      <w:pPr>
        <w:widowControl/>
        <w:ind w:firstLine="640" w:firstLineChars="200"/>
        <w:jc w:val="left"/>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rPr>
        <w:t>一、</w:t>
      </w:r>
      <w:r>
        <w:rPr>
          <w:rFonts w:hint="eastAsia" w:ascii="Times New Roman" w:hAnsi="Times New Roman" w:eastAsia="仿宋_GB2312" w:cs="Times New Roman"/>
          <w:color w:val="auto"/>
          <w:kern w:val="0"/>
          <w:sz w:val="32"/>
          <w:szCs w:val="32"/>
          <w:lang w:val="en-US" w:eastAsia="zh-CN"/>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pPr>
        <w:widowControl/>
        <w:ind w:firstLine="640" w:firstLineChars="200"/>
        <w:jc w:val="left"/>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4"/>
        <w:jc w:val="center"/>
        <w:rPr>
          <w:rFonts w:ascii="Times New Roman" w:hAnsi="Times New Roman" w:cs="Times New Roman"/>
          <w:color w:val="auto"/>
          <w:sz w:val="72"/>
          <w:szCs w:val="72"/>
        </w:rPr>
      </w:pPr>
    </w:p>
    <w:p>
      <w:pPr>
        <w:pStyle w:val="14"/>
        <w:jc w:val="both"/>
        <w:rPr>
          <w:rFonts w:ascii="Times New Roman" w:hAnsi="Times New Roman" w:cs="Times New Roman"/>
          <w:color w:val="auto"/>
          <w:sz w:val="72"/>
          <w:szCs w:val="72"/>
        </w:rPr>
      </w:pPr>
    </w:p>
    <w:p>
      <w:pPr>
        <w:pStyle w:val="14"/>
        <w:jc w:val="both"/>
        <w:rPr>
          <w:rFonts w:ascii="Times New Roman" w:hAnsi="Times New Roman" w:cs="Times New Roman"/>
          <w:color w:val="auto"/>
          <w:sz w:val="72"/>
          <w:szCs w:val="72"/>
        </w:rPr>
      </w:pPr>
    </w:p>
    <w:p>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 xml:space="preserve">第五部分 </w:t>
      </w:r>
    </w:p>
    <w:p>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附 件</w:t>
      </w:r>
    </w:p>
    <w:p>
      <w:pPr>
        <w:pStyle w:val="14"/>
        <w:spacing w:line="360" w:lineRule="auto"/>
        <w:jc w:val="center"/>
        <w:rPr>
          <w:rFonts w:hint="eastAsia" w:ascii="Times New Roman" w:hAnsi="Times New Roman" w:eastAsia="方正小标宋_GBK" w:cs="Times New Roman"/>
          <w:color w:val="auto"/>
          <w:sz w:val="52"/>
          <w:szCs w:val="52"/>
          <w:lang w:eastAsia="zh-CN"/>
        </w:rPr>
      </w:pPr>
    </w:p>
    <w:p>
      <w:pPr>
        <w:ind w:firstLine="640" w:firstLineChars="200"/>
        <w:rPr>
          <w:rFonts w:hint="default" w:ascii="Times New Roman" w:hAnsi="Times New Roman" w:eastAsia="仿宋_GB2312" w:cs="黑体"/>
          <w:color w:val="auto"/>
          <w:kern w:val="0"/>
          <w:sz w:val="32"/>
          <w:szCs w:val="32"/>
          <w:lang w:val="en-US" w:eastAsia="zh-CN" w:bidi="ar-SA"/>
        </w:rPr>
      </w:pPr>
      <w:r>
        <w:rPr>
          <w:rFonts w:ascii="Times New Roman" w:hAnsi="Times New Roman" w:eastAsia="仿宋_GB2312" w:cs="Times New Roman"/>
          <w:b/>
          <w:bCs/>
          <w:color w:val="auto"/>
          <w:sz w:val="32"/>
          <w:szCs w:val="32"/>
        </w:rPr>
        <w:t>一、</w:t>
      </w:r>
      <w:r>
        <w:rPr>
          <w:rFonts w:hint="eastAsia" w:ascii="Times New Roman" w:hAnsi="Times New Roman" w:eastAsia="仿宋_GB2312" w:cs="黑体"/>
          <w:color w:val="auto"/>
          <w:kern w:val="0"/>
          <w:sz w:val="32"/>
          <w:szCs w:val="32"/>
          <w:lang w:val="en-US" w:eastAsia="zh-CN" w:bidi="ar-SA"/>
        </w:rPr>
        <w:t>2025年度怀化市交通建设质量安全监督站决算公开表</w:t>
      </w:r>
    </w:p>
    <w:p>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仿宋" w:hAnsi="仿宋" w:eastAsia="仿宋" w:cs="仿宋"/>
          <w:bCs/>
          <w:color w:val="auto"/>
          <w:kern w:val="2"/>
          <w:sz w:val="32"/>
          <w:szCs w:val="32"/>
          <w:highlight w:val="none"/>
          <w:lang w:val="en-US" w:eastAsia="zh-CN" w:bidi="ar-SA"/>
        </w:rPr>
      </w:pPr>
      <w:r>
        <w:rPr>
          <w:rFonts w:hint="eastAsia" w:ascii="楷体" w:hAnsi="楷体" w:eastAsia="楷体" w:cs="楷体"/>
          <w:b/>
          <w:bCs/>
          <w:color w:val="auto"/>
          <w:sz w:val="32"/>
          <w:szCs w:val="32"/>
          <w:lang w:val="en-US" w:eastAsia="zh-CN"/>
        </w:rPr>
        <w:t>二、</w:t>
      </w:r>
      <w:r>
        <w:rPr>
          <w:rFonts w:hint="eastAsia" w:ascii="Times New Roman" w:hAnsi="Times New Roman" w:eastAsia="仿宋_GB2312"/>
          <w:color w:val="auto"/>
          <w:sz w:val="32"/>
          <w:szCs w:val="32"/>
          <w:lang w:val="en-US" w:eastAsia="zh-CN"/>
        </w:rPr>
        <w:t>2025年度怀化市</w:t>
      </w:r>
      <w:r>
        <w:rPr>
          <w:rFonts w:hint="eastAsia" w:ascii="Times New Roman" w:hAnsi="Times New Roman" w:eastAsia="仿宋_GB2312" w:cs="黑体"/>
          <w:color w:val="auto"/>
          <w:kern w:val="0"/>
          <w:sz w:val="32"/>
          <w:szCs w:val="32"/>
          <w:lang w:val="en-US" w:eastAsia="zh-CN" w:bidi="ar-SA"/>
        </w:rPr>
        <w:t>交通建设质量安全监督站</w:t>
      </w:r>
      <w:r>
        <w:rPr>
          <w:rFonts w:hint="eastAsia" w:ascii="Times New Roman" w:hAnsi="Times New Roman" w:eastAsia="仿宋_GB2312"/>
          <w:color w:val="auto"/>
          <w:sz w:val="32"/>
          <w:szCs w:val="32"/>
          <w:lang w:val="en-US" w:eastAsia="zh-CN"/>
        </w:rPr>
        <w:t>整体支出绩效自评报告</w:t>
      </w:r>
    </w:p>
    <w:p>
      <w:pPr>
        <w:pStyle w:val="14"/>
        <w:ind w:firstLine="640" w:firstLineChars="200"/>
        <w:rPr>
          <w:rFonts w:hint="default" w:ascii="Times New Roman" w:hAnsi="Times New Roman" w:eastAsia="仿宋_GB2312"/>
          <w:color w:val="auto"/>
          <w:sz w:val="32"/>
          <w:szCs w:val="32"/>
          <w:lang w:val="en-US" w:eastAsia="zh-CN"/>
        </w:rPr>
      </w:pPr>
      <w:r>
        <w:rPr>
          <w:rFonts w:hint="eastAsia" w:ascii="楷体" w:hAnsi="楷体" w:eastAsia="楷体" w:cs="楷体"/>
          <w:b/>
          <w:bCs/>
          <w:color w:val="auto"/>
          <w:sz w:val="32"/>
          <w:szCs w:val="32"/>
          <w:lang w:val="en-US" w:eastAsia="zh-CN"/>
        </w:rPr>
        <w:t>三、</w:t>
      </w:r>
      <w:r>
        <w:rPr>
          <w:rFonts w:hint="eastAsia" w:ascii="Times New Roman" w:hAnsi="Times New Roman" w:eastAsia="仿宋_GB2312"/>
          <w:color w:val="auto"/>
          <w:sz w:val="32"/>
          <w:szCs w:val="32"/>
          <w:lang w:val="en-US" w:eastAsia="zh-CN"/>
        </w:rPr>
        <w:t>2025年怀化市</w:t>
      </w:r>
      <w:r>
        <w:rPr>
          <w:rFonts w:hint="eastAsia" w:ascii="Times New Roman" w:hAnsi="Times New Roman" w:eastAsia="仿宋_GB2312" w:cs="黑体"/>
          <w:color w:val="auto"/>
          <w:kern w:val="0"/>
          <w:sz w:val="32"/>
          <w:szCs w:val="32"/>
          <w:lang w:val="en-US" w:eastAsia="zh-CN" w:bidi="ar-SA"/>
        </w:rPr>
        <w:t>交通建设质量安全监督站</w:t>
      </w:r>
      <w:r>
        <w:rPr>
          <w:rFonts w:hint="eastAsia" w:ascii="Times New Roman" w:hAnsi="Times New Roman" w:eastAsia="仿宋_GB2312"/>
          <w:color w:val="auto"/>
          <w:sz w:val="32"/>
          <w:szCs w:val="32"/>
          <w:lang w:val="en-US" w:eastAsia="zh-CN"/>
        </w:rPr>
        <w:t>项目支出绩效自评报告</w:t>
      </w:r>
    </w:p>
    <w:p>
      <w:pPr>
        <w:pStyle w:val="14"/>
        <w:ind w:firstLine="1280" w:firstLineChars="400"/>
        <w:rPr>
          <w:rFonts w:ascii="Times New Roman" w:hAnsi="Times New Roman" w:eastAsia="仿宋_GB2312" w:cs="Times New Roman"/>
          <w:color w:val="auto"/>
          <w:sz w:val="32"/>
          <w:szCs w:val="32"/>
        </w:rPr>
      </w:pPr>
    </w:p>
    <w:p>
      <w:pPr>
        <w:pStyle w:val="14"/>
        <w:spacing w:line="600" w:lineRule="exact"/>
        <w:ind w:firstLine="640" w:firstLineChars="200"/>
        <w:rPr>
          <w:rFonts w:ascii="Times New Roman" w:hAnsi="Times New Roman" w:eastAsia="仿宋_GB2312" w:cs="Times New Roman"/>
          <w:color w:val="auto"/>
          <w:sz w:val="32"/>
          <w:szCs w:val="32"/>
        </w:rPr>
      </w:pPr>
    </w:p>
    <w:p>
      <w:pPr>
        <w:pStyle w:val="14"/>
        <w:jc w:val="center"/>
        <w:rPr>
          <w:rFonts w:ascii="Times New Roman" w:hAnsi="Times New Roman" w:cs="Times New Roman"/>
          <w:color w:val="auto"/>
          <w:sz w:val="72"/>
          <w:szCs w:val="72"/>
        </w:rPr>
      </w:pPr>
    </w:p>
    <w:p>
      <w:pPr>
        <w:pStyle w:val="14"/>
        <w:jc w:val="center"/>
        <w:rPr>
          <w:rFonts w:ascii="Times New Roman" w:hAnsi="Times New Roman" w:cs="Times New Roman"/>
          <w:color w:val="auto"/>
          <w:sz w:val="72"/>
          <w:szCs w:val="72"/>
        </w:rPr>
      </w:pPr>
    </w:p>
    <w:p>
      <w:pPr>
        <w:jc w:val="left"/>
        <w:rPr>
          <w:rFonts w:ascii="Times New Roman" w:hAnsi="Times New Roman" w:cs="Times New Roman"/>
          <w:color w:val="auto"/>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BB01A7"/>
    <w:multiLevelType w:val="singleLevel"/>
    <w:tmpl w:val="FDBB01A7"/>
    <w:lvl w:ilvl="0" w:tentative="0">
      <w:start w:val="4"/>
      <w:numFmt w:val="decimal"/>
      <w:suff w:val="nothing"/>
      <w:lvlText w:val="%1、"/>
      <w:lvlJc w:val="left"/>
    </w:lvl>
  </w:abstractNum>
  <w:abstractNum w:abstractNumId="1">
    <w:nsid w:val="3FBF9F89"/>
    <w:multiLevelType w:val="singleLevel"/>
    <w:tmpl w:val="3FBF9F89"/>
    <w:lvl w:ilvl="0" w:tentative="0">
      <w:start w:val="1"/>
      <w:numFmt w:val="chineseCounting"/>
      <w:suff w:val="nothing"/>
      <w:lvlText w:val="%1、"/>
      <w:lvlJc w:val="left"/>
      <w:rPr>
        <w:rFonts w:hint="eastAsia"/>
      </w:rPr>
    </w:lvl>
  </w:abstractNum>
  <w:abstractNum w:abstractNumId="2">
    <w:nsid w:val="4ED180A0"/>
    <w:multiLevelType w:val="singleLevel"/>
    <w:tmpl w:val="4ED180A0"/>
    <w:lvl w:ilvl="0" w:tentative="0">
      <w:start w:val="7"/>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7B6A67"/>
    <w:rsid w:val="10A0102D"/>
    <w:rsid w:val="1D97DEFF"/>
    <w:rsid w:val="1DFE90BD"/>
    <w:rsid w:val="1DFF72E5"/>
    <w:rsid w:val="1EFA94D8"/>
    <w:rsid w:val="1EFC6F07"/>
    <w:rsid w:val="27BBCC62"/>
    <w:rsid w:val="2FDF85B8"/>
    <w:rsid w:val="2FFFEE04"/>
    <w:rsid w:val="337BBFB5"/>
    <w:rsid w:val="34DF85B0"/>
    <w:rsid w:val="399780DE"/>
    <w:rsid w:val="3B8F36BC"/>
    <w:rsid w:val="3F7F17E4"/>
    <w:rsid w:val="3FBB6221"/>
    <w:rsid w:val="3FDFB754"/>
    <w:rsid w:val="46A234F6"/>
    <w:rsid w:val="491FF225"/>
    <w:rsid w:val="4FFD214C"/>
    <w:rsid w:val="557BDB94"/>
    <w:rsid w:val="5777D4F5"/>
    <w:rsid w:val="59DD8326"/>
    <w:rsid w:val="5AFB93B5"/>
    <w:rsid w:val="5DEF592A"/>
    <w:rsid w:val="5DFBB5E0"/>
    <w:rsid w:val="5ED71791"/>
    <w:rsid w:val="5EED4DF3"/>
    <w:rsid w:val="5FBB515A"/>
    <w:rsid w:val="5FC6BB1E"/>
    <w:rsid w:val="5FF720F1"/>
    <w:rsid w:val="62ED7EDA"/>
    <w:rsid w:val="63FEA165"/>
    <w:rsid w:val="67FF5C0B"/>
    <w:rsid w:val="6DBF2285"/>
    <w:rsid w:val="6EFC0924"/>
    <w:rsid w:val="6F36A66F"/>
    <w:rsid w:val="6F405F89"/>
    <w:rsid w:val="6F6405EF"/>
    <w:rsid w:val="6FB74722"/>
    <w:rsid w:val="6FEF8B7E"/>
    <w:rsid w:val="6FF7CA65"/>
    <w:rsid w:val="717FE443"/>
    <w:rsid w:val="71A6591B"/>
    <w:rsid w:val="737D59BA"/>
    <w:rsid w:val="73FE7082"/>
    <w:rsid w:val="76DF5BFD"/>
    <w:rsid w:val="772FA01D"/>
    <w:rsid w:val="77C37683"/>
    <w:rsid w:val="77DD6533"/>
    <w:rsid w:val="77EC0012"/>
    <w:rsid w:val="795CAB45"/>
    <w:rsid w:val="79D19834"/>
    <w:rsid w:val="79FF515B"/>
    <w:rsid w:val="7A173565"/>
    <w:rsid w:val="7A7159A3"/>
    <w:rsid w:val="7BBD3F41"/>
    <w:rsid w:val="7BEB2879"/>
    <w:rsid w:val="7BF549BF"/>
    <w:rsid w:val="7BFB9FDF"/>
    <w:rsid w:val="7E9E1962"/>
    <w:rsid w:val="7E9F11B4"/>
    <w:rsid w:val="7EBB298A"/>
    <w:rsid w:val="7EEF08A4"/>
    <w:rsid w:val="7EEFE049"/>
    <w:rsid w:val="7F37E558"/>
    <w:rsid w:val="7F37EC1E"/>
    <w:rsid w:val="7F7DCD9D"/>
    <w:rsid w:val="7F7F384A"/>
    <w:rsid w:val="7F970A6F"/>
    <w:rsid w:val="7FC1FFF3"/>
    <w:rsid w:val="7FC69637"/>
    <w:rsid w:val="7FDF8620"/>
    <w:rsid w:val="7FE8C8F7"/>
    <w:rsid w:val="7FFB242F"/>
    <w:rsid w:val="7FFDB408"/>
    <w:rsid w:val="7FFE4EEB"/>
    <w:rsid w:val="95FB2B98"/>
    <w:rsid w:val="9A639BC2"/>
    <w:rsid w:val="9BFA491D"/>
    <w:rsid w:val="9EF9E30A"/>
    <w:rsid w:val="9FDD6732"/>
    <w:rsid w:val="9FEF22DB"/>
    <w:rsid w:val="9FF7D786"/>
    <w:rsid w:val="A1BA6D62"/>
    <w:rsid w:val="ABBFB23D"/>
    <w:rsid w:val="ABF7867E"/>
    <w:rsid w:val="ADDE531B"/>
    <w:rsid w:val="B2BFC8C5"/>
    <w:rsid w:val="B644C311"/>
    <w:rsid w:val="B6AFFE39"/>
    <w:rsid w:val="BB75B2F0"/>
    <w:rsid w:val="BBEFBAE5"/>
    <w:rsid w:val="BDCD29C5"/>
    <w:rsid w:val="BFEF16A8"/>
    <w:rsid w:val="C3B4DA5A"/>
    <w:rsid w:val="CBFF70E0"/>
    <w:rsid w:val="CFF50B82"/>
    <w:rsid w:val="CFFFAD89"/>
    <w:rsid w:val="D7EF1167"/>
    <w:rsid w:val="D9FEEA7D"/>
    <w:rsid w:val="DF8C7747"/>
    <w:rsid w:val="DFFE359E"/>
    <w:rsid w:val="DFFE4FFD"/>
    <w:rsid w:val="E17B98FB"/>
    <w:rsid w:val="E5EF5691"/>
    <w:rsid w:val="EADF1C41"/>
    <w:rsid w:val="EBCB20EE"/>
    <w:rsid w:val="EDDD79EC"/>
    <w:rsid w:val="EE7119FF"/>
    <w:rsid w:val="EEABED75"/>
    <w:rsid w:val="EFF7F8A2"/>
    <w:rsid w:val="F3FFAF69"/>
    <w:rsid w:val="F45FDF3F"/>
    <w:rsid w:val="F56FDF51"/>
    <w:rsid w:val="F6B69F17"/>
    <w:rsid w:val="F75FB698"/>
    <w:rsid w:val="F77F1D61"/>
    <w:rsid w:val="F77F2395"/>
    <w:rsid w:val="F77F6406"/>
    <w:rsid w:val="F7FED3A9"/>
    <w:rsid w:val="F8C9DB26"/>
    <w:rsid w:val="F97E8EAE"/>
    <w:rsid w:val="F9F785E5"/>
    <w:rsid w:val="FA7B2935"/>
    <w:rsid w:val="FA7DC208"/>
    <w:rsid w:val="FA7FAAEB"/>
    <w:rsid w:val="FB36E1A6"/>
    <w:rsid w:val="FB3BE134"/>
    <w:rsid w:val="FB7F3FFF"/>
    <w:rsid w:val="FBB782F4"/>
    <w:rsid w:val="FBF79A95"/>
    <w:rsid w:val="FCF9FEE0"/>
    <w:rsid w:val="FCFF385A"/>
    <w:rsid w:val="FCFF4275"/>
    <w:rsid w:val="FCFF8A0A"/>
    <w:rsid w:val="FD7FEEEA"/>
    <w:rsid w:val="FDABD19D"/>
    <w:rsid w:val="FDE641DD"/>
    <w:rsid w:val="FDEBD7C1"/>
    <w:rsid w:val="FDFFB577"/>
    <w:rsid w:val="FEEA50FE"/>
    <w:rsid w:val="FEFEC2A4"/>
    <w:rsid w:val="FF3FE691"/>
    <w:rsid w:val="FF4B0518"/>
    <w:rsid w:val="FF7D47A9"/>
    <w:rsid w:val="FF7F63BE"/>
    <w:rsid w:val="FFAF8585"/>
    <w:rsid w:val="FFBFA344"/>
    <w:rsid w:val="FFC30004"/>
    <w:rsid w:val="FFCF21CB"/>
    <w:rsid w:val="FFDE3A71"/>
    <w:rsid w:val="FFEDD201"/>
    <w:rsid w:val="FFF7C220"/>
    <w:rsid w:val="FFFE5F9B"/>
    <w:rsid w:val="FFFF1C8B"/>
    <w:rsid w:val="FFFF31B2"/>
    <w:rsid w:val="FFFFC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semiHidden/>
    <w:qFormat/>
    <w:uiPriority w:val="0"/>
    <w:pPr>
      <w:snapToGrid w:val="0"/>
      <w:jc w:val="left"/>
    </w:pPr>
    <w:rPr>
      <w:sz w:val="18"/>
      <w:szCs w:val="18"/>
    </w:rPr>
  </w:style>
  <w:style w:type="paragraph" w:styleId="8">
    <w:name w:val="Body Text First Indent 2"/>
    <w:basedOn w:val="3"/>
    <w:next w:val="1"/>
    <w:unhideWhenUsed/>
    <w:qFormat/>
    <w:uiPriority w:val="99"/>
    <w:pPr>
      <w:ind w:firstLine="420" w:firstLine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1481</Words>
  <Characters>1513</Characters>
  <Lines>69</Lines>
  <Paragraphs>19</Paragraphs>
  <TotalTime>0</TotalTime>
  <ScaleCrop>false</ScaleCrop>
  <LinksUpToDate>false</LinksUpToDate>
  <CharactersWithSpaces>1521</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2025-08-22T18:17:00Z</dcterms:created>
  <dc:creator>李航 null</dc:creator>
  <cp:lastModifiedBy>yq</cp:lastModifiedBy>
  <cp:lastPrinted>2024-08-13T02:20:00Z</cp:lastPrinted>
  <dcterms:modified xsi:type="dcterms:W3CDTF">2026-09-24T09:17:28Z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4F0B27C0AAC35EFA9177686ADDD5E058</vt:lpwstr>
  </property>
  <property fmtid="{D5CDD505-2E9C-101B-9397-08002B2CF9AE}" pid="4" name="KSOTemplateDocerSaveRecord">
    <vt:lpwstr>eyJoZGlkIjoiMmZjYjQwYmM1YmU1OGUzZDhlNzBiOTg2OTQ1MDg2NjIiLCJ1c2VySWQiOiIzNTM0MTAxODAifQ==</vt:lpwstr>
  </property>
</Properties>
</file>