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88B">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怀化市城区市政工程规划和建设管理规定</w:t>
      </w:r>
    </w:p>
    <w:p w14:paraId="17568717">
      <w:pPr>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ascii="仿宋_GB2312" w:eastAsia="仿宋_GB2312" w:cs="仿宋_GB2312"/>
          <w:b/>
          <w:bCs/>
          <w:sz w:val="32"/>
          <w:szCs w:val="32"/>
        </w:rPr>
      </w:pPr>
    </w:p>
    <w:p w14:paraId="3CB98028">
      <w:pPr>
        <w:keepNext w:val="0"/>
        <w:keepLines w:val="0"/>
        <w:pageBreakBefore w:val="0"/>
        <w:widowControl w:val="0"/>
        <w:kinsoku/>
        <w:wordWrap/>
        <w:overflowPunct/>
        <w:topLinePunct w:val="0"/>
        <w:autoSpaceDE/>
        <w:autoSpaceDN/>
        <w:bidi w:val="0"/>
        <w:adjustRightInd/>
        <w:snapToGrid/>
        <w:spacing w:beforeAutospacing="0" w:line="600" w:lineRule="exact"/>
        <w:ind w:firstLine="3200" w:firstLineChars="10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bookmarkStart w:id="1" w:name="_GoBack"/>
      <w:bookmarkEnd w:id="1"/>
    </w:p>
    <w:p w14:paraId="5BC9FF4D">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第一条</w:t>
      </w:r>
      <w:r>
        <w:rPr>
          <w:rFonts w:hint="default" w:ascii="Times New Roman" w:hAnsi="Times New Roman" w:eastAsia="方正仿宋_GBK" w:cs="Times New Roman"/>
          <w:sz w:val="32"/>
          <w:szCs w:val="32"/>
        </w:rPr>
        <w:t xml:space="preserve"> 为加强城区市政工程规划和建设管理，进一步规范市政工程规划建设行为，确保城市建设协调发展，根据《中华人民共和国城乡规划法》《中华人民共和国建筑法》《湖南省实施&lt;中华人民共和国城乡规划法&gt;办法》等有关法律、法规规定，结合我市实际，制定本规定。</w:t>
      </w:r>
    </w:p>
    <w:p w14:paraId="7A778FF9">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第二条</w:t>
      </w:r>
      <w:r>
        <w:rPr>
          <w:rFonts w:hint="default" w:ascii="Times New Roman" w:hAnsi="Times New Roman" w:eastAsia="方正仿宋_GBK" w:cs="Times New Roman"/>
          <w:sz w:val="32"/>
          <w:szCs w:val="32"/>
        </w:rPr>
        <w:t xml:space="preserve"> 怀化市中心城区范围内的市政工程适用本规定。本规定所称市政工程包括：城市道路（含道路范围内同步规划设计建设的配套管线）、城市桥梁、城市排水设施、城市防洪设施、城市道路照明设施和公共绿地、城市广场等；单独实施的供水、电力、通讯、燃气管道工程建设纳入本规定进行管理。</w:t>
      </w:r>
    </w:p>
    <w:p w14:paraId="4D3AAC42">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第三条</w:t>
      </w:r>
      <w:r>
        <w:rPr>
          <w:rFonts w:hint="default" w:ascii="Times New Roman" w:hAnsi="Times New Roman" w:eastAsia="方正仿宋_GBK" w:cs="Times New Roman"/>
          <w:sz w:val="32"/>
          <w:szCs w:val="32"/>
        </w:rPr>
        <w:t xml:space="preserve"> 市自然资源和规划局是市政工程的规划行政主管部门，住房和城乡建设部门是市政工程的建设行政主管部门，城市管理、财政等相关部门应加强与自然资源和规划、住房和城乡建设部门的协作，市政工程建设各方责任主体单位应主动配合自然资源和规划、住房和城乡建设、城市管理等部门的管理工作。</w:t>
      </w:r>
    </w:p>
    <w:p w14:paraId="6E49AF8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第二章 市政工程审批与行政许可</w:t>
      </w:r>
    </w:p>
    <w:p w14:paraId="26779D8C">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第四条</w:t>
      </w:r>
      <w:r>
        <w:rPr>
          <w:rFonts w:hint="default" w:ascii="Times New Roman" w:hAnsi="Times New Roman" w:eastAsia="方正仿宋_GBK" w:cs="Times New Roman"/>
          <w:sz w:val="32"/>
          <w:szCs w:val="32"/>
        </w:rPr>
        <w:t xml:space="preserve"> 市政工程必须按照批准的国土空间规划进行建设，市政工程的建设行为必须服从规划和建设管理，依据《中华人民共和国城乡规划法》、《中华人民共和国建筑法》等履行好报建、验收、竣工图测量等规划和建设手续。</w:t>
      </w:r>
    </w:p>
    <w:p w14:paraId="63B0F393">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第五条</w:t>
      </w:r>
      <w:r>
        <w:rPr>
          <w:rFonts w:hint="default" w:ascii="Times New Roman" w:hAnsi="Times New Roman" w:eastAsia="方正仿宋_GBK" w:cs="Times New Roman"/>
          <w:sz w:val="32"/>
          <w:szCs w:val="32"/>
        </w:rPr>
        <w:t xml:space="preserve"> 市政工程建设坚持先勘察后设计的原则，建设单位应当组织项目设计单位对建设区域内的现状市政工程设施资料和相关规划管控要求等进行收集和调查，无准确现状资料的应当委托具备相应资质的单位进行探测，查明地上及地下管线分布情况并报管网设施管理部门备案确认；工程涉及管线迁改的，迁改方案应同步设计，一并报批。</w:t>
      </w:r>
    </w:p>
    <w:p w14:paraId="4D158EA3">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市政工程设计内容和深度必须符合有关技术规范、标准及详细规划的要求，并与现状市政工程设施和待规划实施设施进行衔接，做到统一规划设计并同步实施到位。</w:t>
      </w:r>
    </w:p>
    <w:p w14:paraId="68F26888">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 xml:space="preserve">第六条 </w:t>
      </w:r>
      <w:r>
        <w:rPr>
          <w:rFonts w:hint="default" w:ascii="Times New Roman" w:hAnsi="Times New Roman" w:eastAsia="方正仿宋_GBK" w:cs="Times New Roman"/>
          <w:sz w:val="32"/>
          <w:szCs w:val="32"/>
        </w:rPr>
        <w:t>建设单位应当按照有关规定将市政工程规划设计方案报市自然资源和规划局审批，并按照批准的规划设计方案进行初步设计，初步设计文件报建设行政主管部门审批，施工图设计文件经施工图审查合格后报建设行政主管部门备案。</w:t>
      </w:r>
    </w:p>
    <w:p w14:paraId="18ADDA9D">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第七条</w:t>
      </w:r>
      <w:r>
        <w:rPr>
          <w:rFonts w:hint="default" w:ascii="Times New Roman" w:hAnsi="Times New Roman" w:eastAsia="方正仿宋_GBK" w:cs="Times New Roman"/>
          <w:sz w:val="32"/>
          <w:szCs w:val="32"/>
        </w:rPr>
        <w:t xml:space="preserve"> 新建、改建、扩建的市政工程，建设单位应持有关文件和经批准的规划设计方案等资料向市自然资源和规划局申请办理《建设工程规划许可证》，再向建设行政主管部门申请办理《建筑工程施工许可证》，因工程需要占用或挖掘城市道路，拆除、改动、迁移城市供排水市政设施和园林树木等,在在占用或挖掘前应到市城市管理局等相关主管部门办理相应手续。</w:t>
      </w:r>
    </w:p>
    <w:p w14:paraId="5303BFA8">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符合《怀化市中心城区建设工程规划许可证豁免清单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》的市政类建设可以免于办理方案审查或建设工程规划许可证。</w:t>
      </w:r>
    </w:p>
    <w:p w14:paraId="33D4170F">
      <w:pPr>
        <w:pStyle w:val="2"/>
        <w:keepNext w:val="0"/>
        <w:keepLines w:val="0"/>
        <w:pageBreakBefore w:val="0"/>
        <w:widowControl w:val="0"/>
        <w:kinsoku/>
        <w:wordWrap/>
        <w:overflowPunct/>
        <w:topLinePunct w:val="0"/>
        <w:autoSpaceDE/>
        <w:autoSpaceDN/>
        <w:bidi w:val="0"/>
        <w:adjustRightInd/>
        <w:snapToGrid/>
        <w:spacing w:beforeAutospacing="0" w:line="600" w:lineRule="exact"/>
        <w:textAlignment w:val="auto"/>
        <w:rPr>
          <w:rFonts w:hint="default" w:ascii="Times New Roman" w:hAnsi="Times New Roman" w:eastAsia="方正仿宋_GBK" w:cs="Times New Roman"/>
          <w:sz w:val="32"/>
          <w:szCs w:val="32"/>
        </w:rPr>
      </w:pPr>
    </w:p>
    <w:p w14:paraId="35D0AA6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center"/>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第三章 市政工程监督管理</w:t>
      </w:r>
    </w:p>
    <w:p w14:paraId="20067DA6">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第八条</w:t>
      </w:r>
      <w:r>
        <w:rPr>
          <w:rFonts w:hint="default" w:ascii="Times New Roman" w:hAnsi="Times New Roman" w:eastAsia="方正仿宋_GBK" w:cs="Times New Roman"/>
          <w:sz w:val="32"/>
          <w:szCs w:val="32"/>
        </w:rPr>
        <w:t xml:space="preserve"> 市政工程实行质量安全监督管理制度，建设单位在领取施工许可证或者开工报告前应当按照国家有关规定办理工程质量安全监督手续。</w:t>
      </w:r>
    </w:p>
    <w:p w14:paraId="34BA7F2D">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建设行政主管部门依据有关法律法规和工程建设强制性标准对工程实体质量和施工安全实施监管。</w:t>
      </w:r>
    </w:p>
    <w:p w14:paraId="0881BC5A">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第九条</w:t>
      </w:r>
      <w:r>
        <w:rPr>
          <w:rFonts w:hint="default" w:ascii="Times New Roman" w:hAnsi="Times New Roman" w:eastAsia="方正仿宋_GBK" w:cs="Times New Roman"/>
          <w:sz w:val="32"/>
          <w:szCs w:val="32"/>
        </w:rPr>
        <w:t xml:space="preserve"> 市政工程开工前建设单位应当向市自然资源和规划局申请组织建设工程规划定位、放线，并在施工现场醒目位置以公示牌的形式公示建设工程规划许可内容。</w:t>
      </w:r>
    </w:p>
    <w:p w14:paraId="7AA0BD5D">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工程开工后（地下市政工程覆土前），基槽开挖深度达到设计要求时，建设单位应对工程的平面位置、标高埋深和管径大小等指标进行核实和拍照存档，其结果纳入规划核实测量成果报告中；同时向市自然资源和规划局申请现场核验，市自然资源和规划局收到申请后，应在1个工作日内组织现场核验；涉及跨区域协作、复杂管线探测、特殊地质条件等无法在1个工作日内进行现场核验的，应当在申请当日告知建设单位预计完成时间。</w:t>
      </w:r>
    </w:p>
    <w:p w14:paraId="091D80F9">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市政工程竣工后，建设单位应委托具有相应资质的测绘单位进行现场规划核实测量，提交规划核实测量成果报告，并向市自然资源和规划局申请规划核实，核实合格的</w:t>
      </w:r>
      <w:bookmarkStart w:id="0" w:name="OLE_LINK1"/>
      <w:r>
        <w:rPr>
          <w:rFonts w:hint="default" w:ascii="Times New Roman" w:hAnsi="Times New Roman" w:eastAsia="方正仿宋_GBK" w:cs="Times New Roman"/>
          <w:sz w:val="32"/>
          <w:szCs w:val="32"/>
        </w:rPr>
        <w:t>核发《规划核实证明书》</w:t>
      </w:r>
      <w:bookmarkEnd w:id="0"/>
      <w:r>
        <w:rPr>
          <w:rFonts w:hint="default" w:ascii="Times New Roman" w:hAnsi="Times New Roman" w:eastAsia="方正仿宋_GBK" w:cs="Times New Roman"/>
          <w:sz w:val="32"/>
          <w:szCs w:val="32"/>
        </w:rPr>
        <w:t>。未经核实或者经核实不符合又未完成整改的，建设单位不得组织竣工验收，不得交付使用。</w:t>
      </w:r>
    </w:p>
    <w:p w14:paraId="03C63E35">
      <w:pPr>
        <w:pStyle w:val="9"/>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黑体" w:hAnsi="黑体" w:eastAsia="黑体" w:cs="黑体"/>
          <w:b w:val="0"/>
          <w:bCs w:val="0"/>
          <w:kern w:val="2"/>
          <w:sz w:val="32"/>
          <w:szCs w:val="32"/>
          <w:lang w:val="en-US" w:eastAsia="zh-CN" w:bidi="ar-SA"/>
        </w:rPr>
        <w:t>第十条</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kern w:val="2"/>
          <w:sz w:val="32"/>
          <w:szCs w:val="32"/>
          <w:lang w:val="en-US" w:eastAsia="zh-CN" w:bidi="ar-SA"/>
        </w:rPr>
        <w:t xml:space="preserve"> 除法律、法规、政策规定不需要核发《规划核实证明书》的市政工程外，未经市自然资源和规划局竣工规划核实核发《规划核实证明书》，未经竣工验收合格的市政</w:t>
      </w:r>
      <w:r>
        <w:rPr>
          <w:rFonts w:hint="default" w:ascii="Times New Roman" w:hAnsi="Times New Roman" w:eastAsia="方正仿宋_GBK" w:cs="Times New Roman"/>
          <w:kern w:val="2"/>
          <w:sz w:val="32"/>
          <w:szCs w:val="32"/>
          <w:lang w:val="en-US" w:eastAsia="zh-CN" w:bidi="ar-SA"/>
        </w:rPr>
        <w:t>工程项目，建设单位不得组织竣工结算。</w:t>
      </w:r>
    </w:p>
    <w:p w14:paraId="726ABF91">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黑体" w:hAnsi="黑体" w:eastAsia="黑体" w:cs="黑体"/>
          <w:b w:val="0"/>
          <w:bCs w:val="0"/>
          <w:kern w:val="2"/>
          <w:sz w:val="32"/>
          <w:szCs w:val="32"/>
          <w:lang w:val="en-US" w:eastAsia="zh-CN" w:bidi="ar-SA"/>
        </w:rPr>
        <w:t>第十一条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2"/>
          <w:sz w:val="32"/>
          <w:szCs w:val="32"/>
          <w:lang w:val="en-US" w:eastAsia="zh-CN" w:bidi="ar-SA"/>
        </w:rPr>
        <w:t xml:space="preserve">加大对违法市政工程建设的查处力度，对未取得《建设工程规划许可证》的市政工程，由属地城市管理和综合执法局负责依法予以查处；未按照《建设工程规划许可证》的规定进行建设的市政工程，由市自然资源和规划局负责依法予以查处；未取得《建筑工程施工许可证》或者开工报告未经批准擅自施工的市政工程，由建设行政主管部门负责日常监管，责令改正，逾期未改正或者拒不改正的，将违法线索移交至属地城市管理和综合执法局负责处罚。                           </w:t>
      </w:r>
    </w:p>
    <w:p w14:paraId="55D03833">
      <w:pPr>
        <w:keepNext w:val="0"/>
        <w:keepLines w:val="0"/>
        <w:pageBreakBefore w:val="0"/>
        <w:widowControl w:val="0"/>
        <w:kinsoku/>
        <w:wordWrap/>
        <w:overflowPunct/>
        <w:topLinePunct w:val="0"/>
        <w:autoSpaceDE/>
        <w:autoSpaceDN/>
        <w:bidi w:val="0"/>
        <w:adjustRightInd/>
        <w:snapToGrid/>
        <w:spacing w:beforeAutospacing="0" w:line="600" w:lineRule="exact"/>
        <w:ind w:lef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其它方面违法行为由相关部门予以查处。市自然资源和规划局、建设行政主管部门与属地城市管理和综合执法局应加强协作，并加大对市政工程监督管理和违法建设查处的工作力度。</w:t>
      </w:r>
    </w:p>
    <w:p w14:paraId="5B3296F5">
      <w:pPr>
        <w:keepNext w:val="0"/>
        <w:keepLines w:val="0"/>
        <w:pageBreakBefore w:val="0"/>
        <w:widowControl w:val="0"/>
        <w:kinsoku/>
        <w:wordWrap/>
        <w:overflowPunct/>
        <w:topLinePunct w:val="0"/>
        <w:autoSpaceDE/>
        <w:autoSpaceDN/>
        <w:bidi w:val="0"/>
        <w:adjustRightInd/>
        <w:snapToGrid/>
        <w:spacing w:beforeAutospacing="0" w:line="600" w:lineRule="exact"/>
        <w:ind w:left="30" w:firstLine="480" w:firstLineChars="150"/>
        <w:jc w:val="center"/>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第四章 附则</w:t>
      </w:r>
    </w:p>
    <w:p w14:paraId="5BA35640">
      <w:pPr>
        <w:keepNext w:val="0"/>
        <w:keepLines w:val="0"/>
        <w:pageBreakBefore w:val="0"/>
        <w:widowControl w:val="0"/>
        <w:kinsoku/>
        <w:wordWrap/>
        <w:overflowPunct/>
        <w:topLinePunct w:val="0"/>
        <w:autoSpaceDE/>
        <w:autoSpaceDN/>
        <w:bidi w:val="0"/>
        <w:adjustRightInd/>
        <w:snapToGrid/>
        <w:spacing w:beforeAutospacing="0" w:line="600" w:lineRule="exact"/>
        <w:ind w:left="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 xml:space="preserve">   </w:t>
      </w:r>
      <w:r>
        <w:rPr>
          <w:rFonts w:hint="default" w:ascii="黑体" w:hAnsi="黑体" w:eastAsia="黑体" w:cs="黑体"/>
          <w:b w:val="0"/>
          <w:bCs w:val="0"/>
          <w:kern w:val="2"/>
          <w:sz w:val="32"/>
          <w:szCs w:val="32"/>
          <w:lang w:val="en-US" w:eastAsia="zh-CN" w:bidi="ar-SA"/>
        </w:rPr>
        <w:t>第十二条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2"/>
          <w:sz w:val="32"/>
          <w:szCs w:val="32"/>
          <w:lang w:val="en-US" w:eastAsia="zh-CN" w:bidi="ar-SA"/>
        </w:rPr>
        <w:t>本规定</w:t>
      </w:r>
      <w:r>
        <w:rPr>
          <w:rFonts w:hint="default" w:ascii="Times New Roman" w:hAnsi="Times New Roman" w:eastAsia="方正仿宋_GBK" w:cs="Times New Roman"/>
          <w:spacing w:val="-11"/>
          <w:kern w:val="2"/>
          <w:sz w:val="32"/>
          <w:szCs w:val="32"/>
          <w:lang w:val="en-US" w:eastAsia="zh-CN" w:bidi="ar-SA"/>
        </w:rPr>
        <w:t>自2026年1月1日</w:t>
      </w:r>
      <w:r>
        <w:rPr>
          <w:rFonts w:hint="default" w:ascii="Times New Roman" w:hAnsi="Times New Roman" w:eastAsia="方正仿宋_GBK" w:cs="Times New Roman"/>
          <w:kern w:val="2"/>
          <w:sz w:val="32"/>
          <w:szCs w:val="32"/>
          <w:lang w:val="en-US" w:eastAsia="zh-CN" w:bidi="ar-SA"/>
        </w:rPr>
        <w:t>起施行，有效期5年。</w:t>
      </w:r>
    </w:p>
    <w:p w14:paraId="290AE3A1">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asci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字体管家楷体"/>
    <w:panose1 w:val="00000000000000000000"/>
    <w:charset w:val="00"/>
    <w:family w:val="auto"/>
    <w:pitch w:val="default"/>
    <w:sig w:usb0="00000000" w:usb1="00000000" w:usb2="00000000" w:usb3="00000000" w:csb0="00000000" w:csb1="00000000"/>
  </w:font>
  <w:font w:name="DejaVu Sans">
    <w:altName w:val="字体管家楷体"/>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字体管家楷体">
    <w:panose1 w:val="02000500000000000000"/>
    <w:charset w:val="80"/>
    <w:family w:val="auto"/>
    <w:pitch w:val="default"/>
    <w:sig w:usb0="F7FFAEFF" w:usb1="F9DFFFFF" w:usb2="001FFDFF" w:usb3="00000000" w:csb0="6003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6A5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A90C6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A90C6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5DBC1D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uiPriority w:val="0"/>
    <w:pPr>
      <w:widowControl w:val="0"/>
      <w:spacing w:beforeAutospacing="1"/>
      <w:jc w:val="both"/>
    </w:pPr>
    <w:rPr>
      <w:rFonts w:ascii="Calibri" w:hAnsi="Calibri" w:eastAsia="宋体" w:cs="Times New Roman"/>
      <w:kern w:val="2"/>
      <w:sz w:val="21"/>
      <w:szCs w:val="24"/>
      <w:lang w:val="en-US" w:eastAsia="zh-CN" w:bidi="ar-SA"/>
    </w:rPr>
  </w:style>
  <w:style w:type="paragraph" w:styleId="6">
    <w:name w:val="Date"/>
    <w:basedOn w:val="1"/>
    <w:next w:val="1"/>
    <w:uiPriority w:val="0"/>
    <w:pPr>
      <w:ind w:left="25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iPriority w:val="0"/>
    <w:pPr>
      <w:widowControl w:val="0"/>
      <w:spacing w:before="100" w:beforeAutospacing="1" w:after="100" w:afterAutospacing="1" w:line="240" w:lineRule="auto"/>
      <w:jc w:val="left"/>
    </w:pPr>
    <w:rPr>
      <w:rFonts w:ascii="Courier New" w:hAnsi="Courier New" w:eastAsia="宋体" w:cs="Times New Roman"/>
      <w:kern w:val="2"/>
      <w:sz w:val="20"/>
      <w:szCs w:val="21"/>
      <w:lang w:val="en-US" w:eastAsia="zh-CN" w:bidi="ar-SA"/>
    </w:rPr>
  </w:style>
  <w:style w:type="paragraph" w:styleId="10">
    <w:name w:val="Normal (Web)"/>
    <w:basedOn w:val="1"/>
    <w:uiPriority w:val="0"/>
    <w:pPr>
      <w:widowControl/>
      <w:spacing w:before="100" w:beforeAutospacing="1" w:after="100" w:afterAutospacing="1"/>
      <w:jc w:val="left"/>
    </w:pPr>
    <w:rPr>
      <w:rFonts w:asci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1982</Words>
  <Characters>1985</Characters>
  <Lines>4</Lines>
  <Paragraphs>0</Paragraphs>
  <TotalTime>5971</TotalTime>
  <ScaleCrop>false</ScaleCrop>
  <LinksUpToDate>false</LinksUpToDate>
  <CharactersWithSpaces>2036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2025-02-08T08:45:00Z</dcterms:created>
  <dc:creator>Administrator</dc:creator>
  <cp:lastModifiedBy>熋 寶 寶</cp:lastModifiedBy>
  <cp:lastPrinted>2025-12-31T08:02:15Z</cp:lastPrinted>
  <dcterms:modified xsi:type="dcterms:W3CDTF">2025-12-31T08:04:30Z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B081FEF995E54CEE8128F4BAFB65BC08</vt:lpwstr>
  </property>
  <property fmtid="{D5CDD505-2E9C-101B-9397-08002B2CF9AE}" pid="4" name="KSOTemplateDocerSaveRecord">
    <vt:lpwstr>eyJoZGlkIjoiYjgxMGE0MDEyYTFlMjA3YmYyMDQ5YTU3N2JiZmIyZjUiLCJ1c2VySWQiOiI5MzM5MjQwMDEifQ==</vt:lpwstr>
  </property>
</Properties>
</file>