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spacing w:after="312" w:afterLines="100" w:line="540" w:lineRule="exact"/>
        <w:jc w:val="center"/>
        <w:rPr>
          <w:rFonts w:hint="eastAsia" w:ascii="仿宋_GB2312" w:eastAsia="仿宋_GB2312"/>
          <w:sz w:val="32"/>
          <w:szCs w:val="32"/>
        </w:rPr>
      </w:pPr>
      <w:bookmarkStart w:id="0" w:name="_GoBack"/>
      <w:r>
        <w:rPr>
          <w:rFonts w:hint="eastAsia" w:ascii="方正小标宋简体" w:hAnsi="方正小标宋简体" w:eastAsia="方正小标宋简体" w:cs="方正小标宋简体"/>
          <w:bCs/>
          <w:sz w:val="44"/>
          <w:szCs w:val="44"/>
        </w:rPr>
        <w:t>怀化高新区、怀化经开区赋权目录</w:t>
      </w:r>
      <w:bookmarkEnd w:id="0"/>
    </w:p>
    <w:tbl>
      <w:tblPr>
        <w:tblStyle w:val="4"/>
        <w:tblW w:w="14332" w:type="dxa"/>
        <w:tblInd w:w="93" w:type="dxa"/>
        <w:tblLayout w:type="autofit"/>
        <w:tblCellMar>
          <w:top w:w="0" w:type="dxa"/>
          <w:left w:w="108" w:type="dxa"/>
          <w:bottom w:w="0" w:type="dxa"/>
          <w:right w:w="108" w:type="dxa"/>
        </w:tblCellMar>
      </w:tblPr>
      <w:tblGrid>
        <w:gridCol w:w="660"/>
        <w:gridCol w:w="2850"/>
        <w:gridCol w:w="1605"/>
        <w:gridCol w:w="1245"/>
        <w:gridCol w:w="1593"/>
        <w:gridCol w:w="852"/>
        <w:gridCol w:w="723"/>
        <w:gridCol w:w="675"/>
        <w:gridCol w:w="675"/>
        <w:gridCol w:w="675"/>
        <w:gridCol w:w="675"/>
        <w:gridCol w:w="2104"/>
      </w:tblGrid>
      <w:tr>
        <w:tblPrEx>
          <w:tblCellMar>
            <w:top w:w="0" w:type="dxa"/>
            <w:left w:w="108" w:type="dxa"/>
            <w:bottom w:w="0" w:type="dxa"/>
            <w:right w:w="108" w:type="dxa"/>
          </w:tblCellMar>
        </w:tblPrEx>
        <w:trPr>
          <w:trHeight w:val="285" w:hRule="atLeast"/>
          <w:tblHead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序号</w:t>
            </w: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赋权事项名称</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事项编码</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事项类型</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赋权部门</w:t>
            </w:r>
          </w:p>
        </w:tc>
        <w:tc>
          <w:tcPr>
            <w:tcW w:w="15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赋权对象</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赋权方式</w:t>
            </w:r>
          </w:p>
        </w:tc>
        <w:tc>
          <w:tcPr>
            <w:tcW w:w="21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备注</w:t>
            </w:r>
          </w:p>
        </w:tc>
      </w:tr>
      <w:tr>
        <w:tblPrEx>
          <w:tblCellMar>
            <w:top w:w="0" w:type="dxa"/>
            <w:left w:w="108" w:type="dxa"/>
            <w:bottom w:w="0" w:type="dxa"/>
            <w:right w:w="108" w:type="dxa"/>
          </w:tblCellMar>
        </w:tblPrEx>
        <w:trPr>
          <w:trHeight w:val="765" w:hRule="atLeast"/>
          <w:tblHead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黑体简体" w:hAnsi="宋体" w:eastAsia="方正黑体简体" w:cs="黑体"/>
                <w:color w:val="000000"/>
                <w:szCs w:val="21"/>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黑体简体" w:hAnsi="宋体" w:eastAsia="方正黑体简体" w:cs="黑体"/>
                <w:color w:val="000000"/>
                <w:szCs w:val="21"/>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黑体简体" w:hAnsi="宋体" w:eastAsia="方正黑体简体" w:cs="黑体"/>
                <w:color w:val="000000"/>
                <w:szCs w:val="21"/>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黑体简体" w:hAnsi="宋体" w:eastAsia="方正黑体简体" w:cs="黑体"/>
                <w:color w:val="000000"/>
                <w:szCs w:val="21"/>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黑体简体" w:hAnsi="宋体" w:eastAsia="方正黑体简体" w:cs="黑体"/>
                <w:color w:val="000000"/>
                <w:szCs w:val="21"/>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怀化高新区</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怀化经开区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直接赋权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委托行使</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服务前移</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方正黑体简体" w:hAnsi="宋体" w:eastAsia="方正黑体简体" w:cs="黑体"/>
                <w:color w:val="000000"/>
                <w:szCs w:val="21"/>
              </w:rPr>
            </w:pPr>
            <w:r>
              <w:rPr>
                <w:rFonts w:hint="eastAsia" w:ascii="方正黑体简体" w:hAnsi="宋体" w:eastAsia="方正黑体简体" w:cs="黑体"/>
                <w:color w:val="000000"/>
                <w:kern w:val="0"/>
                <w:szCs w:val="21"/>
                <w:lang w:bidi="ar"/>
              </w:rPr>
              <w:t>审批直报</w:t>
            </w:r>
          </w:p>
        </w:tc>
        <w:tc>
          <w:tcPr>
            <w:tcW w:w="210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黑体"/>
                <w:color w:val="000000"/>
                <w:szCs w:val="21"/>
              </w:rPr>
            </w:pPr>
          </w:p>
        </w:tc>
      </w:tr>
      <w:tr>
        <w:tblPrEx>
          <w:tblCellMar>
            <w:top w:w="0" w:type="dxa"/>
            <w:left w:w="108" w:type="dxa"/>
            <w:bottom w:w="0" w:type="dxa"/>
            <w:right w:w="108" w:type="dxa"/>
          </w:tblCellMar>
        </w:tblPrEx>
        <w:trPr>
          <w:trHeight w:val="285" w:hRule="atLeast"/>
        </w:trPr>
        <w:tc>
          <w:tcPr>
            <w:tcW w:w="1433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仿宋_GB2312" w:hAnsi="宋体" w:eastAsia="仿宋_GB2312" w:cs="黑体"/>
                <w:color w:val="000000"/>
                <w:szCs w:val="21"/>
              </w:rPr>
            </w:pPr>
            <w:r>
              <w:rPr>
                <w:rFonts w:hint="eastAsia" w:ascii="仿宋_GB2312" w:hAnsi="宋体" w:eastAsia="仿宋_GB2312" w:cs="黑体"/>
                <w:color w:val="000000"/>
                <w:kern w:val="0"/>
                <w:szCs w:val="21"/>
                <w:lang w:bidi="ar"/>
              </w:rPr>
              <w:t>一、土地供应与项目推进类（77项）</w:t>
            </w:r>
          </w:p>
        </w:tc>
      </w:tr>
      <w:tr>
        <w:tblPrEx>
          <w:tblCellMar>
            <w:top w:w="0" w:type="dxa"/>
            <w:left w:w="108" w:type="dxa"/>
            <w:bottom w:w="0" w:type="dxa"/>
            <w:right w:w="108" w:type="dxa"/>
          </w:tblCellMar>
        </w:tblPrEx>
        <w:trPr>
          <w:trHeight w:val="9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建设项目用地预审与选址意见书核发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000115012000（主项：建设项目选址意见书核发）</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建设用地（含临时用地）规划许可证核发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000115013000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国有建设用地使用权划拨批准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000115046000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乡（镇）村公共设施、公益事业使用集体建设用地审批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0" w:type="auto"/>
            <w:tcBorders>
              <w:top w:val="nil"/>
              <w:left w:val="nil"/>
              <w:bottom w:val="nil"/>
              <w:right w:val="nil"/>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乡（镇）村企业使用集体建设用地审批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改变土地使用条件审批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430115008W07</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建设用地改变用途审核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建设用地供地审查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000115057000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建设工程规划类许可证核发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临时用地审批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9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国有建设用地使用权出让后土地使用权分割转让批准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99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划拨土地使用权和地上建筑物及附着物所有权转让、出租、抵押审批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68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闲置土地处置</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431015072W00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出让土地使用权按现状转让</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431015042W00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67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收回国有土地使用权审核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431015043W00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98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土地权属确定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430715002W00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98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国有土地使用权初始登记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430715003W03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95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国有土地使用权变更登记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430715003W0A</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10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建设用地使用权</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000715001005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70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建设工程规划核验（验收）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000715002000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建设项目环境影响评价审批（海洋工程、核与辐射类除外）</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000116055000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省级审批权限除外。</w:t>
            </w:r>
          </w:p>
        </w:tc>
      </w:tr>
      <w:tr>
        <w:tblPrEx>
          <w:tblCellMar>
            <w:top w:w="0" w:type="dxa"/>
            <w:left w:w="108" w:type="dxa"/>
            <w:bottom w:w="0" w:type="dxa"/>
            <w:right w:w="108" w:type="dxa"/>
          </w:tblCellMar>
        </w:tblPrEx>
        <w:trPr>
          <w:trHeight w:val="17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建设项目使用林地及在森林和野生动物类型国家级自然保护区建设审批（核）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00016413900Y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市林业局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湘政办发〔2020〕49号省级权限直报省级部门（不含“在森林和野生动物类型国家级自然保护区建设审批”）。</w:t>
            </w:r>
          </w:p>
        </w:tc>
      </w:tr>
      <w:tr>
        <w:tblPrEx>
          <w:tblCellMar>
            <w:top w:w="0" w:type="dxa"/>
            <w:left w:w="108" w:type="dxa"/>
            <w:bottom w:w="0" w:type="dxa"/>
            <w:right w:w="108" w:type="dxa"/>
          </w:tblCellMar>
        </w:tblPrEx>
        <w:trPr>
          <w:trHeight w:val="16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临时使用林地审批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000164116000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市林业局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临时使用20公顷以上（含）的）林地审批，根据湘政办发〔2020〕49号文件，国家级园区可直报省林业局审批。</w:t>
            </w:r>
          </w:p>
        </w:tc>
      </w:tr>
      <w:tr>
        <w:tblPrEx>
          <w:tblCellMar>
            <w:top w:w="0" w:type="dxa"/>
            <w:left w:w="108" w:type="dxa"/>
            <w:bottom w:w="0" w:type="dxa"/>
            <w:right w:w="108" w:type="dxa"/>
          </w:tblCellMar>
        </w:tblPrEx>
        <w:trPr>
          <w:trHeight w:val="9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建设工程文物保护和考古许可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430168003W00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市文化旅游广电体育局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9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新建、扩建、改建建设工程避免危害气象探测环境审批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000154004000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市气象局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2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雷电防护装置设计审核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000154001001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市气象局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房屋建筑工程和市政基础设施工程雷电防护装置设计审核、竣工验收许可，整合纳入建筑工程施工图审查、竣工验收备案，由住房城乡建设部门负责；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由市气象局负责雷电防护装置设计审核和竣工验收许可。</w:t>
            </w:r>
          </w:p>
        </w:tc>
      </w:tr>
      <w:tr>
        <w:tblPrEx>
          <w:tblCellMar>
            <w:top w:w="0" w:type="dxa"/>
            <w:left w:w="108" w:type="dxa"/>
            <w:bottom w:w="0" w:type="dxa"/>
            <w:right w:w="108" w:type="dxa"/>
          </w:tblCellMar>
        </w:tblPrEx>
        <w:trPr>
          <w:trHeight w:val="33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雷电防护装置竣工验收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000154001002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市气象局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权限内政府投资项目审批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431004129W00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29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施工图预算或招标上限值审查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431013014W00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政府投资项目建议书审批</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431004110W00（主项：权限内政府投资项目概算审查）</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政府投资项目可行性研究报告审批</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政府投资项目初步设计概算审批</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企业投资项目备案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432004404W00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政府投资项目代建单位招标文件、代建合同备案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432004403W00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电力设施保护区内作业审批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430104001W00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市工业和信息化局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工程建设项目附属绿化工程设计方案审查及竣工验收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431017001W00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政府投资项目初步设计审批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430117080W00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仅限房屋建筑和市政基础设施工程项目。</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建设工程消防设计审查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000117052000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nil"/>
              <w:left w:val="nil"/>
              <w:bottom w:val="nil"/>
              <w:right w:val="nil"/>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39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超限高层建筑工程抗震设防审批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000117010000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建筑工程施工许可证核发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000117006000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建设工程消防验收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000117051000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砍伐城市树木审批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000117027000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迁移古树名木审批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000117028000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市林业局</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因工程建设需要拆除、改动、迁移供水、排水与污水处理设施审核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由于工程施工、设备维修等原因确需停止供水的审批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000117023000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施工图审查情况备案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001017007000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最高投标限价（招标控制价）及其成果文件备案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431017369W00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施工、监理等招标文件告知性备案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431017357W00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建设工程招标投标情况书面报告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431017281W00（主项：中标通知书备案）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建设工程城建档案验收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431017325W00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建筑工程（含房屋建筑工程、市政基础设施工程、燃气设施工程和城镇排水与污水处理设施工程等）竣工验收备案（含档案验收）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001017006000（主项：房屋建筑和市政基础设施工程竣工验收备案）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怀化高新区、怀化经开区在通过省住房城乡建设厅考核认定、具备监管能力前，仍由市住房城乡建设局实施。</w:t>
            </w:r>
          </w:p>
        </w:tc>
      </w:tr>
      <w:tr>
        <w:tblPrEx>
          <w:tblCellMar>
            <w:top w:w="0" w:type="dxa"/>
            <w:left w:w="108" w:type="dxa"/>
            <w:bottom w:w="0" w:type="dxa"/>
            <w:right w:w="108" w:type="dxa"/>
          </w:tblCellMar>
        </w:tblPrEx>
        <w:trPr>
          <w:trHeight w:val="62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建设工程竣工结算备案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431017367W00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权限内占用城市绿地审批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431017228W00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工程质量以及施工现场进行检查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430617042W0Y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怀化高新区、怀化经开区在通过省住房城乡建设厅考核认定、具备监管能力前，仍由市住房城乡建设局实施。</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建设工程竣工验收消防备案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000717008000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城市地下空间开发利用中人民防空防护事项的设计审查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430199009W08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新建民用建筑防空地下室的设计审查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430199012W0D</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新建民用建筑防空地下室的报建审批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430199012W0B</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59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新建民用建筑防空地下室易地建设审批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430199017W00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城市地下空间开发利用中人民防空防护事项的审批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430199009W0Y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拆除、改造、报废人防工程及通信设施审批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430199023W00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9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权限内单独修建人防工程的设计审查、开工报告批准、竣工验收备案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430199001W0Y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80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新建民用建筑防空地下室的竣工验收备案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430199012W0A</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怀化高新区为委托行使，怀化经开区为服务前移。</w:t>
            </w:r>
          </w:p>
        </w:tc>
      </w:tr>
      <w:tr>
        <w:tblPrEx>
          <w:tblCellMar>
            <w:top w:w="0" w:type="dxa"/>
            <w:left w:w="108" w:type="dxa"/>
            <w:bottom w:w="0" w:type="dxa"/>
            <w:right w:w="108" w:type="dxa"/>
          </w:tblCellMar>
        </w:tblPrEx>
        <w:trPr>
          <w:trHeight w:val="55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城市地下空间开发利用人防工程竣工验收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430199009W07</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人防工程认定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430799009W00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人防施工图变更设计备案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431099013W00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人防工程档案备案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431099017W00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市人防办</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（含交通、水利）建设项目设计文件审批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430119043W00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市交通运输局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69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开采矿产资源审批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00011501600Y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出让土地使用权续期许可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430115008W02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66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对违反土地管理法律、法规行为的监督检查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430615010W00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2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城乡规划编制、实施活动的监督检查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430617036W00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不动产登记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000715001000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801"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组织编制和修改控制性详细、专项规划、城市设计和重要地段修建性详细规划</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431015121W00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作出限期腾地决定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431015013W00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5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商品房预售许可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000117050000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建设工程项目的质量安全监督管理及竣工验收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430617069W00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怀化高新区、怀化经开区在通过省住房城乡建设厅考核认定、具备监管能力前，仍由市住房城乡建设局实施。</w:t>
            </w:r>
          </w:p>
        </w:tc>
      </w:tr>
      <w:tr>
        <w:tblPrEx>
          <w:tblCellMar>
            <w:top w:w="0" w:type="dxa"/>
            <w:left w:w="108" w:type="dxa"/>
            <w:bottom w:w="0" w:type="dxa"/>
            <w:right w:w="108" w:type="dxa"/>
          </w:tblCellMar>
        </w:tblPrEx>
        <w:trPr>
          <w:trHeight w:val="477" w:hRule="atLeast"/>
        </w:trPr>
        <w:tc>
          <w:tcPr>
            <w:tcW w:w="1433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仿宋_GB2312" w:hAnsi="宋体" w:eastAsia="仿宋_GB2312" w:cs="黑体"/>
                <w:color w:val="000000"/>
                <w:szCs w:val="21"/>
              </w:rPr>
            </w:pPr>
            <w:r>
              <w:rPr>
                <w:rFonts w:hint="eastAsia" w:ascii="仿宋_GB2312" w:hAnsi="宋体" w:eastAsia="仿宋_GB2312" w:cs="黑体"/>
                <w:color w:val="000000"/>
                <w:kern w:val="0"/>
                <w:szCs w:val="21"/>
                <w:lang w:bidi="ar"/>
              </w:rPr>
              <w:t>二、市场准入与企业经营类（43项）</w:t>
            </w:r>
          </w:p>
        </w:tc>
      </w:tr>
      <w:tr>
        <w:tblPrEx>
          <w:tblCellMar>
            <w:top w:w="0" w:type="dxa"/>
            <w:left w:w="108" w:type="dxa"/>
            <w:bottom w:w="0" w:type="dxa"/>
            <w:right w:w="108" w:type="dxa"/>
          </w:tblCellMar>
        </w:tblPrEx>
        <w:trPr>
          <w:trHeight w:val="90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企业设立、变更、注销登记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不含股份有限公司、外商投资企业的设立、变更、注销登记。</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食品（含保健食品）经营许可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000131024000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食品（含保健食品）生产许可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000131023000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化妆品生产许可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rPr>
          <w:trHeight w:val="7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药品生产企业许可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9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药品批发企业许可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000172004000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62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药品零售企业许可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000172005000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药品连锁企业直营店除外。</w:t>
            </w:r>
          </w:p>
        </w:tc>
      </w:tr>
      <w:tr>
        <w:tblPrEx>
          <w:tblCellMar>
            <w:top w:w="0" w:type="dxa"/>
            <w:left w:w="108" w:type="dxa"/>
            <w:bottom w:w="0" w:type="dxa"/>
            <w:right w:w="108" w:type="dxa"/>
          </w:tblCellMar>
        </w:tblPrEx>
        <w:trPr>
          <w:trHeight w:val="8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药品委托生产审批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000172009000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64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第三类医疗器械经营许可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000172028000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71"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药品、医疗器械互联网信息服务审批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000172030000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计量标准器具核准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000131012000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89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强制检定工作计量器具备案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431031034W00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广告发布登记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000131006000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企业（包括个体工商户、农民专业合作社）自主申报名称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431031082W00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92</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第一类医疗器械产品和生产企业、第二类医疗器械经营备案</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431072056W00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企业经营异常名录的列入、移出、异议的处理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431031085W00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8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营业执照遗失补领、换发申请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431031090W01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不包括股份有限公司、外商投资企业及其分支机构。</w:t>
            </w:r>
          </w:p>
        </w:tc>
      </w:tr>
      <w:tr>
        <w:tblPrEx>
          <w:tblCellMar>
            <w:top w:w="0" w:type="dxa"/>
            <w:left w:w="108" w:type="dxa"/>
            <w:bottom w:w="0" w:type="dxa"/>
            <w:right w:w="108" w:type="dxa"/>
          </w:tblCellMar>
        </w:tblPrEx>
        <w:trPr>
          <w:trHeight w:val="86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申请增加、减少营业执照副本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431031090W02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不包括股份有限公司、外商投资企业及其分支机构。</w:t>
            </w:r>
          </w:p>
        </w:tc>
      </w:tr>
      <w:tr>
        <w:tblPrEx>
          <w:tblCellMar>
            <w:top w:w="0" w:type="dxa"/>
            <w:left w:w="108" w:type="dxa"/>
            <w:bottom w:w="0" w:type="dxa"/>
            <w:right w:w="108" w:type="dxa"/>
          </w:tblCellMar>
        </w:tblPrEx>
        <w:trPr>
          <w:trHeight w:val="96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权限内备案事项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431031091W00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不包括股份有限公司、外商投资企业及其分支机构。</w:t>
            </w:r>
          </w:p>
        </w:tc>
      </w:tr>
      <w:tr>
        <w:tblPrEx>
          <w:tblCellMar>
            <w:top w:w="0" w:type="dxa"/>
            <w:left w:w="108" w:type="dxa"/>
            <w:bottom w:w="0" w:type="dxa"/>
            <w:right w:w="108" w:type="dxa"/>
          </w:tblCellMar>
        </w:tblPrEx>
        <w:trPr>
          <w:trHeight w:val="981"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股权出质的设立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000731002000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不包括股份有限公司、外商投资企业及其分支机构。</w:t>
            </w:r>
          </w:p>
        </w:tc>
      </w:tr>
      <w:tr>
        <w:tblPrEx>
          <w:tblCellMar>
            <w:top w:w="0" w:type="dxa"/>
            <w:left w:w="108" w:type="dxa"/>
            <w:bottom w:w="0" w:type="dxa"/>
            <w:right w:w="108" w:type="dxa"/>
          </w:tblCellMar>
        </w:tblPrEx>
        <w:trPr>
          <w:trHeight w:val="3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技术合同认定登记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000706001000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市科技局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90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99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农作物种子生产经营许可证核发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000120202000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市农业农村局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57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废弃电器电子产品处理企业资格审批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000116006000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贮存危险废物超过一年的批准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000116057000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危险废物管理计划备案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431016005W00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申请从事互联网上网服务经营活动审批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000122011000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市文化旅游广电体育局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从事经营性互联网文化活动审批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000122010000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市文化旅游广电体育局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127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建筑业企业资质核准（总承包特级、一级、部分二级及部分专业承包一级、二级除外）</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000117054002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1.市级权限服务前移；</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2.湘政办发〔2020〕49号省级权限直报省级部门。</w:t>
            </w:r>
          </w:p>
        </w:tc>
      </w:tr>
      <w:tr>
        <w:tblPrEx>
          <w:tblCellMar>
            <w:top w:w="0" w:type="dxa"/>
            <w:left w:w="108" w:type="dxa"/>
            <w:bottom w:w="0" w:type="dxa"/>
            <w:right w:w="108" w:type="dxa"/>
          </w:tblCellMar>
        </w:tblPrEx>
        <w:trPr>
          <w:trHeight w:val="85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抵押权登记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000715001014</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市自然资源和规划局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90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企业印制发票审批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000130001000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8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对纳税人延期缴纳税款的核准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000130002000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109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纳税信用复评</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000730013000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纳税信用补评</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000730014000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3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纳税信用修复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000730016000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1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对外贸易经营者备案登记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000121013000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市商务局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工程建设项目招标方式、招标组织形式和招标范围核准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430104017W00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企业投资项目核准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00010400100Y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固定资产投资项目节能审查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000104002000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危险化学品经营许可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000125045000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市应急局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5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燃气经营许可证核发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000117018000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燃气经营者改动市政燃气设施审批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119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房地产开发企业资质核定（二级及以下）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2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成品油零售经营资格审批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000121008000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市商务局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396" w:hRule="atLeast"/>
        </w:trPr>
        <w:tc>
          <w:tcPr>
            <w:tcW w:w="1433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仿宋_GB2312" w:hAnsi="宋体" w:eastAsia="仿宋_GB2312" w:cs="黑体"/>
                <w:color w:val="000000"/>
                <w:szCs w:val="21"/>
              </w:rPr>
            </w:pPr>
            <w:r>
              <w:rPr>
                <w:rFonts w:hint="eastAsia" w:ascii="仿宋_GB2312" w:hAnsi="宋体" w:eastAsia="仿宋_GB2312" w:cs="黑体"/>
                <w:color w:val="000000"/>
                <w:kern w:val="0"/>
                <w:szCs w:val="21"/>
                <w:lang w:bidi="ar"/>
              </w:rPr>
              <w:t>三、招商引资与招才引智类（18项）</w:t>
            </w:r>
          </w:p>
        </w:tc>
      </w:tr>
      <w:tr>
        <w:tblPrEx>
          <w:tblCellMar>
            <w:top w:w="0" w:type="dxa"/>
            <w:left w:w="108" w:type="dxa"/>
            <w:bottom w:w="0" w:type="dxa"/>
            <w:right w:w="108" w:type="dxa"/>
          </w:tblCellMar>
        </w:tblPrEx>
        <w:trPr>
          <w:trHeight w:val="86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境外投资项目核准和备案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000104003000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blPrEx>
          <w:tblCellMar>
            <w:top w:w="0" w:type="dxa"/>
            <w:left w:w="108" w:type="dxa"/>
            <w:bottom w:w="0" w:type="dxa"/>
            <w:right w:w="108" w:type="dxa"/>
          </w:tblCellMar>
        </w:tblPrEx>
        <w:trPr>
          <w:trHeight w:val="84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鼓励类外商投资项目进口设备免税确认事项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000704001000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市发展改革委</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湘政办发〔2020〕49号省级权限直报省级部门。</w:t>
            </w:r>
          </w:p>
        </w:tc>
      </w:tr>
      <w:tr>
        <w:trPr>
          <w:trHeight w:val="67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自由进出口技术合同备案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431021015W00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市商务局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9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吸纳贫困劳动力就业奖补申领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002014106005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职业培训补贴申领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002014008003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技能提升补贴申领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002014008010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创业补贴申领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002014105001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创业担保贷款申请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002014105002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129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职业培训补贴申领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002014201001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2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生活费补贴申领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002014201002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职业技能鉴定补贴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00201420200Y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申报职业技能鉴定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002014205001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遗失技能人员职业资格证书补发申请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002014205002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境外就业和对外劳务合作人员换发技能人员职业资格证书申请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002014205003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1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国家和省海外高层次人才服务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002014207005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申报职业技能等级认定服务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432014202W00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申报专项职业能力考核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432014203W00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公租房承租资格确认</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000717009000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24" w:hRule="atLeast"/>
        </w:trPr>
        <w:tc>
          <w:tcPr>
            <w:tcW w:w="1433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仿宋_GB2312" w:hAnsi="宋体" w:eastAsia="仿宋_GB2312" w:cs="黑体"/>
                <w:color w:val="000000"/>
                <w:szCs w:val="21"/>
              </w:rPr>
            </w:pPr>
            <w:r>
              <w:rPr>
                <w:rFonts w:hint="eastAsia" w:ascii="仿宋_GB2312" w:hAnsi="宋体" w:eastAsia="仿宋_GB2312" w:cs="黑体"/>
                <w:color w:val="000000"/>
                <w:kern w:val="0"/>
                <w:szCs w:val="21"/>
                <w:lang w:bidi="ar"/>
              </w:rPr>
              <w:t>四、园区管理与服务类（52项）</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139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排污许可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000116005000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防治污染设施拆除或闲置审批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000116003000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市生态环境局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特种设备使用登记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000131011000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市市场监督管理局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70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受理特种设备安装、改造、修理施工告知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431031012W00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市市场监督管理局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8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公众聚集场所投入使用、营业前消防安全检查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000125049000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市消防救援支队</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1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火灾事故调查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000725007000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行政确认</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市消防救援支队</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临时占用城市绿化用地审批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000117025000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9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建筑起重机械使用登记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000117057000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城镇污水排入排水管网许可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000117015000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148</w:t>
            </w: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设置大型户外广告</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000117017000（主项：设置大型户外广告及在城市建筑物、设施上悬挂、张贴宣传品审批）</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149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在城市建筑物、设施上悬挂、张贴宣传品审批</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市政设施建设类审批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000117020000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6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城市道路照明拆迁审批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431017194W00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房屋安全鉴定备案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431017368W00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物业专项维修资金使用审核、备案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431017346W00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怀化高新区为直接赋权，怀化经开区为服务前移。</w:t>
            </w:r>
          </w:p>
        </w:tc>
      </w:tr>
      <w:tr>
        <w:tblPrEx>
          <w:tblCellMar>
            <w:top w:w="0" w:type="dxa"/>
            <w:left w:w="108" w:type="dxa"/>
            <w:bottom w:w="0" w:type="dxa"/>
            <w:right w:w="108" w:type="dxa"/>
          </w:tblCellMar>
        </w:tblPrEx>
        <w:trPr>
          <w:trHeight w:val="76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公租房租金收缴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001017009000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10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白蚁防治</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432017406W00（主项：白蚁防治监督管理及灭治、防治）</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1611"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对施工中违反安全生产要求检查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430617009W00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市住房城乡建设局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怀化高新区、怀化经开区在通过省住房城乡建设厅考核认定、具备监管能力前，仍由市住房城乡建设局实施。</w:t>
            </w:r>
          </w:p>
        </w:tc>
      </w:tr>
      <w:tr>
        <w:trPr>
          <w:trHeight w:val="61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单位参保证明查询打印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002014005001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个人权益记录查询打印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002014005002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159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单位（项目）基本信息变更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002014002001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5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个人基本信息变更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002014002002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养老保险待遇发放账户维护申请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002014002003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工伤保险待遇发放账户维护申请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002014002004</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失业保险待遇发放账户维护申请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002014002005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7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企业社会保险登记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002014001001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工程建设项目办理工伤保险参保登记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002014001003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7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参保单位注销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002014001004</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5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职工参保登记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002014001005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9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城乡居民养老保险参保登记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002014001006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0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169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缴费人员增减申报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002014003001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工资集体协商协议审查备案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002014301002（主项：集体合同审查）</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市人力资源社会保障局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2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社会保险缴费申报与变更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002014003002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社会保险费延缴申请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002014003003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0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社会保险费断缴补缴申报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002014003004</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1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社会保险费欠费补缴申报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002014003005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市税务局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5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转移接续手续办理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432036007W03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公共服务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市医保局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76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对非税收入的征收或收取、资金管理、票据管理实施监督检查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430613007W00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3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对政府采购活动及集中采购机构的监督检查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430613004W00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对政府采购代理机构的监督检查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430613009W00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对预算管理有关工作的监督</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430613006W00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财政票据的管理和监督</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431013035W00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49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非税收入退付</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431013032W00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政府采购合同备案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431013010W00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市财政局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对生产经营单位安全生产工作进行现场检查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430670010W0Y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市应急局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111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对新建、改建、扩建生产、储存危险化学品（包括使用长输管道输送危险化学品）的建设项目进行安全条件审查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430670012W0Y</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行政检查</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市应急局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hint="eastAsia" w:ascii="仿宋_GB2312" w:hAnsi="宋体" w:eastAsia="仿宋_GB2312"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6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生产经营单位应急预案备案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431025008W00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市应急局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安全生产综合监督管理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431025003W00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其他行政权力</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市应急局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从事生活垃圾（含粪便）经营性清扫、收集、运输、处理服务审批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000117013000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行政许可</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66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对长期从事市容环卫作业成绩显著的单位和个人的表彰奖励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000817002000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行政奖励 </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0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189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对于在城市公厕的规划、建设和管理中取得显著成绩的单位和个人的表彰和奖励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000817003000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行政奖励 </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r>
        <w:tblPrEx>
          <w:tblCellMar>
            <w:top w:w="0" w:type="dxa"/>
            <w:left w:w="108" w:type="dxa"/>
            <w:bottom w:w="0" w:type="dxa"/>
            <w:right w:w="108" w:type="dxa"/>
          </w:tblCellMar>
        </w:tblPrEx>
        <w:trPr>
          <w:trHeight w:val="8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190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对在城市照明工作中做出突出贡献的单位和个人给予表彰或者奖励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000817004000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行政奖励 </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市城市管理和综合执法局</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color w:val="000000"/>
                <w:sz w:val="20"/>
                <w:szCs w:val="20"/>
              </w:rPr>
            </w:pPr>
          </w:p>
        </w:tc>
      </w:tr>
    </w:tbl>
    <w:p>
      <w:pPr>
        <w:spacing w:line="560" w:lineRule="exact"/>
        <w:rPr>
          <w:rFonts w:ascii="方正仿宋简体" w:hAnsi="黑体" w:eastAsia="方正仿宋简体"/>
          <w:sz w:val="44"/>
          <w:szCs w:val="44"/>
        </w:rPr>
        <w:sectPr>
          <w:headerReference r:id="rId3" w:type="default"/>
          <w:footerReference r:id="rId5" w:type="default"/>
          <w:headerReference r:id="rId4" w:type="even"/>
          <w:footerReference r:id="rId6" w:type="even"/>
          <w:pgSz w:w="16838" w:h="11906" w:orient="landscape"/>
          <w:pgMar w:top="1588" w:right="2098" w:bottom="1474" w:left="1644" w:header="851" w:footer="964"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column">
                <wp:posOffset>-513715</wp:posOffset>
              </wp:positionH>
              <wp:positionV relativeFrom="paragraph">
                <wp:posOffset>-127635</wp:posOffset>
              </wp:positionV>
              <wp:extent cx="431165" cy="635000"/>
              <wp:effectExtent l="4445" t="5080" r="21590" b="7620"/>
              <wp:wrapSquare wrapText="bothSides"/>
              <wp:docPr id="1" name="文本框 1"/>
              <wp:cNvGraphicFramePr/>
              <a:graphic xmlns:a="http://schemas.openxmlformats.org/drawingml/2006/main">
                <a:graphicData uri="http://schemas.microsoft.com/office/word/2010/wordprocessingShape">
                  <wps:wsp>
                    <wps:cNvSpPr txBox="1"/>
                    <wps:spPr>
                      <a:xfrm>
                        <a:off x="0" y="0"/>
                        <a:ext cx="431165" cy="635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txbxContent>
                    </wps:txbx>
                    <wps:bodyPr vert="eaVert" wrap="none" upright="1">
                      <a:spAutoFit/>
                    </wps:bodyPr>
                  </wps:wsp>
                </a:graphicData>
              </a:graphic>
            </wp:anchor>
          </w:drawing>
        </mc:Choice>
        <mc:Fallback>
          <w:pict>
            <v:shape id="_x0000_s1026" o:spid="_x0000_s1026" o:spt="202" type="#_x0000_t202" style="position:absolute;left:0pt;margin-left:-40.45pt;margin-top:-10.05pt;height:50pt;width:33.95pt;mso-wrap-distance-bottom:0pt;mso-wrap-distance-left:9pt;mso-wrap-distance-right:9pt;mso-wrap-distance-top:0pt;mso-wrap-style:none;z-index:251659264;mso-width-relative:page;mso-height-relative:page;" stroked="t" coordsize="21600,21600" o:gfxdata="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tSpYjZ&#10;AAAACgEAAA8AAAAAAAAAAQAgAAAAIgAAAGRycy9kb3ducmV2LnhtbFBLAQIUABQAAAAIAIdO4kD1&#10;k1j4HwIAAGkEAAAOAAAAAAAAAAEAIAAAACgBAABkcnMvZTJvRG9jLnhtbFBLBQYAAAAABgAGAFkB&#10;AAC5BQAAAAA=&#10;">
              <v:path/>
              <v:fill focussize="0,0"/>
              <v:stroke color="#FFFFFF"/>
              <v:imagedata o:title=""/>
              <o:lock v:ext="edit"/>
              <v:textbox style="layout-flow:vertical-ideographic;mso-fit-shape-to-text:t;">
                <w:txbxContent>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-584835</wp:posOffset>
              </wp:positionH>
              <wp:positionV relativeFrom="paragraph">
                <wp:posOffset>0</wp:posOffset>
              </wp:positionV>
              <wp:extent cx="349885" cy="291465"/>
              <wp:effectExtent l="4445" t="4445" r="7620" b="8890"/>
              <wp:wrapSquare wrapText="bothSides"/>
              <wp:docPr id="2" name="文本框 2"/>
              <wp:cNvGraphicFramePr/>
              <a:graphic xmlns:a="http://schemas.openxmlformats.org/drawingml/2006/main">
                <a:graphicData uri="http://schemas.microsoft.com/office/word/2010/wordprocessingShape">
                  <wps:wsp>
                    <wps:cNvSpPr txBox="1"/>
                    <wps:spPr>
                      <a:xfrm>
                        <a:off x="0" y="0"/>
                        <a:ext cx="349885" cy="2914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3"/>
                            <w:pBdr>
                              <w:bottom w:val="none" w:color="auto" w:sz="0" w:space="0"/>
                            </w:pBd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txbxContent>
                    </wps:txbx>
                    <wps:bodyPr vert="eaVert" wrap="none" upright="1">
                      <a:spAutoFit/>
                    </wps:bodyPr>
                  </wps:wsp>
                </a:graphicData>
              </a:graphic>
            </wp:anchor>
          </w:drawing>
        </mc:Choice>
        <mc:Fallback>
          <w:pict>
            <v:shape id="_x0000_s1026" o:spid="_x0000_s1026" o:spt="202" type="#_x0000_t202" style="position:absolute;left:0pt;margin-left:-46.05pt;margin-top:0pt;height:22.95pt;width:27.55pt;mso-wrap-distance-bottom:0pt;mso-wrap-distance-left:9pt;mso-wrap-distance-right:9pt;mso-wrap-distance-top:0pt;mso-wrap-style:none;z-index:251660288;mso-width-relative:page;mso-height-relative:page;" stroked="t" coordsize="21600,21600" o:gfxdata="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BAr/YAAAA&#10;BwEAAA8AAAAAAAAAAQAgAAAAIgAAAGRycy9kb3ducmV2LnhtbFBLAQIUABQAAAAIAIdO4kAAU37p&#10;HQIAAGkEAAAOAAAAAAAAAAEAIAAAACcBAABkcnMvZTJvRG9jLnhtbFBLBQYAAAAABgAGAFkBAAC2&#10;BQAAAAA=&#10;">
              <v:path/>
              <v:fill focussize="0,0"/>
              <v:stroke color="#FFFFFF"/>
              <v:imagedata o:title=""/>
              <o:lock v:ext="edit"/>
              <v:textbox style="layout-flow:vertical-ideographic;mso-fit-shape-to-text:t;">
                <w:txbxContent>
                  <w:p>
                    <w:pPr>
                      <w:pStyle w:val="3"/>
                      <w:pBdr>
                        <w:bottom w:val="none" w:color="auto" w:sz="0" w:space="0"/>
                      </w:pBd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653C2"/>
    <w:rsid w:val="0346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2021-06-11T06:33:00Z</dcterms:created>
  <dc:creator>」</dc:creator>
  <cp:lastModifiedBy>」</cp:lastModifiedBy>
  <dcterms:modified xsi:type="dcterms:W3CDTF">2021-06-11T06:34:10Z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833DED6D55DE4DD782850A9A3E0DD927</vt:lpwstr>
  </property>
</Properties>
</file>