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CA544">
      <w:pPr>
        <w:pStyle w:val="13"/>
        <w:jc w:val="both"/>
        <w:rPr>
          <w:rFonts w:hAnsi="黑体"/>
          <w:sz w:val="36"/>
          <w:szCs w:val="36"/>
        </w:rPr>
      </w:pPr>
      <w:r>
        <w:rPr>
          <w:rFonts w:hint="eastAsia" w:hAnsi="黑体"/>
          <w:sz w:val="36"/>
          <w:szCs w:val="36"/>
        </w:rPr>
        <w:t>附件1</w:t>
      </w:r>
    </w:p>
    <w:p w14:paraId="067BEBE6">
      <w:pPr>
        <w:pStyle w:val="13"/>
        <w:jc w:val="center"/>
        <w:rPr>
          <w:rFonts w:ascii="Times New Roman" w:hAnsi="Times New Roman" w:cs="Times New Roman"/>
          <w:sz w:val="56"/>
          <w:szCs w:val="56"/>
        </w:rPr>
      </w:pPr>
    </w:p>
    <w:p w14:paraId="784EA594">
      <w:pPr>
        <w:pStyle w:val="13"/>
        <w:jc w:val="center"/>
        <w:rPr>
          <w:rFonts w:ascii="Times New Roman" w:hAnsi="Times New Roman" w:cs="Times New Roman"/>
          <w:sz w:val="84"/>
          <w:szCs w:val="84"/>
        </w:rPr>
      </w:pPr>
    </w:p>
    <w:p w14:paraId="667004B6">
      <w:pPr>
        <w:pStyle w:val="13"/>
        <w:jc w:val="center"/>
        <w:rPr>
          <w:rFonts w:ascii="Times New Roman" w:hAnsi="Times New Roman" w:cs="Times New Roman"/>
          <w:sz w:val="84"/>
          <w:szCs w:val="84"/>
        </w:rPr>
      </w:pPr>
    </w:p>
    <w:p w14:paraId="46217A16">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58074E6">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怀化市医疗保障事务中心</w:t>
      </w:r>
      <w:r>
        <w:rPr>
          <w:rFonts w:ascii="Times New Roman" w:hAnsi="Times New Roman" w:eastAsia="方正小标宋简体" w:cs="Times New Roman"/>
          <w:sz w:val="72"/>
          <w:szCs w:val="72"/>
        </w:rPr>
        <w:t>部门决算</w:t>
      </w:r>
    </w:p>
    <w:p w14:paraId="15868CEC">
      <w:pPr>
        <w:pStyle w:val="13"/>
        <w:jc w:val="center"/>
        <w:rPr>
          <w:rFonts w:ascii="Times New Roman" w:hAnsi="Times New Roman" w:eastAsia="方正小标宋_GBK" w:cs="Times New Roman"/>
          <w:sz w:val="56"/>
          <w:szCs w:val="56"/>
        </w:rPr>
      </w:pPr>
    </w:p>
    <w:p w14:paraId="56D92139">
      <w:pPr>
        <w:pStyle w:val="13"/>
        <w:jc w:val="center"/>
        <w:rPr>
          <w:rFonts w:ascii="Times New Roman" w:hAnsi="Times New Roman" w:cs="Times New Roman"/>
          <w:sz w:val="56"/>
          <w:szCs w:val="56"/>
        </w:rPr>
      </w:pPr>
    </w:p>
    <w:p w14:paraId="1777BC20">
      <w:pPr>
        <w:pStyle w:val="13"/>
        <w:rPr>
          <w:rFonts w:ascii="Times New Roman" w:hAnsi="Times New Roman" w:cs="Times New Roman"/>
          <w:sz w:val="56"/>
          <w:szCs w:val="56"/>
        </w:rPr>
      </w:pPr>
    </w:p>
    <w:p w14:paraId="7EC93A8F">
      <w:pPr>
        <w:pStyle w:val="13"/>
        <w:jc w:val="center"/>
        <w:rPr>
          <w:rFonts w:ascii="Times New Roman" w:hAnsi="Times New Roman" w:cs="Times New Roman"/>
          <w:sz w:val="32"/>
          <w:szCs w:val="32"/>
        </w:rPr>
      </w:pPr>
    </w:p>
    <w:p w14:paraId="2E9B7DBF">
      <w:pPr>
        <w:pStyle w:val="13"/>
        <w:jc w:val="center"/>
        <w:rPr>
          <w:rFonts w:ascii="Times New Roman" w:hAnsi="Times New Roman" w:cs="Times New Roman"/>
          <w:sz w:val="32"/>
          <w:szCs w:val="32"/>
        </w:rPr>
      </w:pPr>
    </w:p>
    <w:p w14:paraId="18B8FFB7">
      <w:pPr>
        <w:pStyle w:val="13"/>
        <w:jc w:val="center"/>
        <w:rPr>
          <w:rFonts w:ascii="Times New Roman" w:hAnsi="Times New Roman" w:cs="Times New Roman"/>
          <w:sz w:val="32"/>
          <w:szCs w:val="32"/>
        </w:rPr>
      </w:pPr>
    </w:p>
    <w:p w14:paraId="0B2A7541">
      <w:pPr>
        <w:pStyle w:val="13"/>
        <w:jc w:val="center"/>
        <w:rPr>
          <w:rFonts w:ascii="Times New Roman" w:hAnsi="Times New Roman" w:cs="Times New Roman"/>
          <w:sz w:val="32"/>
          <w:szCs w:val="32"/>
        </w:rPr>
      </w:pPr>
    </w:p>
    <w:p w14:paraId="18A9F753">
      <w:pPr>
        <w:pStyle w:val="13"/>
        <w:jc w:val="center"/>
        <w:rPr>
          <w:rFonts w:ascii="Times New Roman" w:hAnsi="Times New Roman" w:cs="Times New Roman"/>
          <w:sz w:val="32"/>
          <w:szCs w:val="32"/>
        </w:rPr>
      </w:pPr>
    </w:p>
    <w:p w14:paraId="2B5CE848">
      <w:pPr>
        <w:pStyle w:val="13"/>
        <w:spacing w:line="600" w:lineRule="exact"/>
        <w:jc w:val="both"/>
        <w:rPr>
          <w:rFonts w:hint="eastAsia" w:ascii="Times New Roman" w:hAnsi="Times New Roman" w:eastAsia="黑体" w:cs="Times New Roman"/>
          <w:b/>
          <w:sz w:val="36"/>
          <w:szCs w:val="28"/>
          <w:lang w:eastAsia="zh-CN"/>
        </w:rPr>
        <w:sectPr>
          <w:footerReference r:id="rId3" w:type="default"/>
          <w:pgSz w:w="11906" w:h="16838"/>
          <w:pgMar w:top="1417" w:right="1588" w:bottom="1417" w:left="1588" w:header="851" w:footer="992" w:gutter="0"/>
          <w:pgNumType w:start="1"/>
          <w:cols w:space="425" w:num="1"/>
          <w:docGrid w:type="lines" w:linePitch="312" w:charSpace="0"/>
        </w:sectPr>
      </w:pPr>
    </w:p>
    <w:p w14:paraId="2763C762">
      <w:pPr>
        <w:pStyle w:val="13"/>
        <w:spacing w:line="600" w:lineRule="exact"/>
        <w:jc w:val="both"/>
        <w:rPr>
          <w:rFonts w:ascii="Times New Roman" w:hAnsi="Times New Roman" w:cs="Times New Roman"/>
          <w:b/>
          <w:sz w:val="36"/>
          <w:szCs w:val="28"/>
        </w:rPr>
      </w:pPr>
    </w:p>
    <w:p w14:paraId="6B4C3101">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DA8A2E6">
      <w:pPr>
        <w:pStyle w:val="13"/>
        <w:spacing w:line="600" w:lineRule="exact"/>
        <w:jc w:val="center"/>
        <w:rPr>
          <w:rFonts w:ascii="Times New Roman" w:hAnsi="Times New Roman" w:cs="Times New Roman"/>
          <w:b/>
          <w:sz w:val="36"/>
          <w:szCs w:val="28"/>
        </w:rPr>
      </w:pPr>
    </w:p>
    <w:p w14:paraId="1E187E7D">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怀化市医疗保障事务中心</w:t>
      </w:r>
      <w:r>
        <w:rPr>
          <w:rFonts w:ascii="Times New Roman" w:hAnsi="Times New Roman" w:cs="Times New Roman"/>
          <w:bCs/>
          <w:sz w:val="32"/>
          <w:szCs w:val="32"/>
        </w:rPr>
        <w:t>概况</w:t>
      </w:r>
    </w:p>
    <w:p w14:paraId="23834C8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93989E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079155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38DB7C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984EF2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9FD0F2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C7EEC3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9466B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BF6DA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1E1F98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0740E0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28F02E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794B09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976069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5B9587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3E9F47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CE68D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6824E0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7FBBC7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E30BEE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D466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75C02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1B2AC17">
      <w:pPr>
        <w:pStyle w:val="13"/>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九</w:t>
      </w:r>
      <w:r>
        <w:rPr>
          <w:rFonts w:ascii="Times New Roman" w:hAnsi="Times New Roman" w:eastAsia="仿宋_GB2312" w:cs="Times New Roman"/>
          <w:sz w:val="32"/>
          <w:szCs w:val="32"/>
        </w:rPr>
        <w:t>、国有资本经营预算财政拨款</w:t>
      </w:r>
      <w:r>
        <w:rPr>
          <w:rFonts w:hint="eastAsia" w:ascii="Times New Roman" w:hAnsi="Times New Roman" w:eastAsia="仿宋_GB2312" w:cs="Times New Roman"/>
          <w:sz w:val="32"/>
          <w:szCs w:val="32"/>
          <w:lang w:val="en-US" w:eastAsia="zh-CN"/>
        </w:rPr>
        <w:t>收入</w:t>
      </w:r>
      <w:r>
        <w:rPr>
          <w:rFonts w:ascii="Times New Roman" w:hAnsi="Times New Roman" w:eastAsia="仿宋_GB2312" w:cs="Times New Roman"/>
          <w:sz w:val="32"/>
          <w:szCs w:val="32"/>
        </w:rPr>
        <w:t>支出决算</w:t>
      </w:r>
      <w:r>
        <w:rPr>
          <w:rFonts w:hint="eastAsia" w:ascii="Times New Roman" w:hAnsi="Times New Roman" w:eastAsia="仿宋_GB2312" w:cs="Times New Roman"/>
          <w:sz w:val="32"/>
          <w:szCs w:val="32"/>
          <w:lang w:val="en-US" w:eastAsia="zh-CN"/>
        </w:rPr>
        <w:t>情况</w:t>
      </w:r>
    </w:p>
    <w:p w14:paraId="2D37FA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7316E1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4F7BE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29EECE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5F1CF2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7B6302C4">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F38B2C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E661166">
      <w:pPr>
        <w:pStyle w:val="13"/>
        <w:spacing w:line="600" w:lineRule="exact"/>
        <w:rPr>
          <w:rFonts w:ascii="Times New Roman" w:hAnsi="Times New Roman" w:cs="Times New Roman"/>
          <w:bCs/>
          <w:sz w:val="28"/>
          <w:szCs w:val="28"/>
        </w:rPr>
      </w:pPr>
    </w:p>
    <w:p w14:paraId="54B58C40">
      <w:pPr>
        <w:jc w:val="center"/>
        <w:rPr>
          <w:rFonts w:ascii="Times New Roman" w:hAnsi="Times New Roman" w:cs="Times New Roman"/>
          <w:sz w:val="72"/>
          <w:szCs w:val="72"/>
        </w:rPr>
      </w:pPr>
    </w:p>
    <w:p w14:paraId="1D3C12FF">
      <w:pPr>
        <w:jc w:val="center"/>
        <w:rPr>
          <w:rFonts w:ascii="Times New Roman" w:hAnsi="Times New Roman" w:cs="Times New Roman"/>
          <w:sz w:val="72"/>
          <w:szCs w:val="72"/>
        </w:rPr>
      </w:pPr>
    </w:p>
    <w:p w14:paraId="27F46185">
      <w:pPr>
        <w:jc w:val="center"/>
        <w:rPr>
          <w:rFonts w:ascii="Times New Roman" w:hAnsi="Times New Roman" w:cs="Times New Roman"/>
          <w:sz w:val="72"/>
          <w:szCs w:val="72"/>
        </w:rPr>
      </w:pPr>
    </w:p>
    <w:p w14:paraId="2B5A678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F21E442">
      <w:pPr>
        <w:rPr>
          <w:rFonts w:ascii="Times New Roman" w:hAnsi="Times New Roman" w:eastAsia="方正小标宋_GBK" w:cs="Times New Roman"/>
          <w:sz w:val="72"/>
          <w:szCs w:val="72"/>
        </w:rPr>
      </w:pPr>
    </w:p>
    <w:p w14:paraId="03494A4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47742B6">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怀化市医疗保障事务中心</w:t>
      </w:r>
      <w:r>
        <w:rPr>
          <w:rFonts w:ascii="Times New Roman" w:hAnsi="Times New Roman" w:eastAsia="方正小标宋_GBK" w:cs="Times New Roman"/>
          <w:sz w:val="52"/>
          <w:szCs w:val="52"/>
        </w:rPr>
        <w:t>概况</w:t>
      </w:r>
    </w:p>
    <w:p w14:paraId="6F568B21">
      <w:pPr>
        <w:pStyle w:val="4"/>
        <w:ind w:left="0" w:leftChars="0" w:firstLine="0" w:firstLineChars="0"/>
        <w:rPr>
          <w:rFonts w:ascii="Times New Roman" w:hAnsi="Times New Roman" w:cs="Times New Roman"/>
        </w:rPr>
      </w:pPr>
    </w:p>
    <w:p w14:paraId="5F51CEF6">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C8329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负责中心的日常运转以及党建、干部人事、文秘内勤、综合治理、对外宣传、后勤服务等工作；负责市直参保单位健康管理有关工作；负责市直单位的参保登记，及时采集、比对参保人员基本信息；开展参保政策组织动员和宣传；建立部门间信息定期比对共享机制和数据动态管理机制；承担跨省、跨市和市内异地医疗保障关系转移接续；负责业务统计报表工作；负责市本级医药机构准入评估工作；负责组织落实中心扶贫点的脱贫攻坚工作。</w:t>
      </w:r>
    </w:p>
    <w:p w14:paraId="7C8BAD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负责编制市直参保单位职责范围内的保障经办事务的财务报表及基金预决算；负责市直协议医疗机构、协议零售药店的医疗费用审定及支付工作；负责医疗保险基金（费）的内部审计和分析工作。负责部门经费预决算及财务管理、财务报表、劳动工资统计报表工作。</w:t>
      </w:r>
    </w:p>
    <w:p w14:paraId="1710CB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主要负责市本级医疗保险、生育保险、大病医疗互助、医疗救助、特殊病种、特殊药品待遇经办服务工作，负责市直单位公务员医疗补助的经办服务工作；协助有关部门拟订基本医疗保险、生育保险药品目录、诊疗项目录、医疗服务设施标准目录并组织尖施；负责市本级离休干部医疗保障待遇费用的经办服务工作协助有关部门拟订离休干部医疗保险药品目录、诊疗项目目录、医疗服务设施标准目录并组织实施；负责医保扶贫有关业务经办工作。</w:t>
      </w:r>
    </w:p>
    <w:p w14:paraId="74D648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主要负责跨省和市内医疗保障异地就医经办事务；协助拟订跨省和市内异地就医管理办法和结算政策；落实异地就医风险调节基金和待遇支付；承担异地基本医疗、大病保险、医疗救助等医疗保险“一站式”经办结算服务工作；负责城乡居民大病保险工作；负责新冠肺炎结算、统计等工作。</w:t>
      </w:r>
    </w:p>
    <w:p w14:paraId="6B1D5D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主要负责参与、配合医药招标采购方案和招标采购目录制定；协调、配合医药招标采购平台建设；监督医疗机构医药采购和中标药品、医用耗材配送行为；参与医保药品价格谈判工作，负责市本级医疗服务项目和医疗服务设施价格的成本核算和评估；制定医药价格及医保管理服务技术标准规范；监测医药价格和信息发布；开展市本级医药价格监测工作。</w:t>
      </w:r>
    </w:p>
    <w:p w14:paraId="2BBE22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主要负责拟订市直参保单位基本医疗保险协议管理医疗机构、零售药店的服务协议及费用结算办法；拟订市直参保单位生育保险协议管理医疗机构的服务协议及费用结算办法；拟订离休干部医疗保险协议管理医疗机构的服务协议及费用结算办法；指导市直协议医疗机构、协议零售药店服务协议签订及履行，并对协议医疗机构、协议零售药店进行监督管理测评。</w:t>
      </w:r>
    </w:p>
    <w:p w14:paraId="63BFB6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负责对市直参保单位职责范围内的医疗保险、生育保险、大病医疗互助、特殊病种、特殊药品、公务员医疗补助、离退休干部医疗保障、医疗救助费用等审核工作；负责审计、稽核个人账户资金、统筹基金的运营情况；组织拟订各项业务工作规程、规范及管理制度，并进行协调和督查；开展医疗保障经办机构内控管理和风险防控；负责市本级特殊病种的门诊评审工作。</w:t>
      </w:r>
    </w:p>
    <w:p w14:paraId="26DA9F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rPr>
        <w:t>）完成市委、市政府交办的其他事宜。</w:t>
      </w:r>
      <w:r>
        <w:rPr>
          <w:rFonts w:ascii="Times New Roman" w:hAnsi="Times New Roman" w:eastAsia="仿宋_GB2312" w:cs="Times New Roman"/>
          <w:sz w:val="32"/>
          <w:szCs w:val="32"/>
        </w:rPr>
        <w:t>…</w:t>
      </w:r>
    </w:p>
    <w:p w14:paraId="17C27391">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26EE53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怀化市医疗保障事务中心内设机构包括：综合部、财务审核部、待遇保障服务部、异地结算和稽核事务部、医药招采事务部、协议管理价格检测部。</w:t>
      </w:r>
    </w:p>
    <w:p w14:paraId="0E67141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怀化市医疗保障事务中心202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年部门决算汇总公开单位构成包括：怀化市医疗保障事务中心本级。</w:t>
      </w:r>
    </w:p>
    <w:p w14:paraId="154FC4C8">
      <w:pPr>
        <w:jc w:val="left"/>
        <w:rPr>
          <w:rFonts w:ascii="Times New Roman" w:hAnsi="Times New Roman" w:eastAsia="仿宋_GB2312" w:cs="Times New Roman"/>
          <w:sz w:val="28"/>
          <w:szCs w:val="32"/>
        </w:rPr>
      </w:pPr>
    </w:p>
    <w:p w14:paraId="7FDCB741">
      <w:pPr>
        <w:jc w:val="center"/>
        <w:rPr>
          <w:rFonts w:ascii="Times New Roman" w:hAnsi="Times New Roman" w:eastAsia="黑体" w:cs="Times New Roman"/>
          <w:sz w:val="28"/>
          <w:szCs w:val="28"/>
        </w:rPr>
      </w:pPr>
    </w:p>
    <w:p w14:paraId="35486714">
      <w:pPr>
        <w:jc w:val="center"/>
        <w:rPr>
          <w:rFonts w:ascii="Times New Roman" w:hAnsi="Times New Roman" w:eastAsia="黑体" w:cs="Times New Roman"/>
          <w:sz w:val="28"/>
          <w:szCs w:val="28"/>
        </w:rPr>
      </w:pPr>
    </w:p>
    <w:p w14:paraId="2664B350">
      <w:pPr>
        <w:jc w:val="center"/>
        <w:rPr>
          <w:rFonts w:ascii="Times New Roman" w:hAnsi="Times New Roman" w:eastAsia="黑体" w:cs="Times New Roman"/>
          <w:sz w:val="28"/>
          <w:szCs w:val="28"/>
        </w:rPr>
      </w:pPr>
    </w:p>
    <w:p w14:paraId="0BC34E33">
      <w:pPr>
        <w:jc w:val="center"/>
        <w:rPr>
          <w:rFonts w:ascii="Times New Roman" w:hAnsi="Times New Roman" w:eastAsia="黑体" w:cs="Times New Roman"/>
          <w:sz w:val="28"/>
          <w:szCs w:val="28"/>
        </w:rPr>
      </w:pPr>
    </w:p>
    <w:p w14:paraId="3FCC79B0">
      <w:pPr>
        <w:jc w:val="center"/>
        <w:rPr>
          <w:rFonts w:ascii="Times New Roman" w:hAnsi="Times New Roman" w:eastAsia="黑体" w:cs="Times New Roman"/>
          <w:sz w:val="28"/>
          <w:szCs w:val="28"/>
        </w:rPr>
      </w:pPr>
    </w:p>
    <w:p w14:paraId="4C2C3180">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B376D2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DFE360C">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31DE9A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C262E7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4999" w:type="pct"/>
        <w:jc w:val="center"/>
        <w:tblLayout w:type="autofit"/>
        <w:tblCellMar>
          <w:top w:w="0" w:type="dxa"/>
          <w:left w:w="108" w:type="dxa"/>
          <w:bottom w:w="0" w:type="dxa"/>
          <w:right w:w="108" w:type="dxa"/>
        </w:tblCellMar>
      </w:tblPr>
      <w:tblGrid>
        <w:gridCol w:w="6039"/>
        <w:gridCol w:w="890"/>
        <w:gridCol w:w="1352"/>
        <w:gridCol w:w="5084"/>
        <w:gridCol w:w="890"/>
        <w:gridCol w:w="1356"/>
      </w:tblGrid>
      <w:tr w14:paraId="7A46EB5D">
        <w:tblPrEx>
          <w:tblCellMar>
            <w:top w:w="0" w:type="dxa"/>
            <w:left w:w="108" w:type="dxa"/>
            <w:bottom w:w="0" w:type="dxa"/>
            <w:right w:w="108" w:type="dxa"/>
          </w:tblCellMar>
        </w:tblPrEx>
        <w:trPr>
          <w:trHeight w:val="261" w:hRule="exact"/>
          <w:jc w:val="center"/>
        </w:trPr>
        <w:tc>
          <w:tcPr>
            <w:tcW w:w="265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E657">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收入</w:t>
            </w:r>
          </w:p>
        </w:tc>
        <w:tc>
          <w:tcPr>
            <w:tcW w:w="234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B65F7">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支出</w:t>
            </w:r>
          </w:p>
        </w:tc>
      </w:tr>
      <w:tr w14:paraId="1A7D195A">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DE3A">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    目</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3421C">
            <w:pPr>
              <w:widowControl/>
              <w:jc w:val="center"/>
              <w:textAlignment w:val="center"/>
              <w:rPr>
                <w:rFonts w:ascii="Times New Roman" w:hAnsi="Times New Roman" w:eastAsia="仿宋_GB2312" w:cs="Times New Roman"/>
                <w:color w:val="000000"/>
                <w:sz w:val="16"/>
                <w:szCs w:val="16"/>
              </w:rPr>
            </w:pPr>
            <w:r>
              <w:rPr>
                <w:rFonts w:ascii="Times New Roman" w:hAnsi="Times New Roman" w:eastAsia="仿宋_GB2312" w:cs="Times New Roman"/>
                <w:color w:val="000000"/>
                <w:kern w:val="0"/>
                <w:sz w:val="16"/>
                <w:szCs w:val="16"/>
                <w:lang w:bidi="ar"/>
              </w:rPr>
              <w:t>行次</w:t>
            </w: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8D8A">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决算数</w:t>
            </w: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0975">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    目</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66E70">
            <w:pPr>
              <w:widowControl/>
              <w:jc w:val="center"/>
              <w:textAlignment w:val="center"/>
              <w:rPr>
                <w:rFonts w:ascii="Times New Roman" w:hAnsi="Times New Roman" w:eastAsia="仿宋_GB2312" w:cs="Times New Roman"/>
                <w:color w:val="000000"/>
                <w:sz w:val="16"/>
                <w:szCs w:val="16"/>
              </w:rPr>
            </w:pPr>
            <w:r>
              <w:rPr>
                <w:rFonts w:ascii="Times New Roman" w:hAnsi="Times New Roman" w:eastAsia="仿宋_GB2312" w:cs="Times New Roman"/>
                <w:color w:val="000000"/>
                <w:kern w:val="0"/>
                <w:sz w:val="16"/>
                <w:szCs w:val="16"/>
                <w:lang w:bidi="ar"/>
              </w:rPr>
              <w:t>行次</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29B1">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决算数</w:t>
            </w:r>
          </w:p>
        </w:tc>
      </w:tr>
      <w:tr w14:paraId="18E2FE2A">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EAC88">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12624">
            <w:pPr>
              <w:jc w:val="center"/>
              <w:rPr>
                <w:rFonts w:ascii="Times New Roman" w:hAnsi="Times New Roman" w:eastAsia="仿宋_GB2312" w:cs="Times New Roman"/>
                <w:color w:val="000000"/>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F0EFC">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1</w:t>
            </w: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37BC3">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栏    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7285C">
            <w:pPr>
              <w:jc w:val="center"/>
              <w:rPr>
                <w:rFonts w:ascii="Times New Roman" w:hAnsi="Times New Roman" w:eastAsia="仿宋_GB2312" w:cs="Times New Roman"/>
                <w:color w:val="000000"/>
                <w:sz w:val="21"/>
                <w:szCs w:val="21"/>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AD6EB">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2</w:t>
            </w:r>
          </w:p>
        </w:tc>
      </w:tr>
      <w:tr w14:paraId="688B264B">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D77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一、一般公共预算财政拨款收入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05D6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FC53">
            <w:pPr>
              <w:jc w:val="righ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616.91</w:t>
            </w: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843F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一、一般公共服务支出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532D">
            <w:pPr>
              <w:widowControl/>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2</w:t>
            </w:r>
            <w:r>
              <w:rPr>
                <w:rFonts w:ascii="Times New Roman" w:hAnsi="Times New Roman" w:eastAsia="仿宋_GB2312" w:cs="Times New Roman"/>
                <w:color w:val="000000"/>
                <w:kern w:val="0"/>
                <w:sz w:val="20"/>
                <w:szCs w:val="20"/>
                <w:lang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7A0A">
            <w:pPr>
              <w:jc w:val="right"/>
              <w:rPr>
                <w:rFonts w:ascii="Times New Roman" w:hAnsi="Times New Roman" w:eastAsia="仿宋_GB2312" w:cs="Times New Roman"/>
                <w:color w:val="000000"/>
                <w:sz w:val="20"/>
                <w:szCs w:val="20"/>
              </w:rPr>
            </w:pPr>
          </w:p>
        </w:tc>
      </w:tr>
      <w:tr w14:paraId="0766CBC7">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ACC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二、政府性基金预算财政拨款收入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E9FF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B947">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09DA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二、外交支出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902D8">
            <w:pPr>
              <w:widowControl/>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2</w:t>
            </w:r>
            <w:r>
              <w:rPr>
                <w:rFonts w:ascii="Times New Roman" w:hAnsi="Times New Roman" w:eastAsia="仿宋_GB2312" w:cs="Times New Roman"/>
                <w:color w:val="000000"/>
                <w:kern w:val="0"/>
                <w:sz w:val="20"/>
                <w:szCs w:val="20"/>
                <w:lang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3DBF">
            <w:pPr>
              <w:jc w:val="right"/>
              <w:rPr>
                <w:rFonts w:ascii="Times New Roman" w:hAnsi="Times New Roman" w:eastAsia="仿宋_GB2312" w:cs="Times New Roman"/>
                <w:color w:val="000000"/>
                <w:sz w:val="20"/>
                <w:szCs w:val="20"/>
              </w:rPr>
            </w:pPr>
          </w:p>
        </w:tc>
      </w:tr>
      <w:tr w14:paraId="46CABB66">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8D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三、国有资本经营预算财政拨款收入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98E9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5AF4">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B698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三、国防支出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80102">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A3CA">
            <w:pPr>
              <w:jc w:val="right"/>
              <w:rPr>
                <w:rFonts w:ascii="Times New Roman" w:hAnsi="Times New Roman" w:eastAsia="仿宋_GB2312" w:cs="Times New Roman"/>
                <w:color w:val="000000"/>
                <w:sz w:val="20"/>
                <w:szCs w:val="20"/>
              </w:rPr>
            </w:pPr>
          </w:p>
        </w:tc>
      </w:tr>
      <w:tr w14:paraId="143837CB">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F87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四、上级补助收入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79D6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2981">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235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四、公共安全支出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4CB22">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35B0">
            <w:pPr>
              <w:jc w:val="right"/>
              <w:rPr>
                <w:rFonts w:ascii="Times New Roman" w:hAnsi="Times New Roman" w:eastAsia="仿宋_GB2312" w:cs="Times New Roman"/>
                <w:color w:val="000000"/>
                <w:sz w:val="20"/>
                <w:szCs w:val="20"/>
              </w:rPr>
            </w:pPr>
          </w:p>
        </w:tc>
      </w:tr>
      <w:tr w14:paraId="0BF78E31">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543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五、事业收入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EF2D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5BB5">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0E52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五、教育支出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775F">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27CE">
            <w:pPr>
              <w:jc w:val="right"/>
              <w:rPr>
                <w:rFonts w:ascii="Times New Roman" w:hAnsi="Times New Roman" w:eastAsia="仿宋_GB2312" w:cs="Times New Roman"/>
                <w:color w:val="000000"/>
                <w:sz w:val="20"/>
                <w:szCs w:val="20"/>
              </w:rPr>
            </w:pPr>
          </w:p>
        </w:tc>
      </w:tr>
      <w:tr w14:paraId="5FFF414B">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F363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六、经营收入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2E48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1D81">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3E30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六、科学技术支出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A662">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3CAC">
            <w:pPr>
              <w:jc w:val="right"/>
              <w:rPr>
                <w:rFonts w:ascii="Times New Roman" w:hAnsi="Times New Roman" w:eastAsia="仿宋_GB2312" w:cs="Times New Roman"/>
                <w:color w:val="000000"/>
                <w:sz w:val="20"/>
                <w:szCs w:val="20"/>
              </w:rPr>
            </w:pPr>
          </w:p>
        </w:tc>
      </w:tr>
      <w:tr w14:paraId="6D21246F">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334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七、附属单位上缴收入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9E6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4253">
            <w:pPr>
              <w:widowControl/>
              <w:jc w:val="left"/>
              <w:textAlignment w:val="center"/>
              <w:rPr>
                <w:rFonts w:ascii="Times New Roman" w:hAnsi="Times New Roman" w:eastAsia="仿宋_GB2312" w:cs="Times New Roman"/>
                <w:color w:val="000000"/>
                <w:kern w:val="0"/>
                <w:sz w:val="20"/>
                <w:szCs w:val="20"/>
                <w:lang w:bidi="ar"/>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0A8C">
            <w:pPr>
              <w:widowControl/>
              <w:jc w:val="left"/>
              <w:textAlignment w:val="center"/>
              <w:rPr>
                <w:rFonts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bidi="ar"/>
              </w:rPr>
              <w:t>七、文化旅游体育与传媒支出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4F09D">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AFFF">
            <w:pPr>
              <w:jc w:val="right"/>
              <w:rPr>
                <w:rFonts w:ascii="Times New Roman" w:hAnsi="Times New Roman" w:eastAsia="仿宋_GB2312" w:cs="Times New Roman"/>
                <w:color w:val="000000"/>
                <w:sz w:val="20"/>
                <w:szCs w:val="20"/>
              </w:rPr>
            </w:pPr>
          </w:p>
        </w:tc>
      </w:tr>
      <w:tr w14:paraId="43A096C5">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812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八、其他收入</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1099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AD01">
            <w:pPr>
              <w:jc w:val="lef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454F">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八、社会保障和就业支出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FACAC">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816D">
            <w:pPr>
              <w:jc w:val="righ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290.19</w:t>
            </w:r>
          </w:p>
        </w:tc>
      </w:tr>
      <w:tr w14:paraId="0FD4D383">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9CB2">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645A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EC0">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ABFE">
            <w:pPr>
              <w:jc w:val="both"/>
              <w:rPr>
                <w:rFonts w:ascii="Times New Roman" w:hAnsi="Times New Roman" w:eastAsia="仿宋_GB2312" w:cs="Times New Roman"/>
                <w:color w:val="000000"/>
                <w:sz w:val="16"/>
                <w:szCs w:val="16"/>
              </w:rPr>
            </w:pPr>
            <w:r>
              <w:rPr>
                <w:rFonts w:hint="eastAsia" w:ascii="Times New Roman" w:hAnsi="Times New Roman" w:eastAsia="仿宋_GB2312" w:cs="Times New Roman"/>
                <w:color w:val="000000"/>
                <w:sz w:val="20"/>
                <w:szCs w:val="20"/>
              </w:rPr>
              <w:t>九、卫生健康支出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212C">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32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137B">
            <w:pPr>
              <w:jc w:val="righ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326.17</w:t>
            </w:r>
          </w:p>
        </w:tc>
      </w:tr>
      <w:tr w14:paraId="0F3F40B3">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C77">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49D1F">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4CA6">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E7EA">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十、节能环保支出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651A">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E5EE">
            <w:pPr>
              <w:jc w:val="right"/>
              <w:rPr>
                <w:rFonts w:hint="eastAsia" w:ascii="Times New Roman" w:hAnsi="Times New Roman" w:eastAsia="仿宋_GB2312" w:cs="Times New Roman"/>
                <w:color w:val="000000"/>
                <w:sz w:val="20"/>
                <w:szCs w:val="20"/>
              </w:rPr>
            </w:pPr>
          </w:p>
        </w:tc>
      </w:tr>
      <w:tr w14:paraId="5AB2A71D">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7D80">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254C1">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B8C7">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8F6C">
            <w:pPr>
              <w:tabs>
                <w:tab w:val="left" w:pos="1078"/>
              </w:tabs>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十一、城乡社区支出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6EBE">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5083">
            <w:pPr>
              <w:jc w:val="right"/>
              <w:rPr>
                <w:rFonts w:hint="eastAsia" w:ascii="Times New Roman" w:hAnsi="Times New Roman" w:eastAsia="仿宋_GB2312" w:cs="Times New Roman"/>
                <w:color w:val="000000"/>
                <w:sz w:val="20"/>
                <w:szCs w:val="20"/>
              </w:rPr>
            </w:pPr>
          </w:p>
        </w:tc>
      </w:tr>
      <w:tr w14:paraId="2267FF1E">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3E37">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B8FA5">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76DA">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A759">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十二、农林水支出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85DE4">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5BD1">
            <w:pPr>
              <w:jc w:val="right"/>
              <w:rPr>
                <w:rFonts w:hint="eastAsia" w:ascii="Times New Roman" w:hAnsi="Times New Roman" w:eastAsia="仿宋_GB2312" w:cs="Times New Roman"/>
                <w:color w:val="000000"/>
                <w:sz w:val="20"/>
                <w:szCs w:val="20"/>
              </w:rPr>
            </w:pPr>
          </w:p>
        </w:tc>
      </w:tr>
      <w:tr w14:paraId="3137BC1A">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61A8">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D5EC5">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797F">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319F">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十三、交通运输支出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10EEE">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6B63">
            <w:pPr>
              <w:jc w:val="right"/>
              <w:rPr>
                <w:rFonts w:hint="eastAsia" w:ascii="Times New Roman" w:hAnsi="Times New Roman" w:eastAsia="仿宋_GB2312" w:cs="Times New Roman"/>
                <w:color w:val="000000"/>
                <w:sz w:val="20"/>
                <w:szCs w:val="20"/>
              </w:rPr>
            </w:pPr>
          </w:p>
        </w:tc>
      </w:tr>
      <w:tr w14:paraId="7B8AAD48">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91E0">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4C10C">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B63B">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8439">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十四、资源勘探工业信息等支出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83071">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5B7C">
            <w:pPr>
              <w:jc w:val="right"/>
              <w:rPr>
                <w:rFonts w:hint="eastAsia" w:ascii="Times New Roman" w:hAnsi="Times New Roman" w:eastAsia="仿宋_GB2312" w:cs="Times New Roman"/>
                <w:color w:val="000000"/>
                <w:sz w:val="20"/>
                <w:szCs w:val="20"/>
              </w:rPr>
            </w:pPr>
          </w:p>
        </w:tc>
      </w:tr>
      <w:tr w14:paraId="4439D573">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52E4">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C5A19">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D2A">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4655">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十五、商业服务业等支出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E41CD">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5248">
            <w:pPr>
              <w:jc w:val="right"/>
              <w:rPr>
                <w:rFonts w:hint="eastAsia" w:ascii="Times New Roman" w:hAnsi="Times New Roman" w:eastAsia="仿宋_GB2312" w:cs="Times New Roman"/>
                <w:color w:val="000000"/>
                <w:sz w:val="20"/>
                <w:szCs w:val="20"/>
              </w:rPr>
            </w:pPr>
          </w:p>
        </w:tc>
      </w:tr>
      <w:tr w14:paraId="41F7558D">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1834">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89930">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16</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F402">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1E95">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十六、金融支出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BFBB8">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2B83">
            <w:pPr>
              <w:jc w:val="right"/>
              <w:rPr>
                <w:rFonts w:hint="eastAsia" w:ascii="Times New Roman" w:hAnsi="Times New Roman" w:eastAsia="仿宋_GB2312" w:cs="Times New Roman"/>
                <w:color w:val="000000"/>
                <w:sz w:val="20"/>
                <w:szCs w:val="20"/>
              </w:rPr>
            </w:pPr>
          </w:p>
        </w:tc>
      </w:tr>
      <w:tr w14:paraId="36522352">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25FA">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05645">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17</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42D0">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2DD4">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十七、援助其他地区支出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FB38C">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F2FA">
            <w:pPr>
              <w:jc w:val="right"/>
              <w:rPr>
                <w:rFonts w:hint="eastAsia" w:ascii="Times New Roman" w:hAnsi="Times New Roman" w:eastAsia="仿宋_GB2312" w:cs="Times New Roman"/>
                <w:color w:val="000000"/>
                <w:sz w:val="20"/>
                <w:szCs w:val="20"/>
              </w:rPr>
            </w:pPr>
          </w:p>
        </w:tc>
      </w:tr>
      <w:tr w14:paraId="11E50206">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2D97">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F99C">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18</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7230">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C26D">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十八、自然资源海洋气象等支出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45831">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AABD">
            <w:pPr>
              <w:jc w:val="right"/>
              <w:rPr>
                <w:rFonts w:hint="eastAsia" w:ascii="Times New Roman" w:hAnsi="Times New Roman" w:eastAsia="仿宋_GB2312" w:cs="Times New Roman"/>
                <w:color w:val="000000"/>
                <w:sz w:val="20"/>
                <w:szCs w:val="20"/>
              </w:rPr>
            </w:pPr>
          </w:p>
        </w:tc>
      </w:tr>
      <w:tr w14:paraId="1EF046F1">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0434">
            <w:pPr>
              <w:jc w:val="right"/>
              <w:rPr>
                <w:rFonts w:ascii="Times New Roman" w:hAnsi="Times New Roman" w:eastAsia="仿宋_GB2312" w:cs="Times New Roman"/>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A0BE2">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6150">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4DBE">
            <w:pPr>
              <w:jc w:val="both"/>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十九、住房保障支出</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E0F7">
            <w:pPr>
              <w:widowControl/>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42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8876">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0.55</w:t>
            </w:r>
          </w:p>
        </w:tc>
      </w:tr>
      <w:tr w14:paraId="00FA9F71">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7FA3">
            <w:pPr>
              <w:widowControl/>
              <w:jc w:val="center"/>
              <w:textAlignment w:val="center"/>
              <w:rPr>
                <w:rFonts w:ascii="Times New Roman" w:hAnsi="Times New Roman" w:eastAsia="仿宋_GB2312" w:cs="Times New Roman"/>
                <w:b/>
                <w:color w:val="000000"/>
                <w:sz w:val="20"/>
                <w:szCs w:val="20"/>
              </w:rPr>
            </w:pPr>
            <w:r>
              <w:rPr>
                <w:rFonts w:ascii="Times New Roman" w:hAnsi="Times New Roman" w:eastAsia="仿宋_GB2312" w:cs="Times New Roman"/>
                <w:b/>
                <w:color w:val="000000"/>
                <w:kern w:val="0"/>
                <w:sz w:val="20"/>
                <w:szCs w:val="20"/>
                <w:lang w:bidi="ar"/>
              </w:rPr>
              <w:t>本年收入合计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00134">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C10E">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616.91</w:t>
            </w: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CDCD">
            <w:pPr>
              <w:widowControl/>
              <w:jc w:val="center"/>
              <w:textAlignment w:val="center"/>
              <w:rPr>
                <w:rFonts w:ascii="Times New Roman" w:hAnsi="Times New Roman" w:eastAsia="仿宋_GB2312" w:cs="Times New Roman"/>
                <w:b/>
                <w:color w:val="000000"/>
                <w:sz w:val="20"/>
                <w:szCs w:val="20"/>
              </w:rPr>
            </w:pPr>
            <w:r>
              <w:rPr>
                <w:rFonts w:ascii="Times New Roman" w:hAnsi="Times New Roman" w:eastAsia="仿宋_GB2312" w:cs="Times New Roman"/>
                <w:b/>
                <w:color w:val="000000"/>
                <w:kern w:val="0"/>
                <w:sz w:val="20"/>
                <w:szCs w:val="20"/>
                <w:lang w:bidi="ar"/>
              </w:rPr>
              <w:t>本年支出合计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5B6DB">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43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7D83">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616.91</w:t>
            </w:r>
          </w:p>
        </w:tc>
      </w:tr>
      <w:tr w14:paraId="4788DFB4">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107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使用非财政拨款结余（含专用结余）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2B56">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9082">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39D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结余分配</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7FA1A">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44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91DE">
            <w:pPr>
              <w:jc w:val="right"/>
              <w:rPr>
                <w:rFonts w:hint="eastAsia" w:ascii="Times New Roman" w:hAnsi="Times New Roman" w:eastAsia="仿宋_GB2312" w:cs="Times New Roman"/>
                <w:color w:val="000000"/>
                <w:sz w:val="20"/>
                <w:szCs w:val="20"/>
              </w:rPr>
            </w:pPr>
          </w:p>
        </w:tc>
      </w:tr>
      <w:tr w14:paraId="5E2046EC">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6B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年初结转和结余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E2922">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7F73">
            <w:pPr>
              <w:jc w:val="right"/>
              <w:rPr>
                <w:rFonts w:ascii="Times New Roman" w:hAnsi="Times New Roman" w:eastAsia="仿宋_GB2312" w:cs="Times New Roman"/>
                <w:color w:val="000000"/>
                <w:sz w:val="20"/>
                <w:szCs w:val="20"/>
              </w:rPr>
            </w:pPr>
          </w:p>
        </w:tc>
        <w:tc>
          <w:tcPr>
            <w:tcW w:w="1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546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年末结转和结余</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87940">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45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1D11">
            <w:pPr>
              <w:jc w:val="right"/>
              <w:rPr>
                <w:rFonts w:hint="eastAsia" w:ascii="Times New Roman" w:hAnsi="Times New Roman" w:eastAsia="仿宋_GB2312" w:cs="Times New Roman"/>
                <w:color w:val="000000"/>
                <w:sz w:val="20"/>
                <w:szCs w:val="20"/>
              </w:rPr>
            </w:pPr>
          </w:p>
        </w:tc>
      </w:tr>
      <w:tr w14:paraId="3BC1EDA5">
        <w:tblPrEx>
          <w:tblCellMar>
            <w:top w:w="0" w:type="dxa"/>
            <w:left w:w="108" w:type="dxa"/>
            <w:bottom w:w="0" w:type="dxa"/>
            <w:right w:w="108" w:type="dxa"/>
          </w:tblCellMar>
        </w:tblPrEx>
        <w:trPr>
          <w:trHeight w:val="261" w:hRule="exact"/>
          <w:jc w:val="center"/>
        </w:trPr>
        <w:tc>
          <w:tcPr>
            <w:tcW w:w="19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80B2">
            <w:pPr>
              <w:widowControl/>
              <w:jc w:val="center"/>
              <w:textAlignment w:val="center"/>
              <w:rPr>
                <w:rFonts w:ascii="Times New Roman" w:hAnsi="Times New Roman" w:eastAsia="仿宋_GB2312" w:cs="Times New Roman"/>
                <w:b/>
                <w:color w:val="000000"/>
                <w:sz w:val="20"/>
                <w:szCs w:val="20"/>
              </w:rPr>
            </w:pPr>
            <w:r>
              <w:rPr>
                <w:rFonts w:ascii="Times New Roman" w:hAnsi="Times New Roman" w:eastAsia="仿宋_GB2312" w:cs="Times New Roman"/>
                <w:b/>
                <w:color w:val="000000"/>
                <w:kern w:val="0"/>
                <w:sz w:val="20"/>
                <w:szCs w:val="20"/>
                <w:lang w:bidi="ar"/>
              </w:rPr>
              <w:t>总计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5B2E">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23</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48D3">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616.91</w:t>
            </w:r>
          </w:p>
        </w:tc>
        <w:tc>
          <w:tcPr>
            <w:tcW w:w="1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C2148">
            <w:pPr>
              <w:widowControl/>
              <w:jc w:val="center"/>
              <w:textAlignment w:val="center"/>
              <w:rPr>
                <w:rFonts w:ascii="Times New Roman" w:hAnsi="Times New Roman" w:eastAsia="仿宋_GB2312" w:cs="Times New Roman"/>
                <w:b/>
                <w:color w:val="000000"/>
                <w:sz w:val="20"/>
                <w:szCs w:val="20"/>
              </w:rPr>
            </w:pPr>
            <w:r>
              <w:rPr>
                <w:rFonts w:ascii="Times New Roman" w:hAnsi="Times New Roman" w:eastAsia="仿宋_GB2312" w:cs="Times New Roman"/>
                <w:b/>
                <w:color w:val="000000"/>
                <w:kern w:val="0"/>
                <w:sz w:val="20"/>
                <w:szCs w:val="20"/>
                <w:lang w:bidi="ar"/>
              </w:rPr>
              <w:t>总计</w:t>
            </w:r>
          </w:p>
        </w:tc>
        <w:tc>
          <w:tcPr>
            <w:tcW w:w="2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79B4">
            <w:pPr>
              <w:widowControl/>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kern w:val="0"/>
                <w:sz w:val="20"/>
                <w:szCs w:val="20"/>
                <w:lang w:val="en-US" w:eastAsia="zh-CN" w:bidi="ar"/>
              </w:rPr>
              <w:t>46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8971">
            <w:pPr>
              <w:jc w:val="righ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616.91</w:t>
            </w:r>
          </w:p>
        </w:tc>
      </w:tr>
    </w:tbl>
    <w:p w14:paraId="75C8EB9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2D90C20">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343E2BA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A99D4E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CB7F0D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怀化市医疗保障事务中心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4998" w:type="pct"/>
        <w:jc w:val="center"/>
        <w:tblLayout w:type="autofit"/>
        <w:tblCellMar>
          <w:top w:w="0" w:type="dxa"/>
          <w:left w:w="0" w:type="dxa"/>
          <w:bottom w:w="0" w:type="dxa"/>
          <w:right w:w="0" w:type="dxa"/>
        </w:tblCellMar>
      </w:tblPr>
      <w:tblGrid>
        <w:gridCol w:w="1625"/>
        <w:gridCol w:w="3770"/>
        <w:gridCol w:w="1168"/>
        <w:gridCol w:w="1406"/>
        <w:gridCol w:w="1406"/>
        <w:gridCol w:w="1406"/>
        <w:gridCol w:w="1407"/>
        <w:gridCol w:w="1660"/>
        <w:gridCol w:w="1574"/>
      </w:tblGrid>
      <w:tr w14:paraId="20F7EC98">
        <w:tblPrEx>
          <w:tblCellMar>
            <w:top w:w="0" w:type="dxa"/>
            <w:left w:w="0" w:type="dxa"/>
            <w:bottom w:w="0" w:type="dxa"/>
            <w:right w:w="0" w:type="dxa"/>
          </w:tblCellMar>
        </w:tblPrEx>
        <w:trPr>
          <w:trHeight w:val="450" w:hRule="atLeast"/>
          <w:jc w:val="center"/>
        </w:trPr>
        <w:tc>
          <w:tcPr>
            <w:tcW w:w="1281"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DE4B1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44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AE13D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52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54FE6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52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DA467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52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08BB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52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93EA6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604"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EA2F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57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44ACC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60F11E4">
        <w:tblPrEx>
          <w:tblCellMar>
            <w:top w:w="0" w:type="dxa"/>
            <w:left w:w="0" w:type="dxa"/>
            <w:bottom w:w="0" w:type="dxa"/>
            <w:right w:w="0" w:type="dxa"/>
          </w:tblCellMar>
        </w:tblPrEx>
        <w:trPr>
          <w:trHeight w:val="334" w:hRule="exact"/>
          <w:jc w:val="center"/>
        </w:trPr>
        <w:tc>
          <w:tcPr>
            <w:tcW w:w="59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CF43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687"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86ECF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1714B5FE">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0C493DBE">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0B0098E6">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18667EA3">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40F56639">
            <w:pPr>
              <w:rPr>
                <w:rFonts w:ascii="Times New Roman" w:hAnsi="Times New Roman" w:eastAsia="仿宋_GB2312" w:cs="Times New Roman"/>
                <w:sz w:val="24"/>
                <w:szCs w:val="24"/>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14:paraId="6E694B48">
            <w:pPr>
              <w:rPr>
                <w:rFonts w:ascii="Times New Roman" w:hAnsi="Times New Roman" w:eastAsia="仿宋_GB2312" w:cs="Times New Roman"/>
                <w:sz w:val="24"/>
                <w:szCs w:val="24"/>
              </w:rPr>
            </w:pPr>
          </w:p>
        </w:tc>
        <w:tc>
          <w:tcPr>
            <w:tcW w:w="576" w:type="pct"/>
            <w:vMerge w:val="continue"/>
            <w:tcBorders>
              <w:top w:val="single" w:color="auto" w:sz="4" w:space="0"/>
              <w:left w:val="single" w:color="auto" w:sz="4" w:space="0"/>
              <w:bottom w:val="single" w:color="auto" w:sz="4" w:space="0"/>
              <w:right w:val="single" w:color="auto" w:sz="4" w:space="0"/>
            </w:tcBorders>
            <w:vAlign w:val="center"/>
          </w:tcPr>
          <w:p w14:paraId="1F020C95">
            <w:pPr>
              <w:rPr>
                <w:rFonts w:ascii="Times New Roman" w:hAnsi="Times New Roman" w:eastAsia="仿宋_GB2312" w:cs="Times New Roman"/>
                <w:sz w:val="24"/>
                <w:szCs w:val="24"/>
              </w:rPr>
            </w:pPr>
          </w:p>
        </w:tc>
      </w:tr>
      <w:tr w14:paraId="41BFE86E">
        <w:tblPrEx>
          <w:tblCellMar>
            <w:top w:w="0" w:type="dxa"/>
            <w:left w:w="0" w:type="dxa"/>
            <w:bottom w:w="0" w:type="dxa"/>
            <w:right w:w="0" w:type="dxa"/>
          </w:tblCellMar>
        </w:tblPrEx>
        <w:trPr>
          <w:trHeight w:val="312" w:hRule="atLeast"/>
          <w:jc w:val="center"/>
        </w:trPr>
        <w:tc>
          <w:tcPr>
            <w:tcW w:w="593" w:type="pct"/>
            <w:vMerge w:val="continue"/>
            <w:tcBorders>
              <w:top w:val="single" w:color="auto" w:sz="4" w:space="0"/>
              <w:left w:val="single" w:color="auto" w:sz="4" w:space="0"/>
              <w:bottom w:val="single" w:color="auto" w:sz="4" w:space="0"/>
              <w:right w:val="single" w:color="auto" w:sz="4" w:space="0"/>
            </w:tcBorders>
            <w:vAlign w:val="center"/>
          </w:tcPr>
          <w:p w14:paraId="07EE8F08">
            <w:pPr>
              <w:rPr>
                <w:rFonts w:ascii="Times New Roman" w:hAnsi="Times New Roman" w:eastAsia="仿宋_GB2312" w:cs="Times New Roman"/>
                <w:sz w:val="24"/>
                <w:szCs w:val="24"/>
              </w:rPr>
            </w:pPr>
          </w:p>
        </w:tc>
        <w:tc>
          <w:tcPr>
            <w:tcW w:w="687" w:type="pct"/>
            <w:vMerge w:val="continue"/>
            <w:tcBorders>
              <w:top w:val="nil"/>
              <w:left w:val="single" w:color="auto" w:sz="4" w:space="0"/>
              <w:bottom w:val="single" w:color="auto" w:sz="4" w:space="0"/>
              <w:right w:val="single" w:color="auto" w:sz="4" w:space="0"/>
            </w:tcBorders>
            <w:vAlign w:val="center"/>
          </w:tcPr>
          <w:p w14:paraId="3B3B0B7F">
            <w:pPr>
              <w:rPr>
                <w:rFonts w:ascii="Times New Roman" w:hAnsi="Times New Roman" w:eastAsia="仿宋_GB2312" w:cs="Times New Roman"/>
                <w:sz w:val="24"/>
                <w:szCs w:val="24"/>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14:paraId="3140C927">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3B11B1BF">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6999BA62">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700F873F">
            <w:pPr>
              <w:rPr>
                <w:rFonts w:ascii="Times New Roman" w:hAnsi="Times New Roman" w:eastAsia="仿宋_GB2312" w:cs="Times New Roman"/>
                <w:sz w:val="24"/>
                <w:szCs w:val="24"/>
              </w:rPr>
            </w:pPr>
          </w:p>
        </w:tc>
        <w:tc>
          <w:tcPr>
            <w:tcW w:w="522" w:type="pct"/>
            <w:vMerge w:val="continue"/>
            <w:tcBorders>
              <w:top w:val="single" w:color="auto" w:sz="4" w:space="0"/>
              <w:left w:val="single" w:color="auto" w:sz="4" w:space="0"/>
              <w:bottom w:val="single" w:color="auto" w:sz="4" w:space="0"/>
              <w:right w:val="single" w:color="auto" w:sz="4" w:space="0"/>
            </w:tcBorders>
            <w:vAlign w:val="center"/>
          </w:tcPr>
          <w:p w14:paraId="4FF99E35">
            <w:pPr>
              <w:rPr>
                <w:rFonts w:ascii="Times New Roman" w:hAnsi="Times New Roman" w:eastAsia="仿宋_GB2312" w:cs="Times New Roman"/>
                <w:sz w:val="24"/>
                <w:szCs w:val="24"/>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14:paraId="6F6873DB">
            <w:pPr>
              <w:rPr>
                <w:rFonts w:ascii="Times New Roman" w:hAnsi="Times New Roman" w:eastAsia="仿宋_GB2312" w:cs="Times New Roman"/>
                <w:sz w:val="24"/>
                <w:szCs w:val="24"/>
              </w:rPr>
            </w:pPr>
          </w:p>
        </w:tc>
        <w:tc>
          <w:tcPr>
            <w:tcW w:w="576" w:type="pct"/>
            <w:vMerge w:val="continue"/>
            <w:tcBorders>
              <w:top w:val="single" w:color="auto" w:sz="4" w:space="0"/>
              <w:left w:val="single" w:color="auto" w:sz="4" w:space="0"/>
              <w:bottom w:val="single" w:color="auto" w:sz="4" w:space="0"/>
              <w:right w:val="single" w:color="auto" w:sz="4" w:space="0"/>
            </w:tcBorders>
            <w:vAlign w:val="center"/>
          </w:tcPr>
          <w:p w14:paraId="22D2C22B">
            <w:pPr>
              <w:rPr>
                <w:rFonts w:ascii="Times New Roman" w:hAnsi="Times New Roman" w:eastAsia="仿宋_GB2312" w:cs="Times New Roman"/>
                <w:sz w:val="24"/>
                <w:szCs w:val="24"/>
              </w:rPr>
            </w:pPr>
          </w:p>
        </w:tc>
      </w:tr>
      <w:tr w14:paraId="085A04B0">
        <w:tblPrEx>
          <w:tblCellMar>
            <w:top w:w="0" w:type="dxa"/>
            <w:left w:w="0" w:type="dxa"/>
            <w:bottom w:w="0" w:type="dxa"/>
            <w:right w:w="0" w:type="dxa"/>
          </w:tblCellMar>
        </w:tblPrEx>
        <w:trPr>
          <w:trHeight w:val="450" w:hRule="atLeast"/>
          <w:jc w:val="center"/>
        </w:trPr>
        <w:tc>
          <w:tcPr>
            <w:tcW w:w="128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38E10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44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F3110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52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9A9BE">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52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82493">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52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4E86E">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52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894AD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604"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7776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576"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6E082">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DE80CD3">
        <w:tblPrEx>
          <w:tblCellMar>
            <w:top w:w="0" w:type="dxa"/>
            <w:left w:w="0" w:type="dxa"/>
            <w:bottom w:w="0" w:type="dxa"/>
            <w:right w:w="0" w:type="dxa"/>
          </w:tblCellMar>
        </w:tblPrEx>
        <w:trPr>
          <w:trHeight w:val="450" w:hRule="atLeast"/>
          <w:jc w:val="center"/>
        </w:trPr>
        <w:tc>
          <w:tcPr>
            <w:tcW w:w="128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B3943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44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24A4D75D">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616.91</w:t>
            </w:r>
          </w:p>
        </w:tc>
        <w:tc>
          <w:tcPr>
            <w:tcW w:w="52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6C941ABD">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616.91</w:t>
            </w:r>
          </w:p>
        </w:tc>
        <w:tc>
          <w:tcPr>
            <w:tcW w:w="52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4EF02167">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52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3C345AE">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52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5644AF35">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60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40D13E7">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57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289C9A38">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r>
      <w:tr w14:paraId="6E3CB47A">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91750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16B30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社会保障和就业支出</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FE5736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290.19</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5B87E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290.19</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5C72F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76AD1D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42DAA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C85AC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6DFBC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0931149">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90FFA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20801</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6161C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人力资源和社会保障管理事务</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7ACED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E8E4D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8E614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DFF9D7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08C59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B8057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C4921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4FA61F4C">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23F82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2080107</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036FB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社会保险业务管理事务</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CD576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C5B4D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A31DFE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D235C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024465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22D762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D3384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21C0900">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FF0DD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01B5F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行政事业单位养老支出</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541F5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3D34E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1B27BB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2C821F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2559F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E1ADEF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704950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7C1568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4B313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26443A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机关事业单位基本养老保险缴费支出</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72D23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287B6A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13A95E3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F45FC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B2495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FD607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838B1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304A8E0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445BED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2080599</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4025D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其他行政事业单位养老支出</w:t>
            </w:r>
          </w:p>
        </w:tc>
        <w:tc>
          <w:tcPr>
            <w:tcW w:w="44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121133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0.06</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609541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0.06</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513B5C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3955D2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72F7E7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A71CD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top"/>
          </w:tcPr>
          <w:p w14:paraId="072854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632E233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73F013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20807</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7A14DA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就业补助</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4F0E7B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707163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A3ED4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0E7E99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12DFE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57B7895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6CD59C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A5D7A09">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7EFCC1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2080799</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1F2FB5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其他就业补助支出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7AE22B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C20CC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BF630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05B58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3EE9B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4932D0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4500EA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09C3F13">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68F926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18FE42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卫生健康支出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427CA3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326.17</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9A588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326.17</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BE38F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98440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A3BD9E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03E9EC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0387B5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71C31A8D">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66AC60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414ED7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行政事业单位医疗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4844D6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E1DD0E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188502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447550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0518C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19A6986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6D0CAA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4AA7B0DE">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6816405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2101101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0DCA81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行政单位医疗</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078949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4E9243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7A318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74EF065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82B61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0507F5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073BDD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4AF2BC35">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760987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6C482C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医疗保障管理事务</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339898D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325.22</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1AE6B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325.22</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00F8D9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83319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143843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25E3A0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6F5527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6264684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14B6AB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2101501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120D56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行政运行</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3FD58CA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637D6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53311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14DAAF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8A81C6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0BE089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2DC3A5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0A2A245">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0EA2083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2101599</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0C8FBB4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其他医疗保障管理事务支出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33AC3A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0896B4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E0EAA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56834D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DB24E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35BB59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46F25F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CFEC8EE">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593CAA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5520C6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住房保障支出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710DC18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4ADC19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C6372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1326A3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0F8F3F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111C0C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3A11B6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10224C7">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077555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22102</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2F2A530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住房改革支出</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41967A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671398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1BB36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E1C9D2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24C991D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63CE2B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5F8AFFA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43D470FF">
        <w:tblPrEx>
          <w:tblCellMar>
            <w:top w:w="0" w:type="dxa"/>
            <w:left w:w="0" w:type="dxa"/>
            <w:bottom w:w="0" w:type="dxa"/>
            <w:right w:w="0" w:type="dxa"/>
          </w:tblCellMar>
        </w:tblPrEx>
        <w:trPr>
          <w:trHeight w:val="340" w:hRule="atLeast"/>
          <w:jc w:val="center"/>
        </w:trPr>
        <w:tc>
          <w:tcPr>
            <w:tcW w:w="593" w:type="pct"/>
            <w:tcBorders>
              <w:top w:val="single" w:color="auto" w:sz="4" w:space="0"/>
              <w:left w:val="single" w:color="auto" w:sz="4" w:space="0"/>
              <w:bottom w:val="single" w:color="auto" w:sz="4" w:space="0"/>
              <w:right w:val="single" w:color="auto" w:sz="4" w:space="0"/>
            </w:tcBorders>
            <w:shd w:val="clear" w:color="auto" w:fill="auto"/>
            <w:vAlign w:val="top"/>
          </w:tcPr>
          <w:p w14:paraId="2A1F05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2210201</w:t>
            </w:r>
          </w:p>
        </w:tc>
        <w:tc>
          <w:tcPr>
            <w:tcW w:w="687" w:type="pct"/>
            <w:tcBorders>
              <w:top w:val="single" w:color="auto" w:sz="4" w:space="0"/>
              <w:left w:val="single" w:color="auto" w:sz="4" w:space="0"/>
              <w:bottom w:val="single" w:color="auto" w:sz="4" w:space="0"/>
              <w:right w:val="single" w:color="auto" w:sz="4" w:space="0"/>
            </w:tcBorders>
            <w:shd w:val="clear" w:color="auto" w:fill="auto"/>
            <w:vAlign w:val="top"/>
          </w:tcPr>
          <w:p w14:paraId="288233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445" w:type="pct"/>
            <w:tcBorders>
              <w:top w:val="single" w:color="auto" w:sz="4" w:space="0"/>
              <w:left w:val="single" w:color="auto" w:sz="4" w:space="0"/>
              <w:bottom w:val="single" w:color="auto" w:sz="4" w:space="0"/>
              <w:right w:val="single" w:color="auto" w:sz="4" w:space="0"/>
            </w:tcBorders>
            <w:shd w:val="clear" w:color="auto" w:fill="auto"/>
            <w:vAlign w:val="top"/>
          </w:tcPr>
          <w:p w14:paraId="358E06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D4727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2C0D9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30FC6C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22" w:type="pct"/>
            <w:tcBorders>
              <w:top w:val="single" w:color="auto" w:sz="4" w:space="0"/>
              <w:left w:val="single" w:color="auto" w:sz="4" w:space="0"/>
              <w:bottom w:val="single" w:color="auto" w:sz="4" w:space="0"/>
              <w:right w:val="single" w:color="auto" w:sz="4" w:space="0"/>
            </w:tcBorders>
            <w:shd w:val="clear" w:color="auto" w:fill="auto"/>
            <w:vAlign w:val="top"/>
          </w:tcPr>
          <w:p w14:paraId="57CA54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604" w:type="pct"/>
            <w:tcBorders>
              <w:top w:val="single" w:color="auto" w:sz="4" w:space="0"/>
              <w:left w:val="single" w:color="auto" w:sz="4" w:space="0"/>
              <w:bottom w:val="single" w:color="auto" w:sz="4" w:space="0"/>
              <w:right w:val="single" w:color="auto" w:sz="4" w:space="0"/>
            </w:tcBorders>
            <w:shd w:val="clear" w:color="auto" w:fill="auto"/>
            <w:vAlign w:val="top"/>
          </w:tcPr>
          <w:p w14:paraId="312EDE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14:paraId="1D78A4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bl>
    <w:p w14:paraId="09D28C4C">
      <w:pPr>
        <w:spacing w:before="120"/>
        <w:rPr>
          <w:rFonts w:hint="eastAsia" w:ascii="Times New Roman" w:hAnsi="Times New Roman" w:eastAsia="黑体" w:cs="Times New Roman"/>
          <w:color w:val="000000"/>
          <w:kern w:val="0"/>
          <w:sz w:val="32"/>
          <w:szCs w:val="32"/>
          <w:lang w:eastAsia="zh-CN" w:bidi="ar"/>
        </w:rPr>
      </w:pPr>
      <w:r>
        <w:rPr>
          <w:rFonts w:ascii="Times New Roman" w:hAnsi="Times New Roman" w:eastAsia="仿宋_GB2312" w:cs="Times New Roman"/>
        </w:rPr>
        <w:t>注：本表反映部门本年度取得的各项收入情况。</w:t>
      </w:r>
    </w:p>
    <w:p w14:paraId="5E7F764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BE5367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2FDDFA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怀化市医疗保障事务中心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799" w:type="pct"/>
        <w:jc w:val="center"/>
        <w:tblLayout w:type="autofit"/>
        <w:tblCellMar>
          <w:top w:w="0" w:type="dxa"/>
          <w:left w:w="108" w:type="dxa"/>
          <w:bottom w:w="0" w:type="dxa"/>
          <w:right w:w="108" w:type="dxa"/>
        </w:tblCellMar>
      </w:tblPr>
      <w:tblGrid>
        <w:gridCol w:w="1391"/>
        <w:gridCol w:w="5395"/>
        <w:gridCol w:w="1502"/>
        <w:gridCol w:w="960"/>
        <w:gridCol w:w="957"/>
        <w:gridCol w:w="1500"/>
        <w:gridCol w:w="957"/>
        <w:gridCol w:w="2324"/>
      </w:tblGrid>
      <w:tr w14:paraId="6D24A656">
        <w:tblPrEx>
          <w:tblCellMar>
            <w:top w:w="0" w:type="dxa"/>
            <w:left w:w="108" w:type="dxa"/>
            <w:bottom w:w="0" w:type="dxa"/>
            <w:right w:w="108" w:type="dxa"/>
          </w:tblCellMar>
        </w:tblPrEx>
        <w:trPr>
          <w:trHeight w:val="595" w:hRule="atLeast"/>
          <w:jc w:val="center"/>
        </w:trPr>
        <w:tc>
          <w:tcPr>
            <w:tcW w:w="22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B4C0E3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4EC6F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4970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1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3F605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0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B8150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1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82E21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8169F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DFC3342">
        <w:tblPrEx>
          <w:tblCellMar>
            <w:top w:w="0" w:type="dxa"/>
            <w:left w:w="108" w:type="dxa"/>
            <w:bottom w:w="0" w:type="dxa"/>
            <w:right w:w="108" w:type="dxa"/>
          </w:tblCellMar>
        </w:tblPrEx>
        <w:trPr>
          <w:trHeight w:val="312" w:hRule="exact"/>
          <w:jc w:val="center"/>
        </w:trPr>
        <w:tc>
          <w:tcPr>
            <w:tcW w:w="46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D3C16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799" w:type="pct"/>
            <w:vMerge w:val="restart"/>
            <w:tcBorders>
              <w:top w:val="nil"/>
              <w:left w:val="single" w:color="auto" w:sz="4" w:space="0"/>
              <w:bottom w:val="single" w:color="auto" w:sz="4" w:space="0"/>
              <w:right w:val="single" w:color="auto" w:sz="4" w:space="0"/>
            </w:tcBorders>
            <w:shd w:val="clear" w:color="000000" w:fill="FFFFFF"/>
            <w:vAlign w:val="center"/>
          </w:tcPr>
          <w:p w14:paraId="13B97B0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6DBE29CA">
            <w:pPr>
              <w:widowControl/>
              <w:jc w:val="left"/>
              <w:rPr>
                <w:rFonts w:ascii="Times New Roman" w:hAnsi="Times New Roman" w:eastAsia="仿宋_GB2312" w:cs="Times New Roman"/>
                <w:b/>
                <w:bCs/>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4BA8A57D">
            <w:pPr>
              <w:widowControl/>
              <w:jc w:val="left"/>
              <w:rPr>
                <w:rFonts w:ascii="Times New Roman" w:hAnsi="Times New Roman" w:eastAsia="仿宋_GB2312" w:cs="Times New Roman"/>
                <w:b/>
                <w:bCs/>
                <w:kern w:val="0"/>
                <w:sz w:val="24"/>
                <w:szCs w:val="24"/>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4E71C09">
            <w:pPr>
              <w:widowControl/>
              <w:jc w:val="left"/>
              <w:rPr>
                <w:rFonts w:ascii="Times New Roman" w:hAnsi="Times New Roman" w:eastAsia="仿宋_GB2312" w:cs="Times New Roman"/>
                <w:b/>
                <w:bCs/>
                <w:kern w:val="0"/>
                <w:sz w:val="24"/>
                <w:szCs w:val="24"/>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14:paraId="7F605D8B">
            <w:pPr>
              <w:widowControl/>
              <w:jc w:val="left"/>
              <w:rPr>
                <w:rFonts w:ascii="Times New Roman" w:hAnsi="Times New Roman" w:eastAsia="仿宋_GB2312" w:cs="Times New Roman"/>
                <w:b/>
                <w:bCs/>
                <w:kern w:val="0"/>
                <w:sz w:val="24"/>
                <w:szCs w:val="24"/>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C203677">
            <w:pPr>
              <w:widowControl/>
              <w:jc w:val="left"/>
              <w:rPr>
                <w:rFonts w:ascii="Times New Roman" w:hAnsi="Times New Roman" w:eastAsia="仿宋_GB2312" w:cs="Times New Roman"/>
                <w:b/>
                <w:bCs/>
                <w:kern w:val="0"/>
                <w:sz w:val="24"/>
                <w:szCs w:val="24"/>
              </w:rPr>
            </w:pPr>
          </w:p>
        </w:tc>
        <w:tc>
          <w:tcPr>
            <w:tcW w:w="775" w:type="pct"/>
            <w:vMerge w:val="continue"/>
            <w:tcBorders>
              <w:top w:val="single" w:color="auto" w:sz="4" w:space="0"/>
              <w:left w:val="single" w:color="auto" w:sz="4" w:space="0"/>
              <w:bottom w:val="single" w:color="auto" w:sz="4" w:space="0"/>
              <w:right w:val="single" w:color="auto" w:sz="4" w:space="0"/>
            </w:tcBorders>
            <w:vAlign w:val="center"/>
          </w:tcPr>
          <w:p w14:paraId="779826F0">
            <w:pPr>
              <w:widowControl/>
              <w:jc w:val="left"/>
              <w:rPr>
                <w:rFonts w:ascii="Times New Roman" w:hAnsi="Times New Roman" w:eastAsia="仿宋_GB2312" w:cs="Times New Roman"/>
                <w:b/>
                <w:bCs/>
                <w:kern w:val="0"/>
                <w:sz w:val="24"/>
                <w:szCs w:val="24"/>
              </w:rPr>
            </w:pPr>
          </w:p>
        </w:tc>
      </w:tr>
      <w:tr w14:paraId="7652B40B">
        <w:tblPrEx>
          <w:tblCellMar>
            <w:top w:w="0" w:type="dxa"/>
            <w:left w:w="108" w:type="dxa"/>
            <w:bottom w:w="0" w:type="dxa"/>
            <w:right w:w="108" w:type="dxa"/>
          </w:tblCellMar>
        </w:tblPrEx>
        <w:trPr>
          <w:trHeight w:val="595" w:hRule="atLeast"/>
          <w:jc w:val="center"/>
        </w:trPr>
        <w:tc>
          <w:tcPr>
            <w:tcW w:w="464" w:type="pct"/>
            <w:vMerge w:val="continue"/>
            <w:tcBorders>
              <w:top w:val="single" w:color="auto" w:sz="4" w:space="0"/>
              <w:left w:val="single" w:color="auto" w:sz="4" w:space="0"/>
              <w:bottom w:val="single" w:color="auto" w:sz="4" w:space="0"/>
              <w:right w:val="single" w:color="auto" w:sz="4" w:space="0"/>
            </w:tcBorders>
            <w:vAlign w:val="center"/>
          </w:tcPr>
          <w:p w14:paraId="3C92755A">
            <w:pPr>
              <w:widowControl/>
              <w:jc w:val="left"/>
              <w:rPr>
                <w:rFonts w:ascii="Times New Roman" w:hAnsi="Times New Roman" w:eastAsia="仿宋_GB2312" w:cs="Times New Roman"/>
                <w:kern w:val="0"/>
                <w:sz w:val="24"/>
                <w:szCs w:val="24"/>
              </w:rPr>
            </w:pPr>
          </w:p>
        </w:tc>
        <w:tc>
          <w:tcPr>
            <w:tcW w:w="1799" w:type="pct"/>
            <w:vMerge w:val="continue"/>
            <w:tcBorders>
              <w:top w:val="nil"/>
              <w:left w:val="single" w:color="auto" w:sz="4" w:space="0"/>
              <w:bottom w:val="single" w:color="auto" w:sz="4" w:space="0"/>
              <w:right w:val="single" w:color="auto" w:sz="4" w:space="0"/>
            </w:tcBorders>
            <w:vAlign w:val="center"/>
          </w:tcPr>
          <w:p w14:paraId="3B20E90C">
            <w:pPr>
              <w:widowControl/>
              <w:jc w:val="left"/>
              <w:rPr>
                <w:rFonts w:ascii="Times New Roman" w:hAnsi="Times New Roman" w:eastAsia="仿宋_GB2312" w:cs="Times New Roman"/>
                <w:kern w:val="0"/>
                <w:sz w:val="24"/>
                <w:szCs w:val="24"/>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00B6E01F">
            <w:pPr>
              <w:widowControl/>
              <w:jc w:val="left"/>
              <w:rPr>
                <w:rFonts w:ascii="Times New Roman" w:hAnsi="Times New Roman" w:eastAsia="仿宋_GB2312" w:cs="Times New Roman"/>
                <w:kern w:val="0"/>
                <w:sz w:val="24"/>
                <w:szCs w:val="24"/>
              </w:rPr>
            </w:pPr>
          </w:p>
        </w:tc>
        <w:tc>
          <w:tcPr>
            <w:tcW w:w="320" w:type="pct"/>
            <w:vMerge w:val="continue"/>
            <w:tcBorders>
              <w:top w:val="single" w:color="auto" w:sz="4" w:space="0"/>
              <w:left w:val="single" w:color="auto" w:sz="4" w:space="0"/>
              <w:bottom w:val="single" w:color="auto" w:sz="4" w:space="0"/>
              <w:right w:val="single" w:color="auto" w:sz="4" w:space="0"/>
            </w:tcBorders>
            <w:vAlign w:val="center"/>
          </w:tcPr>
          <w:p w14:paraId="3ACD102B">
            <w:pPr>
              <w:widowControl/>
              <w:jc w:val="left"/>
              <w:rPr>
                <w:rFonts w:ascii="Times New Roman" w:hAnsi="Times New Roman" w:eastAsia="仿宋_GB2312" w:cs="Times New Roman"/>
                <w:kern w:val="0"/>
                <w:sz w:val="24"/>
                <w:szCs w:val="24"/>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731D3CA">
            <w:pPr>
              <w:widowControl/>
              <w:jc w:val="left"/>
              <w:rPr>
                <w:rFonts w:ascii="Times New Roman" w:hAnsi="Times New Roman" w:eastAsia="仿宋_GB2312" w:cs="Times New Roman"/>
                <w:kern w:val="0"/>
                <w:sz w:val="24"/>
                <w:szCs w:val="24"/>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14:paraId="20623475">
            <w:pPr>
              <w:widowControl/>
              <w:jc w:val="left"/>
              <w:rPr>
                <w:rFonts w:ascii="Times New Roman" w:hAnsi="Times New Roman" w:eastAsia="仿宋_GB2312" w:cs="Times New Roman"/>
                <w:kern w:val="0"/>
                <w:sz w:val="24"/>
                <w:szCs w:val="24"/>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190F22C">
            <w:pPr>
              <w:widowControl/>
              <w:jc w:val="left"/>
              <w:rPr>
                <w:rFonts w:ascii="Times New Roman" w:hAnsi="Times New Roman" w:eastAsia="仿宋_GB2312" w:cs="Times New Roman"/>
                <w:kern w:val="0"/>
                <w:sz w:val="24"/>
                <w:szCs w:val="24"/>
              </w:rPr>
            </w:pPr>
          </w:p>
        </w:tc>
        <w:tc>
          <w:tcPr>
            <w:tcW w:w="775" w:type="pct"/>
            <w:vMerge w:val="continue"/>
            <w:tcBorders>
              <w:top w:val="single" w:color="auto" w:sz="4" w:space="0"/>
              <w:left w:val="single" w:color="auto" w:sz="4" w:space="0"/>
              <w:bottom w:val="single" w:color="auto" w:sz="4" w:space="0"/>
              <w:right w:val="single" w:color="auto" w:sz="4" w:space="0"/>
            </w:tcBorders>
            <w:vAlign w:val="center"/>
          </w:tcPr>
          <w:p w14:paraId="2F9C950C">
            <w:pPr>
              <w:widowControl/>
              <w:jc w:val="left"/>
              <w:rPr>
                <w:rFonts w:ascii="Times New Roman" w:hAnsi="Times New Roman" w:eastAsia="仿宋_GB2312" w:cs="Times New Roman"/>
                <w:kern w:val="0"/>
                <w:sz w:val="24"/>
                <w:szCs w:val="24"/>
              </w:rPr>
            </w:pPr>
          </w:p>
        </w:tc>
      </w:tr>
      <w:tr w14:paraId="7E6A34A1">
        <w:tblPrEx>
          <w:tblCellMar>
            <w:top w:w="0" w:type="dxa"/>
            <w:left w:w="108" w:type="dxa"/>
            <w:bottom w:w="0" w:type="dxa"/>
            <w:right w:w="108" w:type="dxa"/>
          </w:tblCellMar>
        </w:tblPrEx>
        <w:trPr>
          <w:trHeight w:val="595" w:hRule="atLeast"/>
          <w:jc w:val="center"/>
        </w:trPr>
        <w:tc>
          <w:tcPr>
            <w:tcW w:w="22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EEEF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01" w:type="pct"/>
            <w:tcBorders>
              <w:top w:val="nil"/>
              <w:left w:val="nil"/>
              <w:bottom w:val="single" w:color="auto" w:sz="4" w:space="0"/>
              <w:right w:val="single" w:color="auto" w:sz="4" w:space="0"/>
            </w:tcBorders>
            <w:shd w:val="clear" w:color="000000" w:fill="FFFFFF"/>
            <w:noWrap/>
            <w:vAlign w:val="center"/>
          </w:tcPr>
          <w:p w14:paraId="413250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0" w:type="pct"/>
            <w:tcBorders>
              <w:top w:val="nil"/>
              <w:left w:val="nil"/>
              <w:bottom w:val="single" w:color="auto" w:sz="4" w:space="0"/>
              <w:right w:val="single" w:color="auto" w:sz="4" w:space="0"/>
            </w:tcBorders>
            <w:shd w:val="clear" w:color="000000" w:fill="FFFFFF"/>
            <w:noWrap/>
            <w:vAlign w:val="center"/>
          </w:tcPr>
          <w:p w14:paraId="69C143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19" w:type="pct"/>
            <w:tcBorders>
              <w:top w:val="nil"/>
              <w:left w:val="nil"/>
              <w:bottom w:val="single" w:color="auto" w:sz="4" w:space="0"/>
              <w:right w:val="single" w:color="auto" w:sz="4" w:space="0"/>
            </w:tcBorders>
            <w:shd w:val="clear" w:color="000000" w:fill="FFFFFF"/>
            <w:noWrap/>
            <w:vAlign w:val="center"/>
          </w:tcPr>
          <w:p w14:paraId="6F6910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00" w:type="pct"/>
            <w:tcBorders>
              <w:top w:val="nil"/>
              <w:left w:val="nil"/>
              <w:bottom w:val="single" w:color="auto" w:sz="4" w:space="0"/>
              <w:right w:val="single" w:color="auto" w:sz="4" w:space="0"/>
            </w:tcBorders>
            <w:shd w:val="clear" w:color="000000" w:fill="FFFFFF"/>
            <w:noWrap/>
            <w:vAlign w:val="center"/>
          </w:tcPr>
          <w:p w14:paraId="5CFD674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19" w:type="pct"/>
            <w:tcBorders>
              <w:top w:val="nil"/>
              <w:left w:val="nil"/>
              <w:bottom w:val="single" w:color="auto" w:sz="4" w:space="0"/>
              <w:right w:val="single" w:color="auto" w:sz="4" w:space="0"/>
            </w:tcBorders>
            <w:shd w:val="clear" w:color="000000" w:fill="FFFFFF"/>
            <w:noWrap/>
            <w:vAlign w:val="center"/>
          </w:tcPr>
          <w:p w14:paraId="240E66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75" w:type="pct"/>
            <w:tcBorders>
              <w:top w:val="nil"/>
              <w:left w:val="nil"/>
              <w:bottom w:val="single" w:color="auto" w:sz="4" w:space="0"/>
              <w:right w:val="single" w:color="auto" w:sz="4" w:space="0"/>
            </w:tcBorders>
            <w:shd w:val="clear" w:color="000000" w:fill="FFFFFF"/>
            <w:noWrap/>
            <w:vAlign w:val="center"/>
          </w:tcPr>
          <w:p w14:paraId="175369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CD44A20">
        <w:tblPrEx>
          <w:tblCellMar>
            <w:top w:w="0" w:type="dxa"/>
            <w:left w:w="108" w:type="dxa"/>
            <w:bottom w:w="0" w:type="dxa"/>
            <w:right w:w="108" w:type="dxa"/>
          </w:tblCellMar>
        </w:tblPrEx>
        <w:trPr>
          <w:trHeight w:val="261" w:hRule="atLeast"/>
          <w:jc w:val="center"/>
        </w:trPr>
        <w:tc>
          <w:tcPr>
            <w:tcW w:w="22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66C3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14A01664">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616.91</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67D0D82E">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464.89</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588FF59C">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152.01</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236932FB">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109DE4A9">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1FEEFB15">
            <w:pPr>
              <w:spacing w:beforeLines="0" w:afterLines="0"/>
              <w:jc w:val="center"/>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0.00</w:t>
            </w:r>
          </w:p>
        </w:tc>
      </w:tr>
      <w:tr w14:paraId="170EEAAB">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18AFBBA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6C81A8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社会保障和就业支出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7FE5BE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290.19</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4BAA93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287.12</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AD4FF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3.07</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2FAB3E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7D77E2F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187CFD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75BDDC2B">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59665A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20801</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6D3B1A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人力资源和社会保障管理事务</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155004F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2D89E4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275.28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CA1AE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1BB5B6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351DC4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1C436C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2791523C">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1E103E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2080107</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7FD3EB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社会保险业务管理事务</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35A600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278.28</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21326A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275.28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515668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34B0F1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D6D6D1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16EB3B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C85EA81">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1F7880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5EBF47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行政事业单位养老支出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59AEDA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439E37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7353AA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0DFAFE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2104C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51A7DB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2680EDA1">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1CD588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2080505</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61B2B77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机关事业单位基本养老保险缴费支出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71C9F80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338838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6D064E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5117ED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6C04413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365662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7395AC56">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top"/>
          </w:tcPr>
          <w:p w14:paraId="36DDBE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2080599</w:t>
            </w:r>
          </w:p>
        </w:tc>
        <w:tc>
          <w:tcPr>
            <w:tcW w:w="1799" w:type="pct"/>
            <w:tcBorders>
              <w:top w:val="single" w:color="auto" w:sz="4" w:space="0"/>
              <w:left w:val="single" w:color="auto" w:sz="4" w:space="0"/>
              <w:bottom w:val="single" w:color="auto" w:sz="4" w:space="0"/>
              <w:right w:val="single" w:color="auto" w:sz="4" w:space="0"/>
            </w:tcBorders>
            <w:shd w:val="clear" w:color="auto" w:fill="auto"/>
            <w:noWrap/>
            <w:vAlign w:val="top"/>
          </w:tcPr>
          <w:p w14:paraId="71A039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其他行政事业单位养老支出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top"/>
          </w:tcPr>
          <w:p w14:paraId="35F3C1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0.06</w:t>
            </w:r>
          </w:p>
        </w:tc>
        <w:tc>
          <w:tcPr>
            <w:tcW w:w="320" w:type="pct"/>
            <w:tcBorders>
              <w:top w:val="single" w:color="auto" w:sz="4" w:space="0"/>
              <w:left w:val="single" w:color="auto" w:sz="4" w:space="0"/>
              <w:bottom w:val="single" w:color="auto" w:sz="4" w:space="0"/>
              <w:right w:val="single" w:color="auto" w:sz="4" w:space="0"/>
            </w:tcBorders>
            <w:shd w:val="clear" w:color="auto" w:fill="auto"/>
            <w:noWrap/>
            <w:vAlign w:val="top"/>
          </w:tcPr>
          <w:p w14:paraId="5E3287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0.06</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47F7121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noWrap/>
            <w:vAlign w:val="top"/>
          </w:tcPr>
          <w:p w14:paraId="0A0FD8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top"/>
          </w:tcPr>
          <w:p w14:paraId="7A9A09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noWrap/>
            <w:vAlign w:val="top"/>
          </w:tcPr>
          <w:p w14:paraId="513ACF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22161950">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43F58E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20807</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1F5652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就业补助</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4D6CA7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21FF79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9.23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06D6E22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0.07</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28072A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75278F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6CC154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213BE32">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6571F2F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2080799</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38FBD58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其他就业补助支出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1EF504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9.30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4EBB92D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9.23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7923BAF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0.07</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336A25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4AF078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5C6902A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6AC257DD">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08BE68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6D2FD6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卫生健康支出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236FE0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326.17</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3B92724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177.23</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56876A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5906A0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2E7FA0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73D2E1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5EE5152A">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422A777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020178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行政事业单位医疗</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13B4D6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345279D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22BA23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5A86CE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0318AC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6D5F2E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EBCC645">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543921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2101101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483E78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行政单位医疗</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0A43F9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6E886B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0.95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3D3674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7ABFE9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34F755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10C528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1D479900">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0A050B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162271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医疗保障管理事务</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757EC8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325.22</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6C3F01E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2121C0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58508A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1FF49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5AAEBD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0168FC19">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2D79DD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2101501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526E21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行政运行</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425F5BD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535CA2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176.28</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D9939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53DB49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2C2D32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2F30B6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7F2B85A4">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52E1FD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2101599</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005E02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其他医疗保障管理事务支出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678BE8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189310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40B468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148.94</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79244A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3B08220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6289D7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63BA9012">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109D11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3A6307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住房保障支出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5005BE5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08EC61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7B30A0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107F33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40659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14F7A3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2115E317">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06E288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22102</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6F8EEB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住房改革支出</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10BCBDC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4DD7E7F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5D96F6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4D6BCB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4116E3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76A6D2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r w14:paraId="30B7EEE4">
        <w:tblPrEx>
          <w:tblCellMar>
            <w:top w:w="0" w:type="dxa"/>
            <w:left w:w="108" w:type="dxa"/>
            <w:bottom w:w="0" w:type="dxa"/>
            <w:right w:w="108" w:type="dxa"/>
          </w:tblCellMar>
        </w:tblPrEx>
        <w:trPr>
          <w:trHeight w:val="278" w:hRule="atLeast"/>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top"/>
          </w:tcPr>
          <w:p w14:paraId="2EC725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2210201</w:t>
            </w:r>
          </w:p>
        </w:tc>
        <w:tc>
          <w:tcPr>
            <w:tcW w:w="1799" w:type="pct"/>
            <w:tcBorders>
              <w:top w:val="single" w:color="auto" w:sz="4" w:space="0"/>
              <w:left w:val="single" w:color="auto" w:sz="4" w:space="0"/>
              <w:bottom w:val="single" w:color="auto" w:sz="4" w:space="0"/>
              <w:right w:val="single" w:color="auto" w:sz="4" w:space="0"/>
            </w:tcBorders>
            <w:shd w:val="clear" w:color="auto" w:fill="auto"/>
            <w:vAlign w:val="top"/>
          </w:tcPr>
          <w:p w14:paraId="579248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501" w:type="pct"/>
            <w:tcBorders>
              <w:top w:val="single" w:color="auto" w:sz="4" w:space="0"/>
              <w:left w:val="single" w:color="auto" w:sz="4" w:space="0"/>
              <w:bottom w:val="single" w:color="auto" w:sz="4" w:space="0"/>
              <w:right w:val="single" w:color="auto" w:sz="4" w:space="0"/>
            </w:tcBorders>
            <w:shd w:val="clear" w:color="auto" w:fill="auto"/>
            <w:vAlign w:val="top"/>
          </w:tcPr>
          <w:p w14:paraId="2661A8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14:paraId="7C661F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0.55</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F9E93C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500" w:type="pct"/>
            <w:tcBorders>
              <w:top w:val="single" w:color="auto" w:sz="4" w:space="0"/>
              <w:left w:val="single" w:color="auto" w:sz="4" w:space="0"/>
              <w:bottom w:val="single" w:color="auto" w:sz="4" w:space="0"/>
              <w:right w:val="single" w:color="auto" w:sz="4" w:space="0"/>
            </w:tcBorders>
            <w:shd w:val="clear" w:color="auto" w:fill="auto"/>
            <w:vAlign w:val="top"/>
          </w:tcPr>
          <w:p w14:paraId="630F57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319" w:type="pct"/>
            <w:tcBorders>
              <w:top w:val="single" w:color="auto" w:sz="4" w:space="0"/>
              <w:left w:val="single" w:color="auto" w:sz="4" w:space="0"/>
              <w:bottom w:val="single" w:color="auto" w:sz="4" w:space="0"/>
              <w:right w:val="single" w:color="auto" w:sz="4" w:space="0"/>
            </w:tcBorders>
            <w:shd w:val="clear" w:color="auto" w:fill="auto"/>
            <w:vAlign w:val="top"/>
          </w:tcPr>
          <w:p w14:paraId="6508E7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top"/>
          </w:tcPr>
          <w:p w14:paraId="1504F3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r>
    </w:tbl>
    <w:p w14:paraId="3BB70EA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5B79EC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1B9383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2EE15B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763344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E2E1ECD">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怀化市医疗保障事务中心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5000" w:type="pct"/>
        <w:jc w:val="center"/>
        <w:tblLayout w:type="fixed"/>
        <w:tblCellMar>
          <w:top w:w="0" w:type="dxa"/>
          <w:left w:w="108" w:type="dxa"/>
          <w:bottom w:w="0" w:type="dxa"/>
          <w:right w:w="108" w:type="dxa"/>
        </w:tblCellMar>
      </w:tblPr>
      <w:tblGrid>
        <w:gridCol w:w="3429"/>
        <w:gridCol w:w="701"/>
        <w:gridCol w:w="893"/>
        <w:gridCol w:w="3227"/>
        <w:gridCol w:w="615"/>
        <w:gridCol w:w="815"/>
        <w:gridCol w:w="1921"/>
        <w:gridCol w:w="1927"/>
        <w:gridCol w:w="2086"/>
      </w:tblGrid>
      <w:tr w14:paraId="4F8ACD2C">
        <w:tblPrEx>
          <w:tblCellMar>
            <w:top w:w="0" w:type="dxa"/>
            <w:left w:w="108" w:type="dxa"/>
            <w:bottom w:w="0" w:type="dxa"/>
            <w:right w:w="108" w:type="dxa"/>
          </w:tblCellMar>
        </w:tblPrEx>
        <w:trPr>
          <w:trHeight w:val="242" w:hRule="atLeast"/>
          <w:jc w:val="center"/>
        </w:trPr>
        <w:tc>
          <w:tcPr>
            <w:tcW w:w="160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02111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3391" w:type="pct"/>
            <w:gridSpan w:val="6"/>
            <w:tcBorders>
              <w:top w:val="single" w:color="auto" w:sz="4" w:space="0"/>
              <w:left w:val="nil"/>
              <w:bottom w:val="single" w:color="auto" w:sz="4" w:space="0"/>
              <w:right w:val="single" w:color="auto" w:sz="4" w:space="0"/>
            </w:tcBorders>
            <w:shd w:val="clear" w:color="000000" w:fill="FFFFFF"/>
            <w:noWrap/>
            <w:vAlign w:val="center"/>
          </w:tcPr>
          <w:p w14:paraId="6E1A6C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F46C205">
        <w:trPr>
          <w:trHeight w:val="567" w:hRule="atLeas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235DF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224" w:type="pct"/>
            <w:tcBorders>
              <w:top w:val="nil"/>
              <w:left w:val="nil"/>
              <w:bottom w:val="single" w:color="auto" w:sz="4" w:space="0"/>
              <w:right w:val="single" w:color="auto" w:sz="4" w:space="0"/>
            </w:tcBorders>
            <w:shd w:val="clear" w:color="auto" w:fill="auto"/>
            <w:noWrap/>
            <w:vAlign w:val="center"/>
          </w:tcPr>
          <w:p w14:paraId="49253B5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285" w:type="pct"/>
            <w:tcBorders>
              <w:top w:val="nil"/>
              <w:left w:val="nil"/>
              <w:bottom w:val="single" w:color="auto" w:sz="4" w:space="0"/>
              <w:right w:val="single" w:color="auto" w:sz="4" w:space="0"/>
            </w:tcBorders>
            <w:shd w:val="clear" w:color="auto" w:fill="auto"/>
            <w:noWrap/>
            <w:vAlign w:val="center"/>
          </w:tcPr>
          <w:p w14:paraId="188BC2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1033" w:type="pct"/>
            <w:tcBorders>
              <w:top w:val="nil"/>
              <w:left w:val="nil"/>
              <w:bottom w:val="single" w:color="auto" w:sz="4" w:space="0"/>
              <w:right w:val="single" w:color="auto" w:sz="4" w:space="0"/>
            </w:tcBorders>
            <w:shd w:val="clear" w:color="auto" w:fill="auto"/>
            <w:noWrap/>
            <w:vAlign w:val="center"/>
          </w:tcPr>
          <w:p w14:paraId="6C5F5A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196" w:type="pct"/>
            <w:tcBorders>
              <w:top w:val="nil"/>
              <w:left w:val="nil"/>
              <w:bottom w:val="single" w:color="auto" w:sz="4" w:space="0"/>
              <w:right w:val="single" w:color="auto" w:sz="4" w:space="0"/>
            </w:tcBorders>
            <w:shd w:val="clear" w:color="auto" w:fill="auto"/>
            <w:noWrap/>
            <w:vAlign w:val="center"/>
          </w:tcPr>
          <w:p w14:paraId="779D458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260" w:type="pct"/>
            <w:tcBorders>
              <w:top w:val="nil"/>
              <w:left w:val="nil"/>
              <w:bottom w:val="single" w:color="auto" w:sz="4" w:space="0"/>
              <w:right w:val="single" w:color="auto" w:sz="4" w:space="0"/>
            </w:tcBorders>
            <w:shd w:val="clear" w:color="auto" w:fill="auto"/>
            <w:noWrap/>
            <w:vAlign w:val="center"/>
          </w:tcPr>
          <w:p w14:paraId="309F2F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15" w:type="pct"/>
            <w:tcBorders>
              <w:top w:val="nil"/>
              <w:left w:val="nil"/>
              <w:bottom w:val="single" w:color="auto" w:sz="4" w:space="0"/>
              <w:right w:val="single" w:color="auto" w:sz="4" w:space="0"/>
            </w:tcBorders>
            <w:shd w:val="clear" w:color="auto" w:fill="auto"/>
            <w:vAlign w:val="center"/>
          </w:tcPr>
          <w:p w14:paraId="305B97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617" w:type="pct"/>
            <w:tcBorders>
              <w:top w:val="nil"/>
              <w:left w:val="nil"/>
              <w:bottom w:val="single" w:color="auto" w:sz="4" w:space="0"/>
              <w:right w:val="single" w:color="auto" w:sz="4" w:space="0"/>
            </w:tcBorders>
            <w:shd w:val="clear" w:color="auto" w:fill="auto"/>
            <w:vAlign w:val="center"/>
          </w:tcPr>
          <w:p w14:paraId="245315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667" w:type="pct"/>
            <w:tcBorders>
              <w:top w:val="nil"/>
              <w:left w:val="nil"/>
              <w:bottom w:val="single" w:color="auto" w:sz="4" w:space="0"/>
              <w:right w:val="single" w:color="auto" w:sz="4" w:space="0"/>
            </w:tcBorders>
            <w:shd w:val="clear" w:color="auto" w:fill="auto"/>
            <w:vAlign w:val="center"/>
          </w:tcPr>
          <w:p w14:paraId="4AEF10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6E72BC1">
        <w:tblPrEx>
          <w:tblCellMar>
            <w:top w:w="0" w:type="dxa"/>
            <w:left w:w="108" w:type="dxa"/>
            <w:bottom w:w="0" w:type="dxa"/>
            <w:right w:w="108" w:type="dxa"/>
          </w:tblCellMar>
        </w:tblPrEx>
        <w:trPr>
          <w:trHeight w:val="402" w:hRule="atLeas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1445A6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224" w:type="pct"/>
            <w:tcBorders>
              <w:top w:val="nil"/>
              <w:left w:val="nil"/>
              <w:bottom w:val="single" w:color="auto" w:sz="4" w:space="0"/>
              <w:right w:val="single" w:color="auto" w:sz="4" w:space="0"/>
            </w:tcBorders>
            <w:shd w:val="clear" w:color="auto" w:fill="auto"/>
            <w:noWrap/>
            <w:vAlign w:val="center"/>
          </w:tcPr>
          <w:p w14:paraId="0E1C64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85" w:type="pct"/>
            <w:tcBorders>
              <w:top w:val="nil"/>
              <w:left w:val="nil"/>
              <w:bottom w:val="single" w:color="auto" w:sz="4" w:space="0"/>
              <w:right w:val="single" w:color="auto" w:sz="4" w:space="0"/>
            </w:tcBorders>
            <w:shd w:val="clear" w:color="auto" w:fill="auto"/>
            <w:noWrap/>
            <w:vAlign w:val="center"/>
          </w:tcPr>
          <w:p w14:paraId="6DDC00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033" w:type="pct"/>
            <w:tcBorders>
              <w:top w:val="nil"/>
              <w:left w:val="nil"/>
              <w:bottom w:val="single" w:color="auto" w:sz="4" w:space="0"/>
              <w:right w:val="single" w:color="auto" w:sz="4" w:space="0"/>
            </w:tcBorders>
            <w:shd w:val="clear" w:color="auto" w:fill="auto"/>
            <w:noWrap/>
            <w:vAlign w:val="center"/>
          </w:tcPr>
          <w:p w14:paraId="5CE1707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196" w:type="pct"/>
            <w:tcBorders>
              <w:top w:val="nil"/>
              <w:left w:val="nil"/>
              <w:bottom w:val="single" w:color="auto" w:sz="4" w:space="0"/>
              <w:right w:val="single" w:color="auto" w:sz="4" w:space="0"/>
            </w:tcBorders>
            <w:shd w:val="clear" w:color="auto" w:fill="auto"/>
            <w:noWrap/>
            <w:vAlign w:val="center"/>
          </w:tcPr>
          <w:p w14:paraId="49E2AD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0" w:type="pct"/>
            <w:tcBorders>
              <w:top w:val="nil"/>
              <w:left w:val="nil"/>
              <w:bottom w:val="single" w:color="auto" w:sz="4" w:space="0"/>
              <w:right w:val="single" w:color="auto" w:sz="4" w:space="0"/>
            </w:tcBorders>
            <w:shd w:val="clear" w:color="auto" w:fill="auto"/>
            <w:noWrap/>
            <w:vAlign w:val="center"/>
          </w:tcPr>
          <w:p w14:paraId="16123E4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15" w:type="pct"/>
            <w:tcBorders>
              <w:top w:val="nil"/>
              <w:left w:val="nil"/>
              <w:bottom w:val="single" w:color="auto" w:sz="4" w:space="0"/>
              <w:right w:val="single" w:color="auto" w:sz="4" w:space="0"/>
            </w:tcBorders>
            <w:shd w:val="clear" w:color="auto" w:fill="auto"/>
            <w:noWrap/>
            <w:vAlign w:val="center"/>
          </w:tcPr>
          <w:p w14:paraId="45DEAB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17" w:type="pct"/>
            <w:tcBorders>
              <w:top w:val="nil"/>
              <w:left w:val="nil"/>
              <w:bottom w:val="single" w:color="auto" w:sz="4" w:space="0"/>
              <w:right w:val="single" w:color="auto" w:sz="4" w:space="0"/>
            </w:tcBorders>
            <w:shd w:val="clear" w:color="auto" w:fill="auto"/>
            <w:noWrap/>
            <w:vAlign w:val="center"/>
          </w:tcPr>
          <w:p w14:paraId="034FC8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667" w:type="pct"/>
            <w:tcBorders>
              <w:top w:val="nil"/>
              <w:left w:val="nil"/>
              <w:bottom w:val="single" w:color="auto" w:sz="4" w:space="0"/>
              <w:right w:val="single" w:color="auto" w:sz="4" w:space="0"/>
            </w:tcBorders>
            <w:shd w:val="clear" w:color="auto" w:fill="auto"/>
            <w:noWrap/>
            <w:vAlign w:val="center"/>
          </w:tcPr>
          <w:p w14:paraId="748621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3CD297A">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5B31BD73">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一、一般公共预算财政拨款</w:t>
            </w:r>
          </w:p>
        </w:tc>
        <w:tc>
          <w:tcPr>
            <w:tcW w:w="224" w:type="pct"/>
            <w:tcBorders>
              <w:top w:val="nil"/>
              <w:left w:val="nil"/>
              <w:bottom w:val="single" w:color="auto" w:sz="4" w:space="0"/>
              <w:right w:val="single" w:color="auto" w:sz="4" w:space="0"/>
            </w:tcBorders>
            <w:shd w:val="clear" w:color="auto" w:fill="auto"/>
            <w:noWrap/>
            <w:vAlign w:val="top"/>
          </w:tcPr>
          <w:p w14:paraId="0EB9BD2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w:t>
            </w:r>
          </w:p>
        </w:tc>
        <w:tc>
          <w:tcPr>
            <w:tcW w:w="285" w:type="pct"/>
            <w:tcBorders>
              <w:top w:val="nil"/>
              <w:left w:val="nil"/>
              <w:bottom w:val="single" w:color="auto" w:sz="4" w:space="0"/>
              <w:right w:val="single" w:color="auto" w:sz="4" w:space="0"/>
            </w:tcBorders>
            <w:shd w:val="clear" w:color="auto" w:fill="auto"/>
            <w:noWrap/>
            <w:vAlign w:val="center"/>
          </w:tcPr>
          <w:p w14:paraId="3673E014">
            <w:pPr>
              <w:widowControl/>
              <w:jc w:val="righ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616.91</w:t>
            </w: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361CEA77">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一、一般公共服务支出</w:t>
            </w:r>
          </w:p>
        </w:tc>
        <w:tc>
          <w:tcPr>
            <w:tcW w:w="196" w:type="pct"/>
            <w:tcBorders>
              <w:top w:val="nil"/>
              <w:left w:val="nil"/>
              <w:bottom w:val="single" w:color="auto" w:sz="4" w:space="0"/>
              <w:right w:val="single" w:color="auto" w:sz="4" w:space="0"/>
            </w:tcBorders>
            <w:shd w:val="clear" w:color="auto" w:fill="auto"/>
            <w:noWrap/>
            <w:vAlign w:val="top"/>
          </w:tcPr>
          <w:p w14:paraId="164A0B5D">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26</w:t>
            </w:r>
          </w:p>
        </w:tc>
        <w:tc>
          <w:tcPr>
            <w:tcW w:w="260" w:type="pct"/>
            <w:tcBorders>
              <w:top w:val="nil"/>
              <w:left w:val="nil"/>
              <w:bottom w:val="single" w:color="auto" w:sz="4" w:space="0"/>
              <w:right w:val="single" w:color="auto" w:sz="4" w:space="0"/>
            </w:tcBorders>
            <w:shd w:val="clear" w:color="auto" w:fill="auto"/>
            <w:noWrap/>
            <w:vAlign w:val="center"/>
          </w:tcPr>
          <w:p w14:paraId="4FD1310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22304A3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13EA01D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5A7D3B78">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3D7DE171">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6F9EF545">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二、政府性基金预算财政拨款</w:t>
            </w:r>
          </w:p>
        </w:tc>
        <w:tc>
          <w:tcPr>
            <w:tcW w:w="224" w:type="pct"/>
            <w:tcBorders>
              <w:top w:val="nil"/>
              <w:left w:val="nil"/>
              <w:bottom w:val="single" w:color="auto" w:sz="4" w:space="0"/>
              <w:right w:val="single" w:color="auto" w:sz="4" w:space="0"/>
            </w:tcBorders>
            <w:shd w:val="clear" w:color="auto" w:fill="auto"/>
            <w:noWrap/>
            <w:vAlign w:val="top"/>
          </w:tcPr>
          <w:p w14:paraId="5C2D0EFB">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w:t>
            </w:r>
          </w:p>
        </w:tc>
        <w:tc>
          <w:tcPr>
            <w:tcW w:w="285" w:type="pct"/>
            <w:tcBorders>
              <w:top w:val="nil"/>
              <w:left w:val="nil"/>
              <w:bottom w:val="single" w:color="auto" w:sz="4" w:space="0"/>
              <w:right w:val="single" w:color="auto" w:sz="4" w:space="0"/>
            </w:tcBorders>
            <w:shd w:val="clear" w:color="auto" w:fill="auto"/>
            <w:noWrap/>
            <w:vAlign w:val="center"/>
          </w:tcPr>
          <w:p w14:paraId="417EF1B8">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0DCCAED0">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二、外交支出</w:t>
            </w:r>
          </w:p>
        </w:tc>
        <w:tc>
          <w:tcPr>
            <w:tcW w:w="196" w:type="pct"/>
            <w:tcBorders>
              <w:top w:val="nil"/>
              <w:left w:val="nil"/>
              <w:bottom w:val="single" w:color="auto" w:sz="4" w:space="0"/>
              <w:right w:val="single" w:color="auto" w:sz="4" w:space="0"/>
            </w:tcBorders>
            <w:shd w:val="clear" w:color="auto" w:fill="auto"/>
            <w:noWrap/>
            <w:vAlign w:val="top"/>
          </w:tcPr>
          <w:p w14:paraId="64758CD3">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27</w:t>
            </w:r>
          </w:p>
        </w:tc>
        <w:tc>
          <w:tcPr>
            <w:tcW w:w="260" w:type="pct"/>
            <w:tcBorders>
              <w:top w:val="nil"/>
              <w:left w:val="nil"/>
              <w:bottom w:val="single" w:color="auto" w:sz="4" w:space="0"/>
              <w:right w:val="single" w:color="auto" w:sz="4" w:space="0"/>
            </w:tcBorders>
            <w:shd w:val="clear" w:color="auto" w:fill="auto"/>
            <w:noWrap/>
            <w:vAlign w:val="center"/>
          </w:tcPr>
          <w:p w14:paraId="701F712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480166E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0AE685B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27068FDC">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A757984">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AAA648E">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三、国有资本经营预算财政拨款</w:t>
            </w:r>
          </w:p>
        </w:tc>
        <w:tc>
          <w:tcPr>
            <w:tcW w:w="224" w:type="pct"/>
            <w:tcBorders>
              <w:top w:val="nil"/>
              <w:left w:val="nil"/>
              <w:bottom w:val="single" w:color="auto" w:sz="4" w:space="0"/>
              <w:right w:val="single" w:color="auto" w:sz="4" w:space="0"/>
            </w:tcBorders>
            <w:shd w:val="clear" w:color="auto" w:fill="auto"/>
            <w:noWrap/>
            <w:vAlign w:val="top"/>
          </w:tcPr>
          <w:p w14:paraId="442628CB">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w:t>
            </w:r>
          </w:p>
        </w:tc>
        <w:tc>
          <w:tcPr>
            <w:tcW w:w="285" w:type="pct"/>
            <w:tcBorders>
              <w:top w:val="nil"/>
              <w:left w:val="nil"/>
              <w:bottom w:val="single" w:color="auto" w:sz="4" w:space="0"/>
              <w:right w:val="single" w:color="auto" w:sz="4" w:space="0"/>
            </w:tcBorders>
            <w:shd w:val="clear" w:color="auto" w:fill="auto"/>
            <w:noWrap/>
            <w:vAlign w:val="center"/>
          </w:tcPr>
          <w:p w14:paraId="1E7CA86D">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06F772CD">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三、国防支出</w:t>
            </w:r>
          </w:p>
        </w:tc>
        <w:tc>
          <w:tcPr>
            <w:tcW w:w="196" w:type="pct"/>
            <w:tcBorders>
              <w:top w:val="nil"/>
              <w:left w:val="nil"/>
              <w:bottom w:val="single" w:color="auto" w:sz="4" w:space="0"/>
              <w:right w:val="single" w:color="auto" w:sz="4" w:space="0"/>
            </w:tcBorders>
            <w:shd w:val="clear" w:color="auto" w:fill="auto"/>
            <w:noWrap/>
            <w:vAlign w:val="top"/>
          </w:tcPr>
          <w:p w14:paraId="4769ED18">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28</w:t>
            </w:r>
          </w:p>
        </w:tc>
        <w:tc>
          <w:tcPr>
            <w:tcW w:w="260" w:type="pct"/>
            <w:tcBorders>
              <w:top w:val="nil"/>
              <w:left w:val="nil"/>
              <w:bottom w:val="single" w:color="auto" w:sz="4" w:space="0"/>
              <w:right w:val="single" w:color="auto" w:sz="4" w:space="0"/>
            </w:tcBorders>
            <w:shd w:val="clear" w:color="auto" w:fill="auto"/>
            <w:noWrap/>
            <w:vAlign w:val="center"/>
          </w:tcPr>
          <w:p w14:paraId="718596C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60CE4CF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663ECC8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1BC8328D">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65B84092">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741024B7">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5F080A1E">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w:t>
            </w:r>
          </w:p>
        </w:tc>
        <w:tc>
          <w:tcPr>
            <w:tcW w:w="285" w:type="pct"/>
            <w:tcBorders>
              <w:top w:val="nil"/>
              <w:left w:val="nil"/>
              <w:bottom w:val="single" w:color="auto" w:sz="4" w:space="0"/>
              <w:right w:val="single" w:color="auto" w:sz="4" w:space="0"/>
            </w:tcBorders>
            <w:shd w:val="clear" w:color="auto" w:fill="auto"/>
            <w:noWrap/>
            <w:vAlign w:val="center"/>
          </w:tcPr>
          <w:p w14:paraId="164BFC80">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4790ABB9">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四、公共安全支出</w:t>
            </w:r>
          </w:p>
        </w:tc>
        <w:tc>
          <w:tcPr>
            <w:tcW w:w="196" w:type="pct"/>
            <w:tcBorders>
              <w:top w:val="nil"/>
              <w:left w:val="nil"/>
              <w:bottom w:val="single" w:color="auto" w:sz="4" w:space="0"/>
              <w:right w:val="single" w:color="auto" w:sz="4" w:space="0"/>
            </w:tcBorders>
            <w:shd w:val="clear" w:color="auto" w:fill="auto"/>
            <w:noWrap/>
            <w:vAlign w:val="top"/>
          </w:tcPr>
          <w:p w14:paraId="22D83B8D">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29</w:t>
            </w:r>
          </w:p>
        </w:tc>
        <w:tc>
          <w:tcPr>
            <w:tcW w:w="260" w:type="pct"/>
            <w:tcBorders>
              <w:top w:val="nil"/>
              <w:left w:val="nil"/>
              <w:bottom w:val="single" w:color="auto" w:sz="4" w:space="0"/>
              <w:right w:val="single" w:color="auto" w:sz="4" w:space="0"/>
            </w:tcBorders>
            <w:shd w:val="clear" w:color="auto" w:fill="auto"/>
            <w:noWrap/>
            <w:vAlign w:val="center"/>
          </w:tcPr>
          <w:p w14:paraId="4018450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262BAB1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21C440D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3C0859BC">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68A829D">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360C97B9">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09021F61">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5</w:t>
            </w:r>
          </w:p>
        </w:tc>
        <w:tc>
          <w:tcPr>
            <w:tcW w:w="285" w:type="pct"/>
            <w:tcBorders>
              <w:top w:val="nil"/>
              <w:left w:val="nil"/>
              <w:bottom w:val="single" w:color="auto" w:sz="4" w:space="0"/>
              <w:right w:val="single" w:color="auto" w:sz="4" w:space="0"/>
            </w:tcBorders>
            <w:shd w:val="clear" w:color="auto" w:fill="auto"/>
            <w:noWrap/>
            <w:vAlign w:val="center"/>
          </w:tcPr>
          <w:p w14:paraId="03AB315A">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5D06666E">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五、教育支出</w:t>
            </w:r>
          </w:p>
        </w:tc>
        <w:tc>
          <w:tcPr>
            <w:tcW w:w="196" w:type="pct"/>
            <w:tcBorders>
              <w:top w:val="nil"/>
              <w:left w:val="nil"/>
              <w:bottom w:val="single" w:color="auto" w:sz="4" w:space="0"/>
              <w:right w:val="single" w:color="auto" w:sz="4" w:space="0"/>
            </w:tcBorders>
            <w:shd w:val="clear" w:color="auto" w:fill="auto"/>
            <w:noWrap/>
            <w:vAlign w:val="top"/>
          </w:tcPr>
          <w:p w14:paraId="5CBF49E3">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30</w:t>
            </w:r>
          </w:p>
        </w:tc>
        <w:tc>
          <w:tcPr>
            <w:tcW w:w="260" w:type="pct"/>
            <w:tcBorders>
              <w:top w:val="nil"/>
              <w:left w:val="nil"/>
              <w:bottom w:val="single" w:color="auto" w:sz="4" w:space="0"/>
              <w:right w:val="single" w:color="auto" w:sz="4" w:space="0"/>
            </w:tcBorders>
            <w:shd w:val="clear" w:color="auto" w:fill="auto"/>
            <w:noWrap/>
            <w:vAlign w:val="center"/>
          </w:tcPr>
          <w:p w14:paraId="28A4F4E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4775713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7E46F94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3A29D895">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39FB29F1">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4F28B28">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7E2BDF38">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w:t>
            </w:r>
          </w:p>
        </w:tc>
        <w:tc>
          <w:tcPr>
            <w:tcW w:w="285" w:type="pct"/>
            <w:tcBorders>
              <w:top w:val="nil"/>
              <w:left w:val="nil"/>
              <w:bottom w:val="single" w:color="auto" w:sz="4" w:space="0"/>
              <w:right w:val="single" w:color="auto" w:sz="4" w:space="0"/>
            </w:tcBorders>
            <w:shd w:val="clear" w:color="auto" w:fill="auto"/>
            <w:noWrap/>
            <w:vAlign w:val="center"/>
          </w:tcPr>
          <w:p w14:paraId="438497C1">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4873548F">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六、科学技术支出</w:t>
            </w:r>
          </w:p>
        </w:tc>
        <w:tc>
          <w:tcPr>
            <w:tcW w:w="196" w:type="pct"/>
            <w:tcBorders>
              <w:top w:val="nil"/>
              <w:left w:val="nil"/>
              <w:bottom w:val="single" w:color="auto" w:sz="4" w:space="0"/>
              <w:right w:val="single" w:color="auto" w:sz="4" w:space="0"/>
            </w:tcBorders>
            <w:shd w:val="clear" w:color="auto" w:fill="auto"/>
            <w:noWrap/>
            <w:vAlign w:val="top"/>
          </w:tcPr>
          <w:p w14:paraId="7A6DC1A9">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31</w:t>
            </w:r>
          </w:p>
        </w:tc>
        <w:tc>
          <w:tcPr>
            <w:tcW w:w="260" w:type="pct"/>
            <w:tcBorders>
              <w:top w:val="nil"/>
              <w:left w:val="nil"/>
              <w:bottom w:val="single" w:color="auto" w:sz="4" w:space="0"/>
              <w:right w:val="single" w:color="auto" w:sz="4" w:space="0"/>
            </w:tcBorders>
            <w:shd w:val="clear" w:color="auto" w:fill="auto"/>
            <w:noWrap/>
            <w:vAlign w:val="center"/>
          </w:tcPr>
          <w:p w14:paraId="407D15D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1664C1C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4E98103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472B9957">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6AF03A76">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CCC059F">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2A50C0AA">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7</w:t>
            </w:r>
          </w:p>
        </w:tc>
        <w:tc>
          <w:tcPr>
            <w:tcW w:w="285" w:type="pct"/>
            <w:tcBorders>
              <w:top w:val="nil"/>
              <w:left w:val="nil"/>
              <w:bottom w:val="single" w:color="auto" w:sz="4" w:space="0"/>
              <w:right w:val="single" w:color="auto" w:sz="4" w:space="0"/>
            </w:tcBorders>
            <w:shd w:val="clear" w:color="auto" w:fill="auto"/>
            <w:noWrap/>
            <w:vAlign w:val="center"/>
          </w:tcPr>
          <w:p w14:paraId="2BD1E814">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top"/>
          </w:tcPr>
          <w:p w14:paraId="4CE8481C">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七、文化旅游体育与传媒支出</w:t>
            </w:r>
          </w:p>
        </w:tc>
        <w:tc>
          <w:tcPr>
            <w:tcW w:w="196" w:type="pct"/>
            <w:tcBorders>
              <w:top w:val="nil"/>
              <w:left w:val="nil"/>
              <w:bottom w:val="single" w:color="auto" w:sz="4" w:space="0"/>
              <w:right w:val="single" w:color="auto" w:sz="4" w:space="0"/>
            </w:tcBorders>
            <w:shd w:val="clear" w:color="auto" w:fill="auto"/>
            <w:noWrap/>
            <w:vAlign w:val="top"/>
          </w:tcPr>
          <w:p w14:paraId="4455C1AB">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32</w:t>
            </w:r>
          </w:p>
        </w:tc>
        <w:tc>
          <w:tcPr>
            <w:tcW w:w="260" w:type="pct"/>
            <w:tcBorders>
              <w:top w:val="nil"/>
              <w:left w:val="nil"/>
              <w:bottom w:val="single" w:color="auto" w:sz="4" w:space="0"/>
              <w:right w:val="single" w:color="auto" w:sz="4" w:space="0"/>
            </w:tcBorders>
            <w:shd w:val="clear" w:color="auto" w:fill="auto"/>
            <w:noWrap/>
            <w:vAlign w:val="center"/>
          </w:tcPr>
          <w:p w14:paraId="53822BF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68ADFF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48E71A9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6CC54E87">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AC56E4D">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7E0A4D48">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692BC42B">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8</w:t>
            </w:r>
          </w:p>
        </w:tc>
        <w:tc>
          <w:tcPr>
            <w:tcW w:w="285" w:type="pct"/>
            <w:tcBorders>
              <w:top w:val="nil"/>
              <w:left w:val="nil"/>
              <w:bottom w:val="single" w:color="auto" w:sz="4" w:space="0"/>
              <w:right w:val="single" w:color="auto" w:sz="4" w:space="0"/>
            </w:tcBorders>
            <w:shd w:val="clear" w:color="auto" w:fill="auto"/>
            <w:noWrap/>
            <w:vAlign w:val="center"/>
          </w:tcPr>
          <w:p w14:paraId="4CE1ABF3">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339A2762">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八、社会保障和就业支出</w:t>
            </w:r>
          </w:p>
        </w:tc>
        <w:tc>
          <w:tcPr>
            <w:tcW w:w="196" w:type="pct"/>
            <w:tcBorders>
              <w:top w:val="nil"/>
              <w:left w:val="nil"/>
              <w:bottom w:val="single" w:color="auto" w:sz="4" w:space="0"/>
              <w:right w:val="single" w:color="auto" w:sz="4" w:space="0"/>
            </w:tcBorders>
            <w:shd w:val="clear" w:color="auto" w:fill="auto"/>
            <w:noWrap/>
            <w:vAlign w:val="top"/>
          </w:tcPr>
          <w:p w14:paraId="4E605D33">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33</w:t>
            </w:r>
          </w:p>
        </w:tc>
        <w:tc>
          <w:tcPr>
            <w:tcW w:w="260" w:type="pct"/>
            <w:tcBorders>
              <w:top w:val="nil"/>
              <w:left w:val="nil"/>
              <w:bottom w:val="single" w:color="auto" w:sz="4" w:space="0"/>
              <w:right w:val="single" w:color="auto" w:sz="4" w:space="0"/>
            </w:tcBorders>
            <w:shd w:val="clear" w:color="auto" w:fill="auto"/>
            <w:noWrap/>
            <w:vAlign w:val="top"/>
          </w:tcPr>
          <w:p w14:paraId="3B39D78E">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290.19</w:t>
            </w:r>
          </w:p>
        </w:tc>
        <w:tc>
          <w:tcPr>
            <w:tcW w:w="615" w:type="pct"/>
            <w:tcBorders>
              <w:top w:val="nil"/>
              <w:left w:val="nil"/>
              <w:bottom w:val="single" w:color="auto" w:sz="4" w:space="0"/>
              <w:right w:val="single" w:color="auto" w:sz="4" w:space="0"/>
            </w:tcBorders>
            <w:shd w:val="clear" w:color="auto" w:fill="auto"/>
            <w:noWrap/>
            <w:vAlign w:val="top"/>
          </w:tcPr>
          <w:p w14:paraId="27A6BFCE">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290.19</w:t>
            </w:r>
          </w:p>
        </w:tc>
        <w:tc>
          <w:tcPr>
            <w:tcW w:w="617" w:type="pct"/>
            <w:tcBorders>
              <w:top w:val="nil"/>
              <w:left w:val="nil"/>
              <w:bottom w:val="single" w:color="auto" w:sz="4" w:space="0"/>
              <w:right w:val="single" w:color="auto" w:sz="4" w:space="0"/>
            </w:tcBorders>
            <w:shd w:val="clear" w:color="auto" w:fill="auto"/>
            <w:noWrap/>
            <w:vAlign w:val="center"/>
          </w:tcPr>
          <w:p w14:paraId="0F9F7A7D">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2C0E0574">
            <w:pPr>
              <w:widowControl/>
              <w:jc w:val="right"/>
              <w:rPr>
                <w:rFonts w:ascii="Times New Roman" w:hAnsi="Times New Roman" w:eastAsia="仿宋_GB2312" w:cs="Times New Roman"/>
                <w:kern w:val="0"/>
                <w:sz w:val="20"/>
                <w:szCs w:val="20"/>
              </w:rPr>
            </w:pPr>
          </w:p>
        </w:tc>
      </w:tr>
      <w:tr w14:paraId="17E04F87">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BFBD4C9">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6E19CF3E">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9</w:t>
            </w:r>
          </w:p>
        </w:tc>
        <w:tc>
          <w:tcPr>
            <w:tcW w:w="285" w:type="pct"/>
            <w:tcBorders>
              <w:top w:val="nil"/>
              <w:left w:val="nil"/>
              <w:bottom w:val="single" w:color="auto" w:sz="4" w:space="0"/>
              <w:right w:val="single" w:color="auto" w:sz="4" w:space="0"/>
            </w:tcBorders>
            <w:shd w:val="clear" w:color="auto" w:fill="auto"/>
            <w:noWrap/>
            <w:vAlign w:val="center"/>
          </w:tcPr>
          <w:p w14:paraId="15B5C237">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00FA64AB">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九、卫生健康支出</w:t>
            </w:r>
          </w:p>
        </w:tc>
        <w:tc>
          <w:tcPr>
            <w:tcW w:w="196" w:type="pct"/>
            <w:tcBorders>
              <w:top w:val="nil"/>
              <w:left w:val="nil"/>
              <w:bottom w:val="single" w:color="auto" w:sz="4" w:space="0"/>
              <w:right w:val="single" w:color="auto" w:sz="4" w:space="0"/>
            </w:tcBorders>
            <w:shd w:val="clear" w:color="auto" w:fill="auto"/>
            <w:noWrap/>
            <w:vAlign w:val="top"/>
          </w:tcPr>
          <w:p w14:paraId="3427CB96">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34</w:t>
            </w:r>
          </w:p>
        </w:tc>
        <w:tc>
          <w:tcPr>
            <w:tcW w:w="260" w:type="pct"/>
            <w:tcBorders>
              <w:top w:val="nil"/>
              <w:left w:val="nil"/>
              <w:bottom w:val="single" w:color="auto" w:sz="4" w:space="0"/>
              <w:right w:val="single" w:color="auto" w:sz="4" w:space="0"/>
            </w:tcBorders>
            <w:shd w:val="clear" w:color="auto" w:fill="auto"/>
            <w:noWrap/>
            <w:vAlign w:val="top"/>
          </w:tcPr>
          <w:p w14:paraId="4859EA7A">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326.17</w:t>
            </w:r>
          </w:p>
        </w:tc>
        <w:tc>
          <w:tcPr>
            <w:tcW w:w="615" w:type="pct"/>
            <w:tcBorders>
              <w:top w:val="nil"/>
              <w:left w:val="nil"/>
              <w:bottom w:val="single" w:color="auto" w:sz="4" w:space="0"/>
              <w:right w:val="single" w:color="auto" w:sz="4" w:space="0"/>
            </w:tcBorders>
            <w:shd w:val="clear" w:color="auto" w:fill="auto"/>
            <w:noWrap/>
            <w:vAlign w:val="top"/>
          </w:tcPr>
          <w:p w14:paraId="327A4084">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326.17</w:t>
            </w:r>
          </w:p>
        </w:tc>
        <w:tc>
          <w:tcPr>
            <w:tcW w:w="617" w:type="pct"/>
            <w:tcBorders>
              <w:top w:val="nil"/>
              <w:left w:val="nil"/>
              <w:bottom w:val="single" w:color="auto" w:sz="4" w:space="0"/>
              <w:right w:val="single" w:color="auto" w:sz="4" w:space="0"/>
            </w:tcBorders>
            <w:shd w:val="clear" w:color="auto" w:fill="auto"/>
            <w:noWrap/>
            <w:vAlign w:val="center"/>
          </w:tcPr>
          <w:p w14:paraId="604A3D2D">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42CD32C2">
            <w:pPr>
              <w:widowControl/>
              <w:jc w:val="right"/>
              <w:rPr>
                <w:rFonts w:ascii="Times New Roman" w:hAnsi="Times New Roman" w:eastAsia="仿宋_GB2312" w:cs="Times New Roman"/>
                <w:kern w:val="0"/>
                <w:sz w:val="20"/>
                <w:szCs w:val="20"/>
              </w:rPr>
            </w:pPr>
          </w:p>
        </w:tc>
      </w:tr>
      <w:tr w14:paraId="36CA88A0">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25056AE">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277D855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10</w:t>
            </w:r>
          </w:p>
        </w:tc>
        <w:tc>
          <w:tcPr>
            <w:tcW w:w="285" w:type="pct"/>
            <w:tcBorders>
              <w:top w:val="nil"/>
              <w:left w:val="nil"/>
              <w:bottom w:val="single" w:color="auto" w:sz="4" w:space="0"/>
              <w:right w:val="single" w:color="auto" w:sz="4" w:space="0"/>
            </w:tcBorders>
            <w:shd w:val="clear" w:color="auto" w:fill="auto"/>
            <w:noWrap/>
            <w:vAlign w:val="center"/>
          </w:tcPr>
          <w:p w14:paraId="44A2E350">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352F7148">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十、节能环保支出</w:t>
            </w:r>
          </w:p>
        </w:tc>
        <w:tc>
          <w:tcPr>
            <w:tcW w:w="196" w:type="pct"/>
            <w:tcBorders>
              <w:top w:val="nil"/>
              <w:left w:val="nil"/>
              <w:bottom w:val="single" w:color="auto" w:sz="4" w:space="0"/>
              <w:right w:val="single" w:color="auto" w:sz="4" w:space="0"/>
            </w:tcBorders>
            <w:shd w:val="clear" w:color="auto" w:fill="auto"/>
            <w:noWrap/>
            <w:vAlign w:val="top"/>
          </w:tcPr>
          <w:p w14:paraId="284A89F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35</w:t>
            </w:r>
          </w:p>
        </w:tc>
        <w:tc>
          <w:tcPr>
            <w:tcW w:w="260" w:type="pct"/>
            <w:tcBorders>
              <w:top w:val="nil"/>
              <w:left w:val="nil"/>
              <w:bottom w:val="single" w:color="auto" w:sz="4" w:space="0"/>
              <w:right w:val="single" w:color="auto" w:sz="4" w:space="0"/>
            </w:tcBorders>
            <w:shd w:val="clear" w:color="auto" w:fill="auto"/>
            <w:noWrap/>
            <w:vAlign w:val="center"/>
          </w:tcPr>
          <w:p w14:paraId="7B84C774">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709BF65D">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03C2E537">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43F19447">
            <w:pPr>
              <w:widowControl/>
              <w:jc w:val="right"/>
              <w:rPr>
                <w:rFonts w:ascii="Times New Roman" w:hAnsi="Times New Roman" w:eastAsia="仿宋_GB2312" w:cs="Times New Roman"/>
                <w:kern w:val="0"/>
                <w:sz w:val="20"/>
                <w:szCs w:val="20"/>
              </w:rPr>
            </w:pPr>
          </w:p>
        </w:tc>
      </w:tr>
      <w:tr w14:paraId="1BC88D09">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67FA041">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5D75FE82">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11</w:t>
            </w:r>
          </w:p>
        </w:tc>
        <w:tc>
          <w:tcPr>
            <w:tcW w:w="285" w:type="pct"/>
            <w:tcBorders>
              <w:top w:val="nil"/>
              <w:left w:val="nil"/>
              <w:bottom w:val="single" w:color="auto" w:sz="4" w:space="0"/>
              <w:right w:val="single" w:color="auto" w:sz="4" w:space="0"/>
            </w:tcBorders>
            <w:shd w:val="clear" w:color="auto" w:fill="auto"/>
            <w:noWrap/>
            <w:vAlign w:val="center"/>
          </w:tcPr>
          <w:p w14:paraId="4E3EBB66">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3191833D">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十一、城乡社区支出</w:t>
            </w:r>
          </w:p>
        </w:tc>
        <w:tc>
          <w:tcPr>
            <w:tcW w:w="196" w:type="pct"/>
            <w:tcBorders>
              <w:top w:val="nil"/>
              <w:left w:val="nil"/>
              <w:bottom w:val="single" w:color="auto" w:sz="4" w:space="0"/>
              <w:right w:val="single" w:color="auto" w:sz="4" w:space="0"/>
            </w:tcBorders>
            <w:shd w:val="clear" w:color="auto" w:fill="auto"/>
            <w:noWrap/>
            <w:vAlign w:val="top"/>
          </w:tcPr>
          <w:p w14:paraId="3FD90581">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36</w:t>
            </w:r>
          </w:p>
        </w:tc>
        <w:tc>
          <w:tcPr>
            <w:tcW w:w="260" w:type="pct"/>
            <w:tcBorders>
              <w:top w:val="nil"/>
              <w:left w:val="nil"/>
              <w:bottom w:val="single" w:color="auto" w:sz="4" w:space="0"/>
              <w:right w:val="single" w:color="auto" w:sz="4" w:space="0"/>
            </w:tcBorders>
            <w:shd w:val="clear" w:color="auto" w:fill="auto"/>
            <w:noWrap/>
            <w:vAlign w:val="center"/>
          </w:tcPr>
          <w:p w14:paraId="09C58E54">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32C2E8CB">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21764E80">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4414DF1D">
            <w:pPr>
              <w:widowControl/>
              <w:jc w:val="right"/>
              <w:rPr>
                <w:rFonts w:ascii="Times New Roman" w:hAnsi="Times New Roman" w:eastAsia="仿宋_GB2312" w:cs="Times New Roman"/>
                <w:kern w:val="0"/>
                <w:sz w:val="20"/>
                <w:szCs w:val="20"/>
              </w:rPr>
            </w:pPr>
          </w:p>
        </w:tc>
      </w:tr>
      <w:tr w14:paraId="1580EFA6">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B7926E3">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0C8762A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12</w:t>
            </w:r>
          </w:p>
        </w:tc>
        <w:tc>
          <w:tcPr>
            <w:tcW w:w="285" w:type="pct"/>
            <w:tcBorders>
              <w:top w:val="nil"/>
              <w:left w:val="nil"/>
              <w:bottom w:val="single" w:color="auto" w:sz="4" w:space="0"/>
              <w:right w:val="single" w:color="auto" w:sz="4" w:space="0"/>
            </w:tcBorders>
            <w:shd w:val="clear" w:color="auto" w:fill="auto"/>
            <w:noWrap/>
            <w:vAlign w:val="center"/>
          </w:tcPr>
          <w:p w14:paraId="07D757C2">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28DD17B9">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十二、农林水支出</w:t>
            </w:r>
          </w:p>
        </w:tc>
        <w:tc>
          <w:tcPr>
            <w:tcW w:w="196" w:type="pct"/>
            <w:tcBorders>
              <w:top w:val="nil"/>
              <w:left w:val="nil"/>
              <w:bottom w:val="single" w:color="auto" w:sz="4" w:space="0"/>
              <w:right w:val="single" w:color="auto" w:sz="4" w:space="0"/>
            </w:tcBorders>
            <w:shd w:val="clear" w:color="auto" w:fill="auto"/>
            <w:noWrap/>
            <w:vAlign w:val="top"/>
          </w:tcPr>
          <w:p w14:paraId="7CDE9279">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37</w:t>
            </w:r>
          </w:p>
        </w:tc>
        <w:tc>
          <w:tcPr>
            <w:tcW w:w="260" w:type="pct"/>
            <w:tcBorders>
              <w:top w:val="nil"/>
              <w:left w:val="nil"/>
              <w:bottom w:val="single" w:color="auto" w:sz="4" w:space="0"/>
              <w:right w:val="single" w:color="auto" w:sz="4" w:space="0"/>
            </w:tcBorders>
            <w:shd w:val="clear" w:color="auto" w:fill="auto"/>
            <w:noWrap/>
            <w:vAlign w:val="center"/>
          </w:tcPr>
          <w:p w14:paraId="4C6B66EE">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33CAE829">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49A59A28">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3AAEF9B3">
            <w:pPr>
              <w:widowControl/>
              <w:jc w:val="right"/>
              <w:rPr>
                <w:rFonts w:ascii="Times New Roman" w:hAnsi="Times New Roman" w:eastAsia="仿宋_GB2312" w:cs="Times New Roman"/>
                <w:kern w:val="0"/>
                <w:sz w:val="20"/>
                <w:szCs w:val="20"/>
              </w:rPr>
            </w:pPr>
          </w:p>
        </w:tc>
      </w:tr>
      <w:tr w14:paraId="65DACD8C">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3FB4CD6B">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7AB9583C">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13</w:t>
            </w:r>
          </w:p>
        </w:tc>
        <w:tc>
          <w:tcPr>
            <w:tcW w:w="285" w:type="pct"/>
            <w:tcBorders>
              <w:top w:val="nil"/>
              <w:left w:val="nil"/>
              <w:bottom w:val="single" w:color="auto" w:sz="4" w:space="0"/>
              <w:right w:val="single" w:color="auto" w:sz="4" w:space="0"/>
            </w:tcBorders>
            <w:shd w:val="clear" w:color="auto" w:fill="auto"/>
            <w:noWrap/>
            <w:vAlign w:val="center"/>
          </w:tcPr>
          <w:p w14:paraId="53D608D9">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1D9E4387">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十三、交通运输支出</w:t>
            </w:r>
          </w:p>
        </w:tc>
        <w:tc>
          <w:tcPr>
            <w:tcW w:w="196" w:type="pct"/>
            <w:tcBorders>
              <w:top w:val="nil"/>
              <w:left w:val="nil"/>
              <w:bottom w:val="single" w:color="auto" w:sz="4" w:space="0"/>
              <w:right w:val="single" w:color="auto" w:sz="4" w:space="0"/>
            </w:tcBorders>
            <w:shd w:val="clear" w:color="auto" w:fill="auto"/>
            <w:noWrap/>
            <w:vAlign w:val="top"/>
          </w:tcPr>
          <w:p w14:paraId="6D538876">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38</w:t>
            </w:r>
          </w:p>
        </w:tc>
        <w:tc>
          <w:tcPr>
            <w:tcW w:w="260" w:type="pct"/>
            <w:tcBorders>
              <w:top w:val="nil"/>
              <w:left w:val="nil"/>
              <w:bottom w:val="single" w:color="auto" w:sz="4" w:space="0"/>
              <w:right w:val="single" w:color="auto" w:sz="4" w:space="0"/>
            </w:tcBorders>
            <w:shd w:val="clear" w:color="auto" w:fill="auto"/>
            <w:noWrap/>
            <w:vAlign w:val="center"/>
          </w:tcPr>
          <w:p w14:paraId="536C4B97">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0557EF50">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4B4B8319">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207C84A2">
            <w:pPr>
              <w:widowControl/>
              <w:jc w:val="right"/>
              <w:rPr>
                <w:rFonts w:ascii="Times New Roman" w:hAnsi="Times New Roman" w:eastAsia="仿宋_GB2312" w:cs="Times New Roman"/>
                <w:kern w:val="0"/>
                <w:sz w:val="20"/>
                <w:szCs w:val="20"/>
              </w:rPr>
            </w:pPr>
          </w:p>
        </w:tc>
      </w:tr>
      <w:tr w14:paraId="43F6F541">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31A1BB03">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187A91A7">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14</w:t>
            </w:r>
          </w:p>
        </w:tc>
        <w:tc>
          <w:tcPr>
            <w:tcW w:w="285" w:type="pct"/>
            <w:tcBorders>
              <w:top w:val="nil"/>
              <w:left w:val="nil"/>
              <w:bottom w:val="single" w:color="auto" w:sz="4" w:space="0"/>
              <w:right w:val="single" w:color="auto" w:sz="4" w:space="0"/>
            </w:tcBorders>
            <w:shd w:val="clear" w:color="auto" w:fill="auto"/>
            <w:noWrap/>
            <w:vAlign w:val="center"/>
          </w:tcPr>
          <w:p w14:paraId="711E58B2">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48BC4D18">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十四、资源勘探工业信息等支出</w:t>
            </w:r>
          </w:p>
        </w:tc>
        <w:tc>
          <w:tcPr>
            <w:tcW w:w="196" w:type="pct"/>
            <w:tcBorders>
              <w:top w:val="nil"/>
              <w:left w:val="nil"/>
              <w:bottom w:val="single" w:color="auto" w:sz="4" w:space="0"/>
              <w:right w:val="single" w:color="auto" w:sz="4" w:space="0"/>
            </w:tcBorders>
            <w:shd w:val="clear" w:color="auto" w:fill="auto"/>
            <w:noWrap/>
            <w:vAlign w:val="top"/>
          </w:tcPr>
          <w:p w14:paraId="745D5FAD">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39</w:t>
            </w:r>
          </w:p>
        </w:tc>
        <w:tc>
          <w:tcPr>
            <w:tcW w:w="260" w:type="pct"/>
            <w:tcBorders>
              <w:top w:val="nil"/>
              <w:left w:val="nil"/>
              <w:bottom w:val="single" w:color="auto" w:sz="4" w:space="0"/>
              <w:right w:val="single" w:color="auto" w:sz="4" w:space="0"/>
            </w:tcBorders>
            <w:shd w:val="clear" w:color="auto" w:fill="auto"/>
            <w:noWrap/>
            <w:vAlign w:val="center"/>
          </w:tcPr>
          <w:p w14:paraId="6AE0778D">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6EDCE6A6">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315FB789">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03F4ADB9">
            <w:pPr>
              <w:widowControl/>
              <w:jc w:val="right"/>
              <w:rPr>
                <w:rFonts w:ascii="Times New Roman" w:hAnsi="Times New Roman" w:eastAsia="仿宋_GB2312" w:cs="Times New Roman"/>
                <w:kern w:val="0"/>
                <w:sz w:val="20"/>
                <w:szCs w:val="20"/>
              </w:rPr>
            </w:pPr>
          </w:p>
        </w:tc>
      </w:tr>
      <w:tr w14:paraId="41BDCA58">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ADC2880">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5F295075">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15</w:t>
            </w:r>
          </w:p>
        </w:tc>
        <w:tc>
          <w:tcPr>
            <w:tcW w:w="285" w:type="pct"/>
            <w:tcBorders>
              <w:top w:val="nil"/>
              <w:left w:val="nil"/>
              <w:bottom w:val="single" w:color="auto" w:sz="4" w:space="0"/>
              <w:right w:val="single" w:color="auto" w:sz="4" w:space="0"/>
            </w:tcBorders>
            <w:shd w:val="clear" w:color="auto" w:fill="auto"/>
            <w:noWrap/>
            <w:vAlign w:val="center"/>
          </w:tcPr>
          <w:p w14:paraId="1DDEC709">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6DC2CD08">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十五、商业服务业等支出</w:t>
            </w:r>
          </w:p>
        </w:tc>
        <w:tc>
          <w:tcPr>
            <w:tcW w:w="196" w:type="pct"/>
            <w:tcBorders>
              <w:top w:val="nil"/>
              <w:left w:val="nil"/>
              <w:bottom w:val="single" w:color="auto" w:sz="4" w:space="0"/>
              <w:right w:val="single" w:color="auto" w:sz="4" w:space="0"/>
            </w:tcBorders>
            <w:shd w:val="clear" w:color="auto" w:fill="auto"/>
            <w:noWrap/>
            <w:vAlign w:val="top"/>
          </w:tcPr>
          <w:p w14:paraId="0264C20E">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40</w:t>
            </w:r>
          </w:p>
        </w:tc>
        <w:tc>
          <w:tcPr>
            <w:tcW w:w="260" w:type="pct"/>
            <w:tcBorders>
              <w:top w:val="nil"/>
              <w:left w:val="nil"/>
              <w:bottom w:val="single" w:color="auto" w:sz="4" w:space="0"/>
              <w:right w:val="single" w:color="auto" w:sz="4" w:space="0"/>
            </w:tcBorders>
            <w:shd w:val="clear" w:color="auto" w:fill="auto"/>
            <w:noWrap/>
            <w:vAlign w:val="center"/>
          </w:tcPr>
          <w:p w14:paraId="4C7B8662">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771678DF">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2ECF9CEC">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5B0D636D">
            <w:pPr>
              <w:widowControl/>
              <w:jc w:val="right"/>
              <w:rPr>
                <w:rFonts w:ascii="Times New Roman" w:hAnsi="Times New Roman" w:eastAsia="仿宋_GB2312" w:cs="Times New Roman"/>
                <w:kern w:val="0"/>
                <w:sz w:val="20"/>
                <w:szCs w:val="20"/>
              </w:rPr>
            </w:pPr>
          </w:p>
        </w:tc>
      </w:tr>
      <w:tr w14:paraId="488D7B28">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713B91DF">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3637463F">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16</w:t>
            </w:r>
          </w:p>
        </w:tc>
        <w:tc>
          <w:tcPr>
            <w:tcW w:w="285" w:type="pct"/>
            <w:tcBorders>
              <w:top w:val="nil"/>
              <w:left w:val="nil"/>
              <w:bottom w:val="single" w:color="auto" w:sz="4" w:space="0"/>
              <w:right w:val="single" w:color="auto" w:sz="4" w:space="0"/>
            </w:tcBorders>
            <w:shd w:val="clear" w:color="auto" w:fill="auto"/>
            <w:noWrap/>
            <w:vAlign w:val="center"/>
          </w:tcPr>
          <w:p w14:paraId="4A4DD52B">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191E1C24">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十六、金融支出</w:t>
            </w:r>
          </w:p>
        </w:tc>
        <w:tc>
          <w:tcPr>
            <w:tcW w:w="196" w:type="pct"/>
            <w:tcBorders>
              <w:top w:val="nil"/>
              <w:left w:val="nil"/>
              <w:bottom w:val="single" w:color="auto" w:sz="4" w:space="0"/>
              <w:right w:val="single" w:color="auto" w:sz="4" w:space="0"/>
            </w:tcBorders>
            <w:shd w:val="clear" w:color="auto" w:fill="auto"/>
            <w:noWrap/>
            <w:vAlign w:val="top"/>
          </w:tcPr>
          <w:p w14:paraId="6A0FD86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41</w:t>
            </w:r>
          </w:p>
        </w:tc>
        <w:tc>
          <w:tcPr>
            <w:tcW w:w="260" w:type="pct"/>
            <w:tcBorders>
              <w:top w:val="nil"/>
              <w:left w:val="nil"/>
              <w:bottom w:val="single" w:color="auto" w:sz="4" w:space="0"/>
              <w:right w:val="single" w:color="auto" w:sz="4" w:space="0"/>
            </w:tcBorders>
            <w:shd w:val="clear" w:color="auto" w:fill="auto"/>
            <w:noWrap/>
            <w:vAlign w:val="center"/>
          </w:tcPr>
          <w:p w14:paraId="3CD0694A">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164FBBC2">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625C5E09">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4F7BB516">
            <w:pPr>
              <w:widowControl/>
              <w:jc w:val="right"/>
              <w:rPr>
                <w:rFonts w:ascii="Times New Roman" w:hAnsi="Times New Roman" w:eastAsia="仿宋_GB2312" w:cs="Times New Roman"/>
                <w:kern w:val="0"/>
                <w:sz w:val="20"/>
                <w:szCs w:val="20"/>
              </w:rPr>
            </w:pPr>
          </w:p>
        </w:tc>
      </w:tr>
      <w:tr w14:paraId="6EEFFF04">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27A62B60">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478F02C2">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17</w:t>
            </w:r>
          </w:p>
        </w:tc>
        <w:tc>
          <w:tcPr>
            <w:tcW w:w="285" w:type="pct"/>
            <w:tcBorders>
              <w:top w:val="nil"/>
              <w:left w:val="nil"/>
              <w:bottom w:val="single" w:color="auto" w:sz="4" w:space="0"/>
              <w:right w:val="single" w:color="auto" w:sz="4" w:space="0"/>
            </w:tcBorders>
            <w:shd w:val="clear" w:color="auto" w:fill="auto"/>
            <w:noWrap/>
            <w:vAlign w:val="center"/>
          </w:tcPr>
          <w:p w14:paraId="3F368F4A">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40000BA1">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十七、援助其他地区支出</w:t>
            </w:r>
          </w:p>
        </w:tc>
        <w:tc>
          <w:tcPr>
            <w:tcW w:w="196" w:type="pct"/>
            <w:tcBorders>
              <w:top w:val="nil"/>
              <w:left w:val="nil"/>
              <w:bottom w:val="single" w:color="auto" w:sz="4" w:space="0"/>
              <w:right w:val="single" w:color="auto" w:sz="4" w:space="0"/>
            </w:tcBorders>
            <w:shd w:val="clear" w:color="auto" w:fill="auto"/>
            <w:noWrap/>
            <w:vAlign w:val="top"/>
          </w:tcPr>
          <w:p w14:paraId="121FFC20">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42</w:t>
            </w:r>
          </w:p>
        </w:tc>
        <w:tc>
          <w:tcPr>
            <w:tcW w:w="260" w:type="pct"/>
            <w:tcBorders>
              <w:top w:val="nil"/>
              <w:left w:val="nil"/>
              <w:bottom w:val="single" w:color="auto" w:sz="4" w:space="0"/>
              <w:right w:val="single" w:color="auto" w:sz="4" w:space="0"/>
            </w:tcBorders>
            <w:shd w:val="clear" w:color="auto" w:fill="auto"/>
            <w:noWrap/>
            <w:vAlign w:val="center"/>
          </w:tcPr>
          <w:p w14:paraId="69D3A8FC">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77E17784">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261E4B51">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1234722C">
            <w:pPr>
              <w:widowControl/>
              <w:jc w:val="right"/>
              <w:rPr>
                <w:rFonts w:ascii="Times New Roman" w:hAnsi="Times New Roman" w:eastAsia="仿宋_GB2312" w:cs="Times New Roman"/>
                <w:kern w:val="0"/>
                <w:sz w:val="20"/>
                <w:szCs w:val="20"/>
              </w:rPr>
            </w:pPr>
          </w:p>
        </w:tc>
      </w:tr>
      <w:tr w14:paraId="77ED9D3E">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6D3961F6">
            <w:pPr>
              <w:widowControl/>
              <w:jc w:val="left"/>
              <w:rPr>
                <w:rFonts w:ascii="Times New Roman" w:hAnsi="Times New Roman" w:eastAsia="仿宋_GB2312" w:cs="Times New Roman"/>
                <w:kern w:val="0"/>
                <w:sz w:val="20"/>
                <w:szCs w:val="20"/>
              </w:rPr>
            </w:pPr>
          </w:p>
        </w:tc>
        <w:tc>
          <w:tcPr>
            <w:tcW w:w="224" w:type="pct"/>
            <w:tcBorders>
              <w:top w:val="nil"/>
              <w:left w:val="nil"/>
              <w:bottom w:val="single" w:color="auto" w:sz="4" w:space="0"/>
              <w:right w:val="single" w:color="auto" w:sz="4" w:space="0"/>
            </w:tcBorders>
            <w:shd w:val="clear" w:color="auto" w:fill="auto"/>
            <w:noWrap/>
            <w:vAlign w:val="top"/>
          </w:tcPr>
          <w:p w14:paraId="6CD9F46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18</w:t>
            </w:r>
          </w:p>
        </w:tc>
        <w:tc>
          <w:tcPr>
            <w:tcW w:w="285" w:type="pct"/>
            <w:tcBorders>
              <w:top w:val="nil"/>
              <w:left w:val="nil"/>
              <w:bottom w:val="single" w:color="auto" w:sz="4" w:space="0"/>
              <w:right w:val="single" w:color="auto" w:sz="4" w:space="0"/>
            </w:tcBorders>
            <w:shd w:val="clear" w:color="auto" w:fill="auto"/>
            <w:noWrap/>
            <w:vAlign w:val="center"/>
          </w:tcPr>
          <w:p w14:paraId="686DA366">
            <w:pPr>
              <w:widowControl/>
              <w:jc w:val="right"/>
              <w:rPr>
                <w:rFonts w:ascii="Times New Roman" w:hAnsi="Times New Roman" w:eastAsia="仿宋_GB2312" w:cs="Times New Roman"/>
                <w:kern w:val="0"/>
                <w:sz w:val="20"/>
                <w:szCs w:val="20"/>
              </w:rPr>
            </w:pPr>
          </w:p>
        </w:tc>
        <w:tc>
          <w:tcPr>
            <w:tcW w:w="1033" w:type="pct"/>
            <w:tcBorders>
              <w:top w:val="nil"/>
              <w:left w:val="nil"/>
              <w:bottom w:val="single" w:color="auto" w:sz="4" w:space="0"/>
              <w:right w:val="single" w:color="auto" w:sz="4" w:space="0"/>
            </w:tcBorders>
            <w:shd w:val="clear" w:color="auto" w:fill="auto"/>
            <w:noWrap/>
            <w:vAlign w:val="top"/>
          </w:tcPr>
          <w:p w14:paraId="72CDF827">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十八、自然资源海洋气象等支出</w:t>
            </w:r>
          </w:p>
        </w:tc>
        <w:tc>
          <w:tcPr>
            <w:tcW w:w="196" w:type="pct"/>
            <w:tcBorders>
              <w:top w:val="nil"/>
              <w:left w:val="nil"/>
              <w:bottom w:val="single" w:color="auto" w:sz="4" w:space="0"/>
              <w:right w:val="single" w:color="auto" w:sz="4" w:space="0"/>
            </w:tcBorders>
            <w:shd w:val="clear" w:color="auto" w:fill="auto"/>
            <w:noWrap/>
            <w:vAlign w:val="top"/>
          </w:tcPr>
          <w:p w14:paraId="18E1A0D1">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43</w:t>
            </w:r>
          </w:p>
        </w:tc>
        <w:tc>
          <w:tcPr>
            <w:tcW w:w="260" w:type="pct"/>
            <w:tcBorders>
              <w:top w:val="nil"/>
              <w:left w:val="nil"/>
              <w:bottom w:val="single" w:color="auto" w:sz="4" w:space="0"/>
              <w:right w:val="single" w:color="auto" w:sz="4" w:space="0"/>
            </w:tcBorders>
            <w:shd w:val="clear" w:color="auto" w:fill="auto"/>
            <w:noWrap/>
            <w:vAlign w:val="center"/>
          </w:tcPr>
          <w:p w14:paraId="666AACA1">
            <w:pPr>
              <w:widowControl/>
              <w:jc w:val="center"/>
              <w:rPr>
                <w:rFonts w:ascii="Times New Roman" w:hAnsi="Times New Roman" w:eastAsia="仿宋_GB2312" w:cs="Times New Roman"/>
                <w:kern w:val="0"/>
                <w:sz w:val="20"/>
                <w:szCs w:val="20"/>
              </w:rPr>
            </w:pPr>
          </w:p>
        </w:tc>
        <w:tc>
          <w:tcPr>
            <w:tcW w:w="615" w:type="pct"/>
            <w:tcBorders>
              <w:top w:val="nil"/>
              <w:left w:val="nil"/>
              <w:bottom w:val="single" w:color="auto" w:sz="4" w:space="0"/>
              <w:right w:val="single" w:color="auto" w:sz="4" w:space="0"/>
            </w:tcBorders>
            <w:shd w:val="clear" w:color="auto" w:fill="auto"/>
            <w:noWrap/>
            <w:vAlign w:val="center"/>
          </w:tcPr>
          <w:p w14:paraId="6CAB8485">
            <w:pPr>
              <w:widowControl/>
              <w:jc w:val="center"/>
              <w:rPr>
                <w:rFonts w:ascii="Times New Roman" w:hAnsi="Times New Roman" w:eastAsia="仿宋_GB2312" w:cs="Times New Roman"/>
                <w:kern w:val="0"/>
                <w:sz w:val="20"/>
                <w:szCs w:val="20"/>
              </w:rPr>
            </w:pPr>
          </w:p>
        </w:tc>
        <w:tc>
          <w:tcPr>
            <w:tcW w:w="617" w:type="pct"/>
            <w:tcBorders>
              <w:top w:val="nil"/>
              <w:left w:val="nil"/>
              <w:bottom w:val="single" w:color="auto" w:sz="4" w:space="0"/>
              <w:right w:val="single" w:color="auto" w:sz="4" w:space="0"/>
            </w:tcBorders>
            <w:shd w:val="clear" w:color="auto" w:fill="auto"/>
            <w:noWrap/>
            <w:vAlign w:val="center"/>
          </w:tcPr>
          <w:p w14:paraId="550181CC">
            <w:pPr>
              <w:widowControl/>
              <w:jc w:val="center"/>
              <w:rPr>
                <w:rFonts w:ascii="Times New Roman" w:hAnsi="Times New Roman" w:eastAsia="仿宋_GB2312" w:cs="Times New Roman"/>
                <w:kern w:val="0"/>
                <w:sz w:val="20"/>
                <w:szCs w:val="20"/>
              </w:rPr>
            </w:pPr>
          </w:p>
        </w:tc>
        <w:tc>
          <w:tcPr>
            <w:tcW w:w="667" w:type="pct"/>
            <w:tcBorders>
              <w:top w:val="nil"/>
              <w:left w:val="nil"/>
              <w:bottom w:val="single" w:color="auto" w:sz="4" w:space="0"/>
              <w:right w:val="single" w:color="auto" w:sz="4" w:space="0"/>
            </w:tcBorders>
            <w:shd w:val="clear" w:color="auto" w:fill="auto"/>
            <w:noWrap/>
            <w:vAlign w:val="center"/>
          </w:tcPr>
          <w:p w14:paraId="0D57D8A0">
            <w:pPr>
              <w:widowControl/>
              <w:jc w:val="right"/>
              <w:rPr>
                <w:rFonts w:ascii="Times New Roman" w:hAnsi="Times New Roman" w:eastAsia="仿宋_GB2312" w:cs="Times New Roman"/>
                <w:kern w:val="0"/>
                <w:sz w:val="20"/>
                <w:szCs w:val="20"/>
              </w:rPr>
            </w:pPr>
          </w:p>
        </w:tc>
      </w:tr>
      <w:tr w14:paraId="53080F1E">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28A9D07F">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224" w:type="pct"/>
            <w:tcBorders>
              <w:top w:val="nil"/>
              <w:left w:val="nil"/>
              <w:bottom w:val="single" w:color="auto" w:sz="4" w:space="0"/>
              <w:right w:val="single" w:color="auto" w:sz="4" w:space="0"/>
            </w:tcBorders>
            <w:shd w:val="clear" w:color="auto" w:fill="auto"/>
            <w:noWrap/>
            <w:vAlign w:val="top"/>
          </w:tcPr>
          <w:p w14:paraId="27036AF2">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19</w:t>
            </w:r>
          </w:p>
        </w:tc>
        <w:tc>
          <w:tcPr>
            <w:tcW w:w="285" w:type="pct"/>
            <w:tcBorders>
              <w:top w:val="nil"/>
              <w:left w:val="nil"/>
              <w:bottom w:val="single" w:color="auto" w:sz="4" w:space="0"/>
              <w:right w:val="single" w:color="auto" w:sz="4" w:space="0"/>
            </w:tcBorders>
            <w:shd w:val="clear" w:color="auto" w:fill="auto"/>
            <w:noWrap/>
            <w:vAlign w:val="center"/>
          </w:tcPr>
          <w:p w14:paraId="66A20709">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top"/>
          </w:tcPr>
          <w:p w14:paraId="18CB7340">
            <w:pPr>
              <w:widowControl/>
              <w:jc w:val="left"/>
              <w:rPr>
                <w:rFonts w:hint="default" w:ascii="Times New Roman" w:hAnsi="Times New Roman" w:eastAsia="仿宋_GB2312" w:cs="Times New Roman"/>
                <w:kern w:val="0"/>
                <w:sz w:val="20"/>
                <w:szCs w:val="20"/>
                <w:lang w:val="en-US" w:eastAsia="zh-CN"/>
              </w:rPr>
            </w:pPr>
            <w:r>
              <w:rPr>
                <w:rFonts w:hint="default" w:ascii="Times New Roman" w:hAnsi="Times New Roman" w:eastAsia="仿宋_GB2312" w:cs="Times New Roman"/>
                <w:kern w:val="0"/>
                <w:sz w:val="20"/>
                <w:szCs w:val="20"/>
              </w:rPr>
              <w:t>十九、住房保障支出</w:t>
            </w:r>
          </w:p>
        </w:tc>
        <w:tc>
          <w:tcPr>
            <w:tcW w:w="196" w:type="pct"/>
            <w:tcBorders>
              <w:top w:val="nil"/>
              <w:left w:val="nil"/>
              <w:bottom w:val="single" w:color="auto" w:sz="4" w:space="0"/>
              <w:right w:val="single" w:color="auto" w:sz="4" w:space="0"/>
            </w:tcBorders>
            <w:shd w:val="clear" w:color="auto" w:fill="auto"/>
            <w:noWrap/>
            <w:vAlign w:val="top"/>
          </w:tcPr>
          <w:p w14:paraId="4D76057C">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44</w:t>
            </w:r>
          </w:p>
        </w:tc>
        <w:tc>
          <w:tcPr>
            <w:tcW w:w="260" w:type="pct"/>
            <w:tcBorders>
              <w:top w:val="nil"/>
              <w:left w:val="nil"/>
              <w:bottom w:val="single" w:color="auto" w:sz="4" w:space="0"/>
              <w:right w:val="single" w:color="auto" w:sz="4" w:space="0"/>
            </w:tcBorders>
            <w:shd w:val="clear" w:color="auto" w:fill="auto"/>
            <w:noWrap/>
            <w:vAlign w:val="top"/>
          </w:tcPr>
          <w:p w14:paraId="0751C365">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0.55</w:t>
            </w:r>
          </w:p>
        </w:tc>
        <w:tc>
          <w:tcPr>
            <w:tcW w:w="615" w:type="pct"/>
            <w:tcBorders>
              <w:top w:val="nil"/>
              <w:left w:val="nil"/>
              <w:bottom w:val="single" w:color="auto" w:sz="4" w:space="0"/>
              <w:right w:val="single" w:color="auto" w:sz="4" w:space="0"/>
            </w:tcBorders>
            <w:shd w:val="clear" w:color="auto" w:fill="auto"/>
            <w:noWrap/>
            <w:vAlign w:val="top"/>
          </w:tcPr>
          <w:p w14:paraId="369B89B5">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0.55</w:t>
            </w:r>
          </w:p>
        </w:tc>
        <w:tc>
          <w:tcPr>
            <w:tcW w:w="617" w:type="pct"/>
            <w:tcBorders>
              <w:top w:val="nil"/>
              <w:left w:val="nil"/>
              <w:bottom w:val="single" w:color="auto" w:sz="4" w:space="0"/>
              <w:right w:val="single" w:color="auto" w:sz="4" w:space="0"/>
            </w:tcBorders>
            <w:shd w:val="clear" w:color="auto" w:fill="auto"/>
            <w:noWrap/>
            <w:vAlign w:val="center"/>
          </w:tcPr>
          <w:p w14:paraId="1A5852A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75CB8E6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18A83D2">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7B7D3B33">
            <w:pPr>
              <w:widowControl/>
              <w:jc w:val="center"/>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本年收入合计</w:t>
            </w:r>
          </w:p>
        </w:tc>
        <w:tc>
          <w:tcPr>
            <w:tcW w:w="224" w:type="pct"/>
            <w:tcBorders>
              <w:top w:val="nil"/>
              <w:left w:val="nil"/>
              <w:bottom w:val="single" w:color="auto" w:sz="4" w:space="0"/>
              <w:right w:val="single" w:color="auto" w:sz="4" w:space="0"/>
            </w:tcBorders>
            <w:shd w:val="clear" w:color="auto" w:fill="auto"/>
            <w:noWrap/>
            <w:vAlign w:val="center"/>
          </w:tcPr>
          <w:p w14:paraId="3794F431">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20</w:t>
            </w:r>
          </w:p>
        </w:tc>
        <w:tc>
          <w:tcPr>
            <w:tcW w:w="285" w:type="pct"/>
            <w:tcBorders>
              <w:top w:val="nil"/>
              <w:left w:val="nil"/>
              <w:bottom w:val="single" w:color="auto" w:sz="4" w:space="0"/>
              <w:right w:val="single" w:color="auto" w:sz="4" w:space="0"/>
            </w:tcBorders>
            <w:shd w:val="clear" w:color="auto" w:fill="auto"/>
            <w:noWrap/>
            <w:vAlign w:val="center"/>
          </w:tcPr>
          <w:p w14:paraId="4B254A87">
            <w:pPr>
              <w:widowControl/>
              <w:jc w:val="righ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lang w:val="en-US" w:eastAsia="zh-CN"/>
              </w:rPr>
              <w:t>616.91</w:t>
            </w: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769A21B6">
            <w:pPr>
              <w:widowControl/>
              <w:jc w:val="center"/>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本年支出合计</w:t>
            </w:r>
          </w:p>
        </w:tc>
        <w:tc>
          <w:tcPr>
            <w:tcW w:w="196" w:type="pct"/>
            <w:tcBorders>
              <w:top w:val="nil"/>
              <w:left w:val="nil"/>
              <w:bottom w:val="single" w:color="auto" w:sz="4" w:space="0"/>
              <w:right w:val="single" w:color="auto" w:sz="4" w:space="0"/>
            </w:tcBorders>
            <w:shd w:val="clear" w:color="auto" w:fill="auto"/>
            <w:noWrap/>
            <w:vAlign w:val="top"/>
          </w:tcPr>
          <w:p w14:paraId="1E525416">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45</w:t>
            </w:r>
          </w:p>
        </w:tc>
        <w:tc>
          <w:tcPr>
            <w:tcW w:w="260" w:type="pct"/>
            <w:tcBorders>
              <w:top w:val="nil"/>
              <w:left w:val="nil"/>
              <w:bottom w:val="single" w:color="auto" w:sz="4" w:space="0"/>
              <w:right w:val="single" w:color="auto" w:sz="4" w:space="0"/>
            </w:tcBorders>
            <w:shd w:val="clear" w:color="auto" w:fill="auto"/>
            <w:noWrap/>
            <w:vAlign w:val="top"/>
          </w:tcPr>
          <w:p w14:paraId="3A3B5470">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616.91</w:t>
            </w:r>
          </w:p>
        </w:tc>
        <w:tc>
          <w:tcPr>
            <w:tcW w:w="615" w:type="pct"/>
            <w:tcBorders>
              <w:top w:val="nil"/>
              <w:left w:val="nil"/>
              <w:bottom w:val="single" w:color="auto" w:sz="4" w:space="0"/>
              <w:right w:val="single" w:color="auto" w:sz="4" w:space="0"/>
            </w:tcBorders>
            <w:shd w:val="clear" w:color="auto" w:fill="auto"/>
            <w:noWrap/>
            <w:vAlign w:val="top"/>
          </w:tcPr>
          <w:p w14:paraId="26E0BFEC">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616.91</w:t>
            </w:r>
          </w:p>
        </w:tc>
        <w:tc>
          <w:tcPr>
            <w:tcW w:w="617" w:type="pct"/>
            <w:tcBorders>
              <w:top w:val="nil"/>
              <w:left w:val="nil"/>
              <w:bottom w:val="single" w:color="auto" w:sz="4" w:space="0"/>
              <w:right w:val="single" w:color="auto" w:sz="4" w:space="0"/>
            </w:tcBorders>
            <w:shd w:val="clear" w:color="auto" w:fill="auto"/>
            <w:noWrap/>
            <w:vAlign w:val="center"/>
          </w:tcPr>
          <w:p w14:paraId="19B5AEB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2AC1EDDD">
            <w:pPr>
              <w:widowControl/>
              <w:jc w:val="left"/>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　</w:t>
            </w:r>
          </w:p>
        </w:tc>
      </w:tr>
      <w:tr w14:paraId="6411F0F2">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74F42D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年初财政拨款结转和结余</w:t>
            </w:r>
          </w:p>
        </w:tc>
        <w:tc>
          <w:tcPr>
            <w:tcW w:w="224" w:type="pct"/>
            <w:tcBorders>
              <w:top w:val="nil"/>
              <w:left w:val="nil"/>
              <w:bottom w:val="single" w:color="auto" w:sz="4" w:space="0"/>
              <w:right w:val="single" w:color="auto" w:sz="4" w:space="0"/>
            </w:tcBorders>
            <w:shd w:val="clear" w:color="auto" w:fill="auto"/>
            <w:noWrap/>
            <w:vAlign w:val="center"/>
          </w:tcPr>
          <w:p w14:paraId="38BE8AF5">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21</w:t>
            </w:r>
          </w:p>
        </w:tc>
        <w:tc>
          <w:tcPr>
            <w:tcW w:w="285" w:type="pct"/>
            <w:tcBorders>
              <w:top w:val="nil"/>
              <w:left w:val="nil"/>
              <w:bottom w:val="single" w:color="auto" w:sz="4" w:space="0"/>
              <w:right w:val="single" w:color="auto" w:sz="4" w:space="0"/>
            </w:tcBorders>
            <w:shd w:val="clear" w:color="auto" w:fill="auto"/>
            <w:noWrap/>
            <w:vAlign w:val="center"/>
          </w:tcPr>
          <w:p w14:paraId="443415FC">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30EC73C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年末财政拨款结转和结余</w:t>
            </w:r>
          </w:p>
        </w:tc>
        <w:tc>
          <w:tcPr>
            <w:tcW w:w="196" w:type="pct"/>
            <w:tcBorders>
              <w:top w:val="nil"/>
              <w:left w:val="nil"/>
              <w:bottom w:val="single" w:color="auto" w:sz="4" w:space="0"/>
              <w:right w:val="single" w:color="auto" w:sz="4" w:space="0"/>
            </w:tcBorders>
            <w:shd w:val="clear" w:color="auto" w:fill="auto"/>
            <w:noWrap/>
            <w:vAlign w:val="top"/>
          </w:tcPr>
          <w:p w14:paraId="0039EAD4">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46</w:t>
            </w:r>
          </w:p>
        </w:tc>
        <w:tc>
          <w:tcPr>
            <w:tcW w:w="260" w:type="pct"/>
            <w:tcBorders>
              <w:top w:val="nil"/>
              <w:left w:val="nil"/>
              <w:bottom w:val="single" w:color="auto" w:sz="4" w:space="0"/>
              <w:right w:val="single" w:color="auto" w:sz="4" w:space="0"/>
            </w:tcBorders>
            <w:shd w:val="clear" w:color="auto" w:fill="auto"/>
            <w:noWrap/>
            <w:vAlign w:val="center"/>
          </w:tcPr>
          <w:p w14:paraId="72CBEB7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5EAAD91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2F7657F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2C3EB3CB">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3DED991B">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0339FE7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一般公共预算财政拨款</w:t>
            </w:r>
          </w:p>
        </w:tc>
        <w:tc>
          <w:tcPr>
            <w:tcW w:w="224" w:type="pct"/>
            <w:tcBorders>
              <w:top w:val="nil"/>
              <w:left w:val="nil"/>
              <w:bottom w:val="single" w:color="auto" w:sz="4" w:space="0"/>
              <w:right w:val="single" w:color="auto" w:sz="4" w:space="0"/>
            </w:tcBorders>
            <w:shd w:val="clear" w:color="auto" w:fill="auto"/>
            <w:noWrap/>
            <w:vAlign w:val="center"/>
          </w:tcPr>
          <w:p w14:paraId="3B9611E9">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22</w:t>
            </w:r>
          </w:p>
        </w:tc>
        <w:tc>
          <w:tcPr>
            <w:tcW w:w="285" w:type="pct"/>
            <w:tcBorders>
              <w:top w:val="nil"/>
              <w:left w:val="nil"/>
              <w:bottom w:val="single" w:color="auto" w:sz="4" w:space="0"/>
              <w:right w:val="single" w:color="auto" w:sz="4" w:space="0"/>
            </w:tcBorders>
            <w:shd w:val="clear" w:color="auto" w:fill="auto"/>
            <w:noWrap/>
            <w:vAlign w:val="center"/>
          </w:tcPr>
          <w:p w14:paraId="072D3284">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443F97DA">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96" w:type="pct"/>
            <w:tcBorders>
              <w:top w:val="nil"/>
              <w:left w:val="nil"/>
              <w:bottom w:val="single" w:color="auto" w:sz="4" w:space="0"/>
              <w:right w:val="single" w:color="auto" w:sz="4" w:space="0"/>
            </w:tcBorders>
            <w:shd w:val="clear" w:color="auto" w:fill="auto"/>
            <w:noWrap/>
            <w:vAlign w:val="top"/>
          </w:tcPr>
          <w:p w14:paraId="26735090">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47</w:t>
            </w:r>
          </w:p>
        </w:tc>
        <w:tc>
          <w:tcPr>
            <w:tcW w:w="260" w:type="pct"/>
            <w:tcBorders>
              <w:top w:val="nil"/>
              <w:left w:val="nil"/>
              <w:bottom w:val="single" w:color="auto" w:sz="4" w:space="0"/>
              <w:right w:val="single" w:color="auto" w:sz="4" w:space="0"/>
            </w:tcBorders>
            <w:shd w:val="clear" w:color="auto" w:fill="auto"/>
            <w:noWrap/>
            <w:vAlign w:val="center"/>
          </w:tcPr>
          <w:p w14:paraId="482BCD7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64BD81C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11E8E61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5C5D42A2">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44943D8">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49DDCC7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政府性基金预算财政拨款</w:t>
            </w:r>
          </w:p>
        </w:tc>
        <w:tc>
          <w:tcPr>
            <w:tcW w:w="224" w:type="pct"/>
            <w:tcBorders>
              <w:top w:val="nil"/>
              <w:left w:val="nil"/>
              <w:bottom w:val="single" w:color="auto" w:sz="4" w:space="0"/>
              <w:right w:val="single" w:color="auto" w:sz="4" w:space="0"/>
            </w:tcBorders>
            <w:shd w:val="clear" w:color="auto" w:fill="auto"/>
            <w:noWrap/>
            <w:vAlign w:val="center"/>
          </w:tcPr>
          <w:p w14:paraId="24106812">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23</w:t>
            </w:r>
          </w:p>
        </w:tc>
        <w:tc>
          <w:tcPr>
            <w:tcW w:w="285" w:type="pct"/>
            <w:tcBorders>
              <w:top w:val="nil"/>
              <w:left w:val="nil"/>
              <w:bottom w:val="single" w:color="auto" w:sz="4" w:space="0"/>
              <w:right w:val="single" w:color="auto" w:sz="4" w:space="0"/>
            </w:tcBorders>
            <w:shd w:val="clear" w:color="auto" w:fill="auto"/>
            <w:noWrap/>
            <w:vAlign w:val="center"/>
          </w:tcPr>
          <w:p w14:paraId="7D5FFF80">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53B369C4">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96" w:type="pct"/>
            <w:tcBorders>
              <w:top w:val="nil"/>
              <w:left w:val="nil"/>
              <w:bottom w:val="single" w:color="auto" w:sz="4" w:space="0"/>
              <w:right w:val="single" w:color="auto" w:sz="4" w:space="0"/>
            </w:tcBorders>
            <w:shd w:val="clear" w:color="auto" w:fill="auto"/>
            <w:noWrap/>
            <w:vAlign w:val="top"/>
          </w:tcPr>
          <w:p w14:paraId="7AF0E6E7">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48</w:t>
            </w:r>
          </w:p>
        </w:tc>
        <w:tc>
          <w:tcPr>
            <w:tcW w:w="260" w:type="pct"/>
            <w:tcBorders>
              <w:top w:val="nil"/>
              <w:left w:val="nil"/>
              <w:bottom w:val="single" w:color="auto" w:sz="4" w:space="0"/>
              <w:right w:val="single" w:color="auto" w:sz="4" w:space="0"/>
            </w:tcBorders>
            <w:shd w:val="clear" w:color="auto" w:fill="auto"/>
            <w:noWrap/>
            <w:vAlign w:val="center"/>
          </w:tcPr>
          <w:p w14:paraId="2563485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36F09D5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67CA61F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60E2A7D5">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28353907">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auto" w:fill="auto"/>
            <w:noWrap/>
            <w:vAlign w:val="center"/>
          </w:tcPr>
          <w:p w14:paraId="2499268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xml:space="preserve">      国有资本经营预算财政拨款</w:t>
            </w:r>
          </w:p>
        </w:tc>
        <w:tc>
          <w:tcPr>
            <w:tcW w:w="224" w:type="pct"/>
            <w:tcBorders>
              <w:top w:val="nil"/>
              <w:left w:val="nil"/>
              <w:bottom w:val="single" w:color="auto" w:sz="4" w:space="0"/>
              <w:right w:val="single" w:color="auto" w:sz="4" w:space="0"/>
            </w:tcBorders>
            <w:shd w:val="clear" w:color="auto" w:fill="auto"/>
            <w:noWrap/>
            <w:vAlign w:val="center"/>
          </w:tcPr>
          <w:p w14:paraId="1456B6D0">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24</w:t>
            </w:r>
          </w:p>
        </w:tc>
        <w:tc>
          <w:tcPr>
            <w:tcW w:w="285" w:type="pct"/>
            <w:tcBorders>
              <w:top w:val="nil"/>
              <w:left w:val="nil"/>
              <w:bottom w:val="single" w:color="auto" w:sz="4" w:space="0"/>
              <w:right w:val="single" w:color="auto" w:sz="4" w:space="0"/>
            </w:tcBorders>
            <w:shd w:val="clear" w:color="auto" w:fill="auto"/>
            <w:noWrap/>
            <w:vAlign w:val="center"/>
          </w:tcPr>
          <w:p w14:paraId="139AA86C">
            <w:pPr>
              <w:widowControl/>
              <w:jc w:val="righ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20CA6FB6">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196" w:type="pct"/>
            <w:tcBorders>
              <w:top w:val="nil"/>
              <w:left w:val="nil"/>
              <w:bottom w:val="single" w:color="auto" w:sz="4" w:space="0"/>
              <w:right w:val="single" w:color="auto" w:sz="4" w:space="0"/>
            </w:tcBorders>
            <w:shd w:val="clear" w:color="auto" w:fill="auto"/>
            <w:noWrap/>
            <w:vAlign w:val="top"/>
          </w:tcPr>
          <w:p w14:paraId="721AB7DE">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49</w:t>
            </w:r>
          </w:p>
        </w:tc>
        <w:tc>
          <w:tcPr>
            <w:tcW w:w="260" w:type="pct"/>
            <w:tcBorders>
              <w:top w:val="nil"/>
              <w:left w:val="nil"/>
              <w:bottom w:val="single" w:color="auto" w:sz="4" w:space="0"/>
              <w:right w:val="single" w:color="auto" w:sz="4" w:space="0"/>
            </w:tcBorders>
            <w:shd w:val="clear" w:color="auto" w:fill="auto"/>
            <w:noWrap/>
            <w:vAlign w:val="center"/>
          </w:tcPr>
          <w:p w14:paraId="64748E8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5" w:type="pct"/>
            <w:tcBorders>
              <w:top w:val="nil"/>
              <w:left w:val="nil"/>
              <w:bottom w:val="single" w:color="auto" w:sz="4" w:space="0"/>
              <w:right w:val="single" w:color="auto" w:sz="4" w:space="0"/>
            </w:tcBorders>
            <w:shd w:val="clear" w:color="auto" w:fill="auto"/>
            <w:noWrap/>
            <w:vAlign w:val="center"/>
          </w:tcPr>
          <w:p w14:paraId="0010070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17" w:type="pct"/>
            <w:tcBorders>
              <w:top w:val="nil"/>
              <w:left w:val="nil"/>
              <w:bottom w:val="single" w:color="auto" w:sz="4" w:space="0"/>
              <w:right w:val="single" w:color="auto" w:sz="4" w:space="0"/>
            </w:tcBorders>
            <w:shd w:val="clear" w:color="auto" w:fill="auto"/>
            <w:noWrap/>
            <w:vAlign w:val="center"/>
          </w:tcPr>
          <w:p w14:paraId="528599D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7A3BC67F">
            <w:pPr>
              <w:widowControl/>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　</w:t>
            </w:r>
          </w:p>
        </w:tc>
      </w:tr>
      <w:tr w14:paraId="0396B25B">
        <w:tblPrEx>
          <w:tblCellMar>
            <w:top w:w="0" w:type="dxa"/>
            <w:left w:w="108" w:type="dxa"/>
            <w:bottom w:w="0" w:type="dxa"/>
            <w:right w:w="108" w:type="dxa"/>
          </w:tblCellMar>
        </w:tblPrEx>
        <w:trPr>
          <w:trHeight w:val="255" w:hRule="exact"/>
          <w:jc w:val="center"/>
        </w:trPr>
        <w:tc>
          <w:tcPr>
            <w:tcW w:w="1098" w:type="pct"/>
            <w:tcBorders>
              <w:top w:val="nil"/>
              <w:left w:val="single" w:color="auto" w:sz="4" w:space="0"/>
              <w:bottom w:val="single" w:color="auto" w:sz="4" w:space="0"/>
              <w:right w:val="single" w:color="auto" w:sz="4" w:space="0"/>
            </w:tcBorders>
            <w:shd w:val="clear" w:color="000000" w:fill="FFFFFF"/>
            <w:noWrap/>
            <w:vAlign w:val="center"/>
          </w:tcPr>
          <w:p w14:paraId="5E7629AF">
            <w:pPr>
              <w:widowControl/>
              <w:jc w:val="center"/>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总计</w:t>
            </w:r>
          </w:p>
        </w:tc>
        <w:tc>
          <w:tcPr>
            <w:tcW w:w="224" w:type="pct"/>
            <w:tcBorders>
              <w:top w:val="nil"/>
              <w:left w:val="nil"/>
              <w:bottom w:val="single" w:color="auto" w:sz="4" w:space="0"/>
              <w:right w:val="single" w:color="auto" w:sz="4" w:space="0"/>
            </w:tcBorders>
            <w:shd w:val="clear" w:color="auto" w:fill="auto"/>
            <w:noWrap/>
            <w:vAlign w:val="center"/>
          </w:tcPr>
          <w:p w14:paraId="649D1C1D">
            <w:pPr>
              <w:widowControl/>
              <w:jc w:val="center"/>
              <w:rPr>
                <w:rFonts w:hint="default" w:ascii="Times New Roman" w:hAnsi="Times New Roman" w:eastAsia="仿宋_GB2312" w:cs="Times New Roman"/>
                <w:kern w:val="0"/>
                <w:sz w:val="20"/>
                <w:szCs w:val="20"/>
                <w:lang w:val="en-US" w:eastAsia="zh-CN"/>
              </w:rPr>
            </w:pPr>
            <w:r>
              <w:rPr>
                <w:rFonts w:hint="eastAsia" w:ascii="Times New Roman" w:hAnsi="Times New Roman" w:eastAsia="仿宋_GB2312" w:cs="Times New Roman"/>
                <w:kern w:val="0"/>
                <w:sz w:val="20"/>
                <w:szCs w:val="20"/>
                <w:lang w:val="en-US" w:eastAsia="zh-CN"/>
              </w:rPr>
              <w:t>25</w:t>
            </w:r>
          </w:p>
        </w:tc>
        <w:tc>
          <w:tcPr>
            <w:tcW w:w="285" w:type="pct"/>
            <w:tcBorders>
              <w:top w:val="nil"/>
              <w:left w:val="nil"/>
              <w:bottom w:val="single" w:color="auto" w:sz="4" w:space="0"/>
              <w:right w:val="single" w:color="auto" w:sz="4" w:space="0"/>
            </w:tcBorders>
            <w:shd w:val="clear" w:color="auto" w:fill="auto"/>
            <w:noWrap/>
            <w:vAlign w:val="center"/>
          </w:tcPr>
          <w:p w14:paraId="01E79946">
            <w:pPr>
              <w:widowControl/>
              <w:jc w:val="righ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lang w:val="en-US" w:eastAsia="zh-CN"/>
              </w:rPr>
              <w:t>616.91</w:t>
            </w:r>
            <w:r>
              <w:rPr>
                <w:rFonts w:ascii="Times New Roman" w:hAnsi="Times New Roman" w:eastAsia="仿宋_GB2312" w:cs="Times New Roman"/>
                <w:kern w:val="0"/>
                <w:sz w:val="20"/>
                <w:szCs w:val="20"/>
              </w:rPr>
              <w:t>　</w:t>
            </w:r>
          </w:p>
        </w:tc>
        <w:tc>
          <w:tcPr>
            <w:tcW w:w="1033" w:type="pct"/>
            <w:tcBorders>
              <w:top w:val="nil"/>
              <w:left w:val="nil"/>
              <w:bottom w:val="single" w:color="auto" w:sz="4" w:space="0"/>
              <w:right w:val="single" w:color="auto" w:sz="4" w:space="0"/>
            </w:tcBorders>
            <w:shd w:val="clear" w:color="auto" w:fill="auto"/>
            <w:noWrap/>
            <w:vAlign w:val="center"/>
          </w:tcPr>
          <w:p w14:paraId="1433AC66">
            <w:pPr>
              <w:widowControl/>
              <w:jc w:val="center"/>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总计</w:t>
            </w:r>
          </w:p>
        </w:tc>
        <w:tc>
          <w:tcPr>
            <w:tcW w:w="196" w:type="pct"/>
            <w:tcBorders>
              <w:top w:val="nil"/>
              <w:left w:val="nil"/>
              <w:bottom w:val="single" w:color="auto" w:sz="4" w:space="0"/>
              <w:right w:val="single" w:color="auto" w:sz="4" w:space="0"/>
            </w:tcBorders>
            <w:shd w:val="clear" w:color="auto" w:fill="auto"/>
            <w:noWrap/>
            <w:vAlign w:val="top"/>
          </w:tcPr>
          <w:p w14:paraId="33543760">
            <w:pPr>
              <w:spacing w:beforeLines="0" w:afterLines="0"/>
              <w:jc w:val="center"/>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50</w:t>
            </w:r>
          </w:p>
        </w:tc>
        <w:tc>
          <w:tcPr>
            <w:tcW w:w="260" w:type="pct"/>
            <w:tcBorders>
              <w:top w:val="nil"/>
              <w:left w:val="nil"/>
              <w:bottom w:val="single" w:color="auto" w:sz="4" w:space="0"/>
              <w:right w:val="single" w:color="auto" w:sz="4" w:space="0"/>
            </w:tcBorders>
            <w:shd w:val="clear" w:color="auto" w:fill="auto"/>
            <w:noWrap/>
            <w:vAlign w:val="top"/>
          </w:tcPr>
          <w:p w14:paraId="0F0D3A9B">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616.91</w:t>
            </w:r>
          </w:p>
        </w:tc>
        <w:tc>
          <w:tcPr>
            <w:tcW w:w="615" w:type="pct"/>
            <w:tcBorders>
              <w:top w:val="nil"/>
              <w:left w:val="nil"/>
              <w:bottom w:val="single" w:color="auto" w:sz="4" w:space="0"/>
              <w:right w:val="single" w:color="auto" w:sz="4" w:space="0"/>
            </w:tcBorders>
            <w:shd w:val="clear" w:color="auto" w:fill="auto"/>
            <w:noWrap/>
            <w:vAlign w:val="top"/>
          </w:tcPr>
          <w:p w14:paraId="1247C095">
            <w:pPr>
              <w:spacing w:beforeLines="0" w:afterLines="0"/>
              <w:jc w:val="right"/>
              <w:rPr>
                <w:rFonts w:hint="default" w:ascii="ËÎÌå" w:hAnsi="ËÎÌå" w:eastAsia="ËÎÌå" w:cstheme="minorBidi"/>
                <w:color w:val="000000"/>
                <w:kern w:val="2"/>
                <w:sz w:val="20"/>
                <w:szCs w:val="20"/>
                <w:lang w:val="en-US" w:eastAsia="zh-CN" w:bidi="ar-SA"/>
              </w:rPr>
            </w:pPr>
            <w:r>
              <w:rPr>
                <w:rFonts w:hint="default" w:ascii="ËÎÌå" w:hAnsi="ËÎÌå" w:eastAsia="ËÎÌå"/>
                <w:color w:val="000000"/>
                <w:sz w:val="20"/>
                <w:szCs w:val="20"/>
              </w:rPr>
              <w:t>616.91</w:t>
            </w:r>
          </w:p>
        </w:tc>
        <w:tc>
          <w:tcPr>
            <w:tcW w:w="617" w:type="pct"/>
            <w:tcBorders>
              <w:top w:val="nil"/>
              <w:left w:val="nil"/>
              <w:bottom w:val="single" w:color="auto" w:sz="4" w:space="0"/>
              <w:right w:val="single" w:color="auto" w:sz="4" w:space="0"/>
            </w:tcBorders>
            <w:shd w:val="clear" w:color="auto" w:fill="auto"/>
            <w:noWrap/>
            <w:vAlign w:val="center"/>
          </w:tcPr>
          <w:p w14:paraId="19C945AB">
            <w:pPr>
              <w:widowControl/>
              <w:jc w:val="left"/>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　</w:t>
            </w:r>
          </w:p>
        </w:tc>
        <w:tc>
          <w:tcPr>
            <w:tcW w:w="667" w:type="pct"/>
            <w:tcBorders>
              <w:top w:val="nil"/>
              <w:left w:val="nil"/>
              <w:bottom w:val="single" w:color="auto" w:sz="4" w:space="0"/>
              <w:right w:val="single" w:color="auto" w:sz="4" w:space="0"/>
            </w:tcBorders>
            <w:shd w:val="clear" w:color="auto" w:fill="auto"/>
            <w:noWrap/>
            <w:vAlign w:val="center"/>
          </w:tcPr>
          <w:p w14:paraId="2875A45F">
            <w:pPr>
              <w:widowControl/>
              <w:jc w:val="left"/>
              <w:rPr>
                <w:rFonts w:ascii="Times New Roman" w:hAnsi="Times New Roman" w:eastAsia="仿宋_GB2312" w:cs="Times New Roman"/>
                <w:b/>
                <w:bCs/>
                <w:kern w:val="0"/>
                <w:sz w:val="20"/>
                <w:szCs w:val="20"/>
              </w:rPr>
            </w:pPr>
            <w:r>
              <w:rPr>
                <w:rFonts w:ascii="Times New Roman" w:hAnsi="Times New Roman" w:eastAsia="仿宋_GB2312" w:cs="Times New Roman"/>
                <w:b/>
                <w:bCs/>
                <w:kern w:val="0"/>
                <w:sz w:val="20"/>
                <w:szCs w:val="20"/>
              </w:rPr>
              <w:t>　</w:t>
            </w:r>
          </w:p>
        </w:tc>
      </w:tr>
    </w:tbl>
    <w:p w14:paraId="59FC41E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F43FAE9">
      <w:pPr>
        <w:widowControl/>
        <w:jc w:val="center"/>
        <w:rPr>
          <w:rFonts w:ascii="Times New Roman" w:hAnsi="Times New Roman" w:eastAsia="方正小标宋_GBK" w:cs="Times New Roman"/>
          <w:kern w:val="0"/>
          <w:sz w:val="36"/>
          <w:szCs w:val="36"/>
        </w:rPr>
      </w:pPr>
    </w:p>
    <w:p w14:paraId="6FB1838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911092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怀化市医疗保障事务中心</w:t>
      </w:r>
      <w:r>
        <w:rPr>
          <w:rFonts w:ascii="Times New Roman" w:hAnsi="Times New Roman" w:eastAsia="仿宋_GB2312" w:cs="Times New Roman"/>
          <w:color w:val="000000"/>
          <w:kern w:val="0"/>
          <w:szCs w:val="21"/>
        </w:rPr>
        <w:t xml:space="preserve">                                                                                                     公开05表</w:t>
      </w:r>
    </w:p>
    <w:p w14:paraId="168E1D5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DA66F2D">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7D5DF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97C84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6F17D2F">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24C2C9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14353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8F8CE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FE962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8A52E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A7DC1B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6A9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4D8213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75CB98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F7D064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63EB1C0">
            <w:pPr>
              <w:widowControl/>
              <w:jc w:val="left"/>
              <w:rPr>
                <w:rFonts w:ascii="Times New Roman" w:hAnsi="Times New Roman" w:eastAsia="仿宋_GB2312" w:cs="Times New Roman"/>
                <w:kern w:val="0"/>
                <w:szCs w:val="21"/>
              </w:rPr>
            </w:pPr>
          </w:p>
        </w:tc>
      </w:tr>
      <w:tr w14:paraId="12385DE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62AA3A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DD9B72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A202A1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D1EDD1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BEC1B45">
            <w:pPr>
              <w:widowControl/>
              <w:jc w:val="left"/>
              <w:rPr>
                <w:rFonts w:ascii="Times New Roman" w:hAnsi="Times New Roman" w:eastAsia="仿宋_GB2312" w:cs="Times New Roman"/>
                <w:kern w:val="0"/>
                <w:szCs w:val="21"/>
              </w:rPr>
            </w:pPr>
          </w:p>
        </w:tc>
      </w:tr>
      <w:tr w14:paraId="67DABC3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4854D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8E8CA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85EAD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E0BE5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56E3AC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05C1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top"/>
          </w:tcPr>
          <w:p w14:paraId="5565C6C2">
            <w:pPr>
              <w:spacing w:beforeLines="0" w:afterLines="0"/>
              <w:jc w:val="right"/>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616.91</w:t>
            </w:r>
          </w:p>
        </w:tc>
        <w:tc>
          <w:tcPr>
            <w:tcW w:w="3492" w:type="dxa"/>
            <w:tcBorders>
              <w:top w:val="nil"/>
              <w:left w:val="nil"/>
              <w:bottom w:val="single" w:color="auto" w:sz="4" w:space="0"/>
              <w:right w:val="single" w:color="auto" w:sz="4" w:space="0"/>
            </w:tcBorders>
            <w:shd w:val="clear" w:color="auto" w:fill="auto"/>
            <w:vAlign w:val="top"/>
          </w:tcPr>
          <w:p w14:paraId="71F5C385">
            <w:pPr>
              <w:spacing w:beforeLines="0" w:afterLines="0"/>
              <w:jc w:val="right"/>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464.89</w:t>
            </w:r>
          </w:p>
        </w:tc>
        <w:tc>
          <w:tcPr>
            <w:tcW w:w="3000" w:type="dxa"/>
            <w:tcBorders>
              <w:top w:val="nil"/>
              <w:left w:val="nil"/>
              <w:bottom w:val="single" w:color="auto" w:sz="4" w:space="0"/>
              <w:right w:val="single" w:color="auto" w:sz="8" w:space="0"/>
            </w:tcBorders>
            <w:shd w:val="clear" w:color="auto" w:fill="auto"/>
            <w:vAlign w:val="top"/>
          </w:tcPr>
          <w:p w14:paraId="67A0AE62">
            <w:pPr>
              <w:spacing w:beforeLines="0" w:afterLines="0"/>
              <w:jc w:val="right"/>
              <w:rPr>
                <w:rFonts w:hint="default" w:ascii="ËÎÌå" w:hAnsi="ËÎÌå" w:eastAsia="ËÎÌå" w:cstheme="minorBidi"/>
                <w:b/>
                <w:color w:val="000000"/>
                <w:kern w:val="2"/>
                <w:sz w:val="22"/>
                <w:szCs w:val="24"/>
                <w:lang w:val="en-US" w:eastAsia="zh-CN" w:bidi="ar-SA"/>
              </w:rPr>
            </w:pPr>
            <w:r>
              <w:rPr>
                <w:rFonts w:hint="default" w:ascii="ËÎÌå" w:hAnsi="ËÎÌå" w:eastAsia="ËÎÌå"/>
                <w:b/>
                <w:color w:val="000000"/>
                <w:sz w:val="22"/>
                <w:szCs w:val="24"/>
              </w:rPr>
              <w:t>152.01</w:t>
            </w:r>
          </w:p>
        </w:tc>
      </w:tr>
      <w:tr w14:paraId="2C6551BD">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793D8047">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5888A43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73F4AA36">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290.19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304B6AC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287.12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58A3637C">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3.07</w:t>
            </w:r>
          </w:p>
        </w:tc>
      </w:tr>
      <w:tr w14:paraId="41CBEC47">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A9B2B16">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38250174">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人力资源和社会保障管理事务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213042C5">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278.28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6B0A7BC1">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275.28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39DCAFEE">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3.00</w:t>
            </w:r>
          </w:p>
        </w:tc>
      </w:tr>
      <w:tr w14:paraId="25EAC7E3">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C0B12D5">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2080107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4AD5D816">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社会保险业务管理事务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03D4CB80">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278.28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10805D2A">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275.28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431318A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3.00</w:t>
            </w:r>
          </w:p>
        </w:tc>
      </w:tr>
      <w:tr w14:paraId="418E5518">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2B86D79D">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28C9865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627C5BA0">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2.61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31EFE909">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2.61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5A86E9B6">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27EA6C64">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386AF25">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6C2448E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05AA276C">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2.55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2133022F">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2.55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5F9E3F32">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6351AD48">
        <w:tblPrEx>
          <w:tblCellMar>
            <w:top w:w="0" w:type="dxa"/>
            <w:left w:w="108" w:type="dxa"/>
            <w:bottom w:w="0" w:type="dxa"/>
            <w:right w:w="108" w:type="dxa"/>
          </w:tblCellMar>
        </w:tblPrEx>
        <w:trPr>
          <w:trHeight w:val="283" w:hRule="exac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15328315">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top"/>
          </w:tcPr>
          <w:p w14:paraId="66758AD9">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68F26CC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top"/>
          </w:tcPr>
          <w:p w14:paraId="69641C44">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77651A4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39264180">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F333348">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3A6F0D0">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就业补助</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EDBFE21">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9.30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6DA52F3">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9.23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AC1922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0.07</w:t>
            </w:r>
          </w:p>
        </w:tc>
      </w:tr>
      <w:tr w14:paraId="1C7D27A1">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A425A47">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2080799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B8646ED">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其他就业补助支出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8A58C65">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9.30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CD75E52">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9.23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808DE5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0.07</w:t>
            </w:r>
          </w:p>
        </w:tc>
      </w:tr>
      <w:tr w14:paraId="411E21AD">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18D7589">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5611110">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4E8D69F">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326.17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ABC8FD4">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177.23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89D62DE">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148.94</w:t>
            </w:r>
          </w:p>
        </w:tc>
      </w:tr>
      <w:tr w14:paraId="4DF4101D">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2423931">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C1742FF">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895ABCF">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480C76A">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E50AB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1939B027">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FB9D25D">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2101101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55EF6A">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行政单位医疗</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CF801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E7F8B17">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B74C82A">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645A65F0">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924C7EB">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AF5E5A8">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医疗保障管理事务</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3D9610C">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325.22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2A4C8B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176.28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015AD81">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148.94</w:t>
            </w:r>
          </w:p>
        </w:tc>
      </w:tr>
      <w:tr w14:paraId="1D857A36">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6878E86">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2101501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6AE153B">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行政运行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5748660">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176.28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56ADDD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176.28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20EC9E3">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390CCE54">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492AA33">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2101599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4F5FEE2">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其他医疗保障管理事务支出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033EF6D">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148.94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AB7D222">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550D2B7">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148.94</w:t>
            </w:r>
          </w:p>
        </w:tc>
      </w:tr>
      <w:tr w14:paraId="0A80D715">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B861B0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334B57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A249414">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6160AB7B">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4907A7E">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7F708AB6">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A9A8061">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961A4A0">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7BED8075">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3D38C50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03DB2DC5">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r w14:paraId="082D85FD">
        <w:tblPrEx>
          <w:tblCellMar>
            <w:top w:w="0" w:type="dxa"/>
            <w:left w:w="108" w:type="dxa"/>
            <w:bottom w:w="0" w:type="dxa"/>
            <w:right w:w="108" w:type="dxa"/>
          </w:tblCellMar>
        </w:tblPrEx>
        <w:trPr>
          <w:trHeight w:val="283"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2BE428E">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389055B">
            <w:pPr>
              <w:spacing w:beforeLines="0" w:afterLines="0"/>
              <w:jc w:val="lef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 xml:space="preserve">  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580137D4">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1BB615A">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2B1B3B18">
            <w:pPr>
              <w:spacing w:beforeLines="0" w:afterLines="0"/>
              <w:jc w:val="right"/>
              <w:rPr>
                <w:rFonts w:hint="default" w:ascii="ËÎÌå" w:hAnsi="ËÎÌå" w:eastAsia="ËÎÌå" w:cstheme="minorBidi"/>
                <w:color w:val="000000"/>
                <w:kern w:val="2"/>
                <w:sz w:val="21"/>
                <w:szCs w:val="22"/>
                <w:lang w:val="en-US" w:eastAsia="zh-CN" w:bidi="ar-SA"/>
              </w:rPr>
            </w:pPr>
            <w:r>
              <w:rPr>
                <w:rFonts w:hint="default" w:ascii="ËÎÌå" w:hAnsi="ËÎÌå" w:eastAsia="ËÎÌå"/>
                <w:color w:val="000000"/>
                <w:sz w:val="21"/>
                <w:szCs w:val="22"/>
              </w:rPr>
              <w:t>0.00</w:t>
            </w:r>
          </w:p>
        </w:tc>
      </w:tr>
    </w:tbl>
    <w:p w14:paraId="6842BDA6">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1D03D13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E740207">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怀化市医疗保障事务中心</w:t>
      </w:r>
      <w:r>
        <w:rPr>
          <w:rFonts w:ascii="Times New Roman" w:hAnsi="Times New Roman" w:eastAsia="仿宋_GB2312" w:cs="Times New Roman"/>
          <w:color w:val="000000"/>
          <w:kern w:val="0"/>
          <w:szCs w:val="21"/>
        </w:rPr>
        <w:t xml:space="preserve">                                                                                                                公开06表</w:t>
      </w:r>
    </w:p>
    <w:p w14:paraId="664D760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F60454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DA27E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A9E5B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86945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B1589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56031D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2926F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E40B8D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C0EC87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940E0A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23B82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E0A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FF594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top"/>
          </w:tcPr>
          <w:p w14:paraId="7CB4044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401.15</w:t>
            </w:r>
          </w:p>
        </w:tc>
        <w:tc>
          <w:tcPr>
            <w:tcW w:w="1116" w:type="dxa"/>
            <w:tcBorders>
              <w:top w:val="nil"/>
              <w:left w:val="nil"/>
              <w:bottom w:val="single" w:color="auto" w:sz="4" w:space="0"/>
              <w:right w:val="single" w:color="auto" w:sz="4" w:space="0"/>
            </w:tcBorders>
            <w:shd w:val="clear" w:color="auto" w:fill="auto"/>
            <w:noWrap/>
            <w:vAlign w:val="center"/>
          </w:tcPr>
          <w:p w14:paraId="130F20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9F138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top"/>
          </w:tcPr>
          <w:p w14:paraId="3BECA22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46.79</w:t>
            </w:r>
          </w:p>
        </w:tc>
        <w:tc>
          <w:tcPr>
            <w:tcW w:w="1217" w:type="dxa"/>
            <w:tcBorders>
              <w:top w:val="nil"/>
              <w:left w:val="nil"/>
              <w:bottom w:val="single" w:color="auto" w:sz="4" w:space="0"/>
              <w:right w:val="single" w:color="auto" w:sz="4" w:space="0"/>
            </w:tcBorders>
            <w:shd w:val="clear" w:color="auto" w:fill="auto"/>
            <w:noWrap/>
            <w:vAlign w:val="center"/>
          </w:tcPr>
          <w:p w14:paraId="400D3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5700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top"/>
          </w:tcPr>
          <w:p w14:paraId="06526A2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0290E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00C4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855A3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top"/>
          </w:tcPr>
          <w:p w14:paraId="5D616EA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122.77</w:t>
            </w:r>
          </w:p>
        </w:tc>
        <w:tc>
          <w:tcPr>
            <w:tcW w:w="1116" w:type="dxa"/>
            <w:tcBorders>
              <w:top w:val="nil"/>
              <w:left w:val="nil"/>
              <w:bottom w:val="single" w:color="auto" w:sz="4" w:space="0"/>
              <w:right w:val="single" w:color="auto" w:sz="4" w:space="0"/>
            </w:tcBorders>
            <w:shd w:val="clear" w:color="auto" w:fill="auto"/>
            <w:noWrap/>
            <w:vAlign w:val="center"/>
          </w:tcPr>
          <w:p w14:paraId="256FA2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D6000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top"/>
          </w:tcPr>
          <w:p w14:paraId="5DFB1B2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0.42</w:t>
            </w:r>
          </w:p>
        </w:tc>
        <w:tc>
          <w:tcPr>
            <w:tcW w:w="1217" w:type="dxa"/>
            <w:tcBorders>
              <w:top w:val="nil"/>
              <w:left w:val="nil"/>
              <w:bottom w:val="single" w:color="auto" w:sz="4" w:space="0"/>
              <w:right w:val="single" w:color="auto" w:sz="4" w:space="0"/>
            </w:tcBorders>
            <w:shd w:val="clear" w:color="auto" w:fill="auto"/>
            <w:noWrap/>
            <w:vAlign w:val="center"/>
          </w:tcPr>
          <w:p w14:paraId="508E2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9515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top"/>
          </w:tcPr>
          <w:p w14:paraId="45A1AB8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1C91E2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2BF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8B4C2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top"/>
          </w:tcPr>
          <w:p w14:paraId="0052D5B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69.88</w:t>
            </w:r>
          </w:p>
        </w:tc>
        <w:tc>
          <w:tcPr>
            <w:tcW w:w="1116" w:type="dxa"/>
            <w:tcBorders>
              <w:top w:val="nil"/>
              <w:left w:val="nil"/>
              <w:bottom w:val="single" w:color="auto" w:sz="4" w:space="0"/>
              <w:right w:val="single" w:color="auto" w:sz="4" w:space="0"/>
            </w:tcBorders>
            <w:shd w:val="clear" w:color="auto" w:fill="auto"/>
            <w:noWrap/>
            <w:vAlign w:val="center"/>
          </w:tcPr>
          <w:p w14:paraId="1DC2B1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85859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top"/>
          </w:tcPr>
          <w:p w14:paraId="232CB54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0.76</w:t>
            </w:r>
          </w:p>
        </w:tc>
        <w:tc>
          <w:tcPr>
            <w:tcW w:w="1217" w:type="dxa"/>
            <w:tcBorders>
              <w:top w:val="nil"/>
              <w:left w:val="nil"/>
              <w:bottom w:val="single" w:color="auto" w:sz="4" w:space="0"/>
              <w:right w:val="single" w:color="auto" w:sz="4" w:space="0"/>
            </w:tcBorders>
            <w:shd w:val="clear" w:color="auto" w:fill="auto"/>
            <w:noWrap/>
            <w:vAlign w:val="center"/>
          </w:tcPr>
          <w:p w14:paraId="2AC8E0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0BF8B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top"/>
          </w:tcPr>
          <w:p w14:paraId="01A0DB9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327A00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2DE1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49AC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top"/>
          </w:tcPr>
          <w:p w14:paraId="4A67B40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29.45</w:t>
            </w:r>
          </w:p>
        </w:tc>
        <w:tc>
          <w:tcPr>
            <w:tcW w:w="1116" w:type="dxa"/>
            <w:tcBorders>
              <w:top w:val="nil"/>
              <w:left w:val="nil"/>
              <w:bottom w:val="single" w:color="auto" w:sz="4" w:space="0"/>
              <w:right w:val="single" w:color="auto" w:sz="4" w:space="0"/>
            </w:tcBorders>
            <w:shd w:val="clear" w:color="auto" w:fill="auto"/>
            <w:noWrap/>
            <w:vAlign w:val="center"/>
          </w:tcPr>
          <w:p w14:paraId="61B670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6247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top"/>
          </w:tcPr>
          <w:p w14:paraId="09CBF92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5CE32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9982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top"/>
          </w:tcPr>
          <w:p w14:paraId="3D8063A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52C4C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D5D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CB09E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top"/>
          </w:tcPr>
          <w:p w14:paraId="423A121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49777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A9A3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top"/>
          </w:tcPr>
          <w:p w14:paraId="40224D2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437073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52205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top"/>
          </w:tcPr>
          <w:p w14:paraId="2D87B01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2A81C9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2D6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1B48F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top"/>
          </w:tcPr>
          <w:p w14:paraId="155D18B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60.57</w:t>
            </w:r>
          </w:p>
        </w:tc>
        <w:tc>
          <w:tcPr>
            <w:tcW w:w="1116" w:type="dxa"/>
            <w:tcBorders>
              <w:top w:val="nil"/>
              <w:left w:val="nil"/>
              <w:bottom w:val="single" w:color="auto" w:sz="4" w:space="0"/>
              <w:right w:val="single" w:color="auto" w:sz="4" w:space="0"/>
            </w:tcBorders>
            <w:shd w:val="clear" w:color="auto" w:fill="auto"/>
            <w:noWrap/>
            <w:vAlign w:val="center"/>
          </w:tcPr>
          <w:p w14:paraId="475B25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CAF2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top"/>
          </w:tcPr>
          <w:p w14:paraId="6C4C12D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5B5CEA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66DC5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top"/>
          </w:tcPr>
          <w:p w14:paraId="0BB85F7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32288A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4446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49388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top"/>
          </w:tcPr>
          <w:p w14:paraId="658C9B3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42.67</w:t>
            </w:r>
          </w:p>
        </w:tc>
        <w:tc>
          <w:tcPr>
            <w:tcW w:w="1116" w:type="dxa"/>
            <w:tcBorders>
              <w:top w:val="nil"/>
              <w:left w:val="nil"/>
              <w:bottom w:val="single" w:color="auto" w:sz="4" w:space="0"/>
              <w:right w:val="single" w:color="auto" w:sz="4" w:space="0"/>
            </w:tcBorders>
            <w:shd w:val="clear" w:color="auto" w:fill="auto"/>
            <w:noWrap/>
            <w:vAlign w:val="center"/>
          </w:tcPr>
          <w:p w14:paraId="5736B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FD45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top"/>
          </w:tcPr>
          <w:p w14:paraId="5AD5014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4FDB0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D413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top"/>
          </w:tcPr>
          <w:p w14:paraId="2C51D6A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64F80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88F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10FA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top"/>
          </w:tcPr>
          <w:p w14:paraId="116487B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238BDE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5EF9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top"/>
          </w:tcPr>
          <w:p w14:paraId="229A29A0">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5825A3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9360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top"/>
          </w:tcPr>
          <w:p w14:paraId="2EB6CD7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3BD11A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1B3E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1559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top"/>
          </w:tcPr>
          <w:p w14:paraId="7A96C62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33.94</w:t>
            </w:r>
          </w:p>
        </w:tc>
        <w:tc>
          <w:tcPr>
            <w:tcW w:w="1116" w:type="dxa"/>
            <w:tcBorders>
              <w:top w:val="nil"/>
              <w:left w:val="nil"/>
              <w:bottom w:val="single" w:color="auto" w:sz="4" w:space="0"/>
              <w:right w:val="single" w:color="auto" w:sz="4" w:space="0"/>
            </w:tcBorders>
            <w:shd w:val="clear" w:color="auto" w:fill="auto"/>
            <w:noWrap/>
            <w:vAlign w:val="center"/>
          </w:tcPr>
          <w:p w14:paraId="003F38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6D2D5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top"/>
          </w:tcPr>
          <w:p w14:paraId="0B155D1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718AB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82BC8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top"/>
          </w:tcPr>
          <w:p w14:paraId="2C56542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666DE3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40BF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3025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top"/>
          </w:tcPr>
          <w:p w14:paraId="10C65DB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5F6F0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B046A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top"/>
          </w:tcPr>
          <w:p w14:paraId="5C68292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04280F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31845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top"/>
          </w:tcPr>
          <w:p w14:paraId="1DE8B19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2A3496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1957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C4991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top"/>
          </w:tcPr>
          <w:p w14:paraId="4C26DBB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0.07</w:t>
            </w:r>
          </w:p>
        </w:tc>
        <w:tc>
          <w:tcPr>
            <w:tcW w:w="1116" w:type="dxa"/>
            <w:tcBorders>
              <w:top w:val="nil"/>
              <w:left w:val="nil"/>
              <w:bottom w:val="single" w:color="auto" w:sz="4" w:space="0"/>
              <w:right w:val="single" w:color="auto" w:sz="4" w:space="0"/>
            </w:tcBorders>
            <w:shd w:val="clear" w:color="auto" w:fill="auto"/>
            <w:noWrap/>
            <w:vAlign w:val="center"/>
          </w:tcPr>
          <w:p w14:paraId="1CE0D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96904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top"/>
          </w:tcPr>
          <w:p w14:paraId="62CDE77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0.38</w:t>
            </w:r>
          </w:p>
        </w:tc>
        <w:tc>
          <w:tcPr>
            <w:tcW w:w="1217" w:type="dxa"/>
            <w:tcBorders>
              <w:top w:val="nil"/>
              <w:left w:val="nil"/>
              <w:bottom w:val="single" w:color="auto" w:sz="4" w:space="0"/>
              <w:right w:val="single" w:color="auto" w:sz="4" w:space="0"/>
            </w:tcBorders>
            <w:shd w:val="clear" w:color="auto" w:fill="auto"/>
            <w:noWrap/>
            <w:vAlign w:val="center"/>
          </w:tcPr>
          <w:p w14:paraId="6719BD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EC993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top"/>
          </w:tcPr>
          <w:p w14:paraId="79B786B4">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CE5EC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EA9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1BA7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top"/>
          </w:tcPr>
          <w:p w14:paraId="1638BB9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33.56</w:t>
            </w:r>
          </w:p>
        </w:tc>
        <w:tc>
          <w:tcPr>
            <w:tcW w:w="1116" w:type="dxa"/>
            <w:tcBorders>
              <w:top w:val="nil"/>
              <w:left w:val="nil"/>
              <w:bottom w:val="single" w:color="auto" w:sz="4" w:space="0"/>
              <w:right w:val="single" w:color="auto" w:sz="4" w:space="0"/>
            </w:tcBorders>
            <w:shd w:val="clear" w:color="auto" w:fill="auto"/>
            <w:noWrap/>
            <w:vAlign w:val="center"/>
          </w:tcPr>
          <w:p w14:paraId="56E12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276C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top"/>
          </w:tcPr>
          <w:p w14:paraId="7EFA29D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72719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1544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top"/>
          </w:tcPr>
          <w:p w14:paraId="61DAB13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270E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690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8B14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top"/>
          </w:tcPr>
          <w:p w14:paraId="7790AB3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06FA39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CEE7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top"/>
          </w:tcPr>
          <w:p w14:paraId="5454944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31E1C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A8A0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top"/>
          </w:tcPr>
          <w:p w14:paraId="1D85C6D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B2D02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4DEF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C36A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top"/>
          </w:tcPr>
          <w:p w14:paraId="091D5B5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8.25</w:t>
            </w:r>
          </w:p>
        </w:tc>
        <w:tc>
          <w:tcPr>
            <w:tcW w:w="1116" w:type="dxa"/>
            <w:tcBorders>
              <w:top w:val="nil"/>
              <w:left w:val="nil"/>
              <w:bottom w:val="single" w:color="auto" w:sz="4" w:space="0"/>
              <w:right w:val="single" w:color="auto" w:sz="4" w:space="0"/>
            </w:tcBorders>
            <w:shd w:val="clear" w:color="auto" w:fill="auto"/>
            <w:noWrap/>
            <w:vAlign w:val="center"/>
          </w:tcPr>
          <w:p w14:paraId="4FCAB6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F9FB2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top"/>
          </w:tcPr>
          <w:p w14:paraId="2F976EC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6963B7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8AA5C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top"/>
          </w:tcPr>
          <w:p w14:paraId="146F9100">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A825E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B24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0F26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top"/>
          </w:tcPr>
          <w:p w14:paraId="5205E70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16.95</w:t>
            </w:r>
          </w:p>
        </w:tc>
        <w:tc>
          <w:tcPr>
            <w:tcW w:w="1116" w:type="dxa"/>
            <w:tcBorders>
              <w:top w:val="nil"/>
              <w:left w:val="nil"/>
              <w:bottom w:val="single" w:color="auto" w:sz="4" w:space="0"/>
              <w:right w:val="single" w:color="auto" w:sz="4" w:space="0"/>
            </w:tcBorders>
            <w:shd w:val="clear" w:color="auto" w:fill="auto"/>
            <w:noWrap/>
            <w:vAlign w:val="center"/>
          </w:tcPr>
          <w:p w14:paraId="387C8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75A85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top"/>
          </w:tcPr>
          <w:p w14:paraId="781360B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7056F3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3F93F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top"/>
          </w:tcPr>
          <w:p w14:paraId="7F5CBC4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0DF068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6293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BAB5C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top"/>
          </w:tcPr>
          <w:p w14:paraId="71DDC98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24273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12B0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top"/>
          </w:tcPr>
          <w:p w14:paraId="4F9C6E74">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16CAA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96E39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top"/>
          </w:tcPr>
          <w:p w14:paraId="41D08D9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16DDF4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64B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7AEE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top"/>
          </w:tcPr>
          <w:p w14:paraId="173B658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324D4F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2F51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top"/>
          </w:tcPr>
          <w:p w14:paraId="4BDF726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67805E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DFC30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top"/>
          </w:tcPr>
          <w:p w14:paraId="694AC38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1B28FD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FC8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2DF8E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top"/>
          </w:tcPr>
          <w:p w14:paraId="17C27B0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7F733E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6947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top"/>
          </w:tcPr>
          <w:p w14:paraId="3C72F2F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46261A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8CF0A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top"/>
          </w:tcPr>
          <w:p w14:paraId="0F603DC0">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AA379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B87E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4DC5A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top"/>
          </w:tcPr>
          <w:p w14:paraId="3993B8C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0A865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B6BE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top"/>
          </w:tcPr>
          <w:p w14:paraId="6E313F9C">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666FA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EB9FF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top"/>
          </w:tcPr>
          <w:p w14:paraId="53D744E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0878519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D6CC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2580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top"/>
          </w:tcPr>
          <w:p w14:paraId="47FEBD2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16.95</w:t>
            </w:r>
          </w:p>
        </w:tc>
        <w:tc>
          <w:tcPr>
            <w:tcW w:w="1116" w:type="dxa"/>
            <w:tcBorders>
              <w:top w:val="nil"/>
              <w:left w:val="nil"/>
              <w:bottom w:val="single" w:color="auto" w:sz="4" w:space="0"/>
              <w:right w:val="single" w:color="auto" w:sz="4" w:space="0"/>
            </w:tcBorders>
            <w:shd w:val="clear" w:color="auto" w:fill="auto"/>
            <w:noWrap/>
            <w:vAlign w:val="center"/>
          </w:tcPr>
          <w:p w14:paraId="10D0D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98DEB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top"/>
          </w:tcPr>
          <w:p w14:paraId="40D887E1">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239B4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8DEB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top"/>
          </w:tcPr>
          <w:p w14:paraId="5E9FCD6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13AF6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311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D93E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top"/>
          </w:tcPr>
          <w:p w14:paraId="7CAA498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683287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4A169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top"/>
          </w:tcPr>
          <w:p w14:paraId="3799897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02686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E4DE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top"/>
          </w:tcPr>
          <w:p w14:paraId="23009B8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3A620C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BD8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CE51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top"/>
          </w:tcPr>
          <w:p w14:paraId="3E418089">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5E043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425D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top"/>
          </w:tcPr>
          <w:p w14:paraId="0EFE77F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76B3C0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EEAA0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top"/>
          </w:tcPr>
          <w:p w14:paraId="7CC89D40">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3CD3D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FE63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BFD6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top"/>
          </w:tcPr>
          <w:p w14:paraId="0E07206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2B046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62E7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top"/>
          </w:tcPr>
          <w:p w14:paraId="379F7AD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23.16</w:t>
            </w:r>
          </w:p>
        </w:tc>
        <w:tc>
          <w:tcPr>
            <w:tcW w:w="1217" w:type="dxa"/>
            <w:tcBorders>
              <w:top w:val="nil"/>
              <w:left w:val="nil"/>
              <w:bottom w:val="single" w:color="auto" w:sz="4" w:space="0"/>
              <w:right w:val="single" w:color="auto" w:sz="4" w:space="0"/>
            </w:tcBorders>
            <w:shd w:val="clear" w:color="auto" w:fill="auto"/>
            <w:noWrap/>
            <w:vAlign w:val="center"/>
          </w:tcPr>
          <w:p w14:paraId="32DFB8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03DEC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top"/>
          </w:tcPr>
          <w:p w14:paraId="6F1601D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57D396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4E2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F2634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top"/>
          </w:tcPr>
          <w:p w14:paraId="4769CD2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4E0135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23397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top"/>
          </w:tcPr>
          <w:p w14:paraId="34433E3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45EB2C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E8B0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CBF9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46A840D">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A137A1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07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DBE8AA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C20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F9C32A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954BBB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EE2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8676AF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EE7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6242B1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top"/>
          </w:tcPr>
          <w:p w14:paraId="5D5795B7">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75D569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A18E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94137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top"/>
          </w:tcPr>
          <w:p w14:paraId="5D574083">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2157D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09791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top"/>
          </w:tcPr>
          <w:p w14:paraId="6AD49D7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0F947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853DC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top"/>
          </w:tcPr>
          <w:p w14:paraId="79A6B4FC">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0F60ED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C59A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A284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top"/>
          </w:tcPr>
          <w:p w14:paraId="661E759D">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0A9B85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A40D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top"/>
          </w:tcPr>
          <w:p w14:paraId="0179038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22.07</w:t>
            </w:r>
          </w:p>
        </w:tc>
        <w:tc>
          <w:tcPr>
            <w:tcW w:w="1217" w:type="dxa"/>
            <w:tcBorders>
              <w:top w:val="nil"/>
              <w:left w:val="nil"/>
              <w:bottom w:val="single" w:color="auto" w:sz="4" w:space="0"/>
              <w:right w:val="single" w:color="auto" w:sz="4" w:space="0"/>
            </w:tcBorders>
            <w:shd w:val="clear" w:color="auto" w:fill="auto"/>
            <w:noWrap/>
            <w:vAlign w:val="center"/>
          </w:tcPr>
          <w:p w14:paraId="04F1A0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55C00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top"/>
          </w:tcPr>
          <w:p w14:paraId="44CC922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14:paraId="2A12BA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770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9D46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top"/>
          </w:tcPr>
          <w:p w14:paraId="004847CA">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116" w:type="dxa"/>
            <w:tcBorders>
              <w:top w:val="nil"/>
              <w:left w:val="nil"/>
              <w:bottom w:val="single" w:color="auto" w:sz="4" w:space="0"/>
              <w:right w:val="single" w:color="auto" w:sz="4" w:space="0"/>
            </w:tcBorders>
            <w:shd w:val="clear" w:color="auto" w:fill="auto"/>
            <w:noWrap/>
            <w:vAlign w:val="center"/>
          </w:tcPr>
          <w:p w14:paraId="32C329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18C8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top"/>
          </w:tcPr>
          <w:p w14:paraId="07DE6C7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3FE101E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AA7D3B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47E16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3455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4B1C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0E62C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2F3F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796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762F0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top"/>
          </w:tcPr>
          <w:p w14:paraId="32BA7B4C">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217" w:type="dxa"/>
            <w:tcBorders>
              <w:top w:val="nil"/>
              <w:left w:val="nil"/>
              <w:bottom w:val="single" w:color="auto" w:sz="4" w:space="0"/>
              <w:right w:val="single" w:color="auto" w:sz="4" w:space="0"/>
            </w:tcBorders>
            <w:shd w:val="clear" w:color="auto" w:fill="auto"/>
            <w:noWrap/>
            <w:vAlign w:val="center"/>
          </w:tcPr>
          <w:p w14:paraId="121A6CB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7336C1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190A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96335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3797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8C21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418.1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DAC1D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EA08D6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46.79</w:t>
            </w:r>
          </w:p>
        </w:tc>
      </w:tr>
    </w:tbl>
    <w:p w14:paraId="106780B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5E658B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D77685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0B6C5E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BE0538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F44C7A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6014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2D5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CDF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0AB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13B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7AC6F4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8FF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5C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15B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804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0F5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B31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924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13E9">
            <w:pPr>
              <w:widowControl/>
              <w:jc w:val="center"/>
              <w:rPr>
                <w:rFonts w:ascii="Times New Roman" w:hAnsi="Times New Roman" w:eastAsia="仿宋_GB2312" w:cs="Times New Roman"/>
                <w:color w:val="000000"/>
                <w:sz w:val="24"/>
                <w:szCs w:val="24"/>
              </w:rPr>
            </w:pPr>
          </w:p>
        </w:tc>
      </w:tr>
      <w:tr w14:paraId="54EEF91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9D6D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C49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54F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6A07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788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FB0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C9A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F42C">
            <w:pPr>
              <w:jc w:val="center"/>
              <w:rPr>
                <w:rFonts w:ascii="Times New Roman" w:hAnsi="Times New Roman" w:eastAsia="仿宋_GB2312" w:cs="Times New Roman"/>
                <w:color w:val="000000"/>
                <w:sz w:val="24"/>
                <w:szCs w:val="24"/>
              </w:rPr>
            </w:pPr>
          </w:p>
        </w:tc>
      </w:tr>
      <w:tr w14:paraId="3D8BEF4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DB7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CD1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81D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86D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96A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C9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12A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9A95">
            <w:pPr>
              <w:jc w:val="center"/>
              <w:rPr>
                <w:rFonts w:ascii="Times New Roman" w:hAnsi="Times New Roman" w:eastAsia="仿宋_GB2312" w:cs="Times New Roman"/>
                <w:color w:val="000000"/>
                <w:sz w:val="24"/>
                <w:szCs w:val="24"/>
              </w:rPr>
            </w:pPr>
          </w:p>
        </w:tc>
      </w:tr>
      <w:tr w14:paraId="5791967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12B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90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CC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10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57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92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E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6A65BB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A83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33F9">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738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2364">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F99">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6A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05F">
            <w:pPr>
              <w:jc w:val="center"/>
              <w:rPr>
                <w:rFonts w:ascii="Times New Roman" w:hAnsi="Times New Roman" w:eastAsia="仿宋_GB2312" w:cs="Times New Roman"/>
                <w:color w:val="000000"/>
                <w:sz w:val="24"/>
                <w:szCs w:val="24"/>
              </w:rPr>
            </w:pPr>
          </w:p>
        </w:tc>
      </w:tr>
      <w:tr w14:paraId="4E13503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3F2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16B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4F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0B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F3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1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B86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C3DE">
            <w:pPr>
              <w:rPr>
                <w:rFonts w:ascii="Times New Roman" w:hAnsi="Times New Roman" w:eastAsia="仿宋_GB2312" w:cs="Times New Roman"/>
                <w:color w:val="000000"/>
                <w:sz w:val="24"/>
                <w:szCs w:val="24"/>
              </w:rPr>
            </w:pPr>
          </w:p>
        </w:tc>
      </w:tr>
      <w:tr w14:paraId="24A587D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18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FD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D23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8B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8E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87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23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5F9">
            <w:pPr>
              <w:rPr>
                <w:rFonts w:ascii="Times New Roman" w:hAnsi="Times New Roman" w:eastAsia="仿宋_GB2312" w:cs="Times New Roman"/>
                <w:color w:val="000000"/>
                <w:sz w:val="24"/>
                <w:szCs w:val="24"/>
              </w:rPr>
            </w:pPr>
          </w:p>
        </w:tc>
      </w:tr>
      <w:tr w14:paraId="2F3867B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C4C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19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060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57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1D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DC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E0D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7ACC">
            <w:pPr>
              <w:rPr>
                <w:rFonts w:ascii="Times New Roman" w:hAnsi="Times New Roman" w:eastAsia="仿宋_GB2312" w:cs="Times New Roman"/>
                <w:color w:val="000000"/>
                <w:sz w:val="24"/>
                <w:szCs w:val="24"/>
              </w:rPr>
            </w:pPr>
          </w:p>
        </w:tc>
      </w:tr>
      <w:tr w14:paraId="799B7CE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81F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45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E9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95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11E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57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8D5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677">
            <w:pPr>
              <w:rPr>
                <w:rFonts w:ascii="Times New Roman" w:hAnsi="Times New Roman" w:eastAsia="仿宋_GB2312" w:cs="Times New Roman"/>
                <w:color w:val="000000"/>
                <w:sz w:val="24"/>
                <w:szCs w:val="24"/>
              </w:rPr>
            </w:pPr>
          </w:p>
        </w:tc>
      </w:tr>
      <w:tr w14:paraId="45AC08A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539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D1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51D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77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BA1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690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AF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324F">
            <w:pPr>
              <w:rPr>
                <w:rFonts w:ascii="Times New Roman" w:hAnsi="Times New Roman" w:eastAsia="仿宋_GB2312" w:cs="Times New Roman"/>
                <w:color w:val="000000"/>
                <w:sz w:val="24"/>
                <w:szCs w:val="24"/>
              </w:rPr>
            </w:pPr>
          </w:p>
        </w:tc>
      </w:tr>
      <w:tr w14:paraId="54683E8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07B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B3B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560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6F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F92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CD3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F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BF51">
            <w:pPr>
              <w:rPr>
                <w:rFonts w:ascii="Times New Roman" w:hAnsi="Times New Roman" w:eastAsia="仿宋_GB2312" w:cs="Times New Roman"/>
                <w:color w:val="000000"/>
                <w:sz w:val="24"/>
                <w:szCs w:val="24"/>
              </w:rPr>
            </w:pPr>
          </w:p>
        </w:tc>
      </w:tr>
    </w:tbl>
    <w:p w14:paraId="3ABE07D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44EAC35">
      <w:pPr>
        <w:widowControl/>
        <w:jc w:val="left"/>
        <w:textAlignment w:val="center"/>
        <w:rPr>
          <w:rFonts w:ascii="Times New Roman" w:hAnsi="Times New Roman" w:eastAsia="仿宋_GB2312" w:cs="Times New Roman"/>
          <w:color w:val="000000"/>
          <w:kern w:val="0"/>
          <w:sz w:val="24"/>
          <w:szCs w:val="24"/>
          <w:lang w:bidi="ar"/>
        </w:rPr>
      </w:pPr>
    </w:p>
    <w:p w14:paraId="3FC5805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245D501E">
      <w:pPr>
        <w:widowControl/>
        <w:jc w:val="center"/>
        <w:rPr>
          <w:rFonts w:ascii="Times New Roman" w:hAnsi="Times New Roman" w:eastAsia="方正小标宋_GBK" w:cs="Times New Roman"/>
          <w:color w:val="000000"/>
          <w:kern w:val="0"/>
          <w:sz w:val="36"/>
          <w:szCs w:val="36"/>
        </w:rPr>
      </w:pPr>
    </w:p>
    <w:p w14:paraId="5EB2B0A6">
      <w:pPr>
        <w:widowControl/>
        <w:spacing w:line="400" w:lineRule="exact"/>
        <w:textAlignment w:val="center"/>
        <w:rPr>
          <w:rFonts w:ascii="Times New Roman" w:hAnsi="Times New Roman" w:eastAsia="黑体" w:cs="Times New Roman"/>
          <w:color w:val="000000"/>
          <w:kern w:val="0"/>
          <w:sz w:val="36"/>
          <w:szCs w:val="36"/>
          <w:lang w:bidi="ar"/>
        </w:rPr>
      </w:pPr>
    </w:p>
    <w:p w14:paraId="547F670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B1EF84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18DF27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怀化市医疗保障事务中心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397"/>
        <w:gridCol w:w="3401"/>
        <w:gridCol w:w="2011"/>
        <w:gridCol w:w="3401"/>
        <w:gridCol w:w="3401"/>
      </w:tblGrid>
      <w:tr w14:paraId="145F8BB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394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487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0D0D25C">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AD4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8D0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8BD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A72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563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88B346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CF3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CAD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98C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DC7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8CB1">
            <w:pPr>
              <w:jc w:val="center"/>
              <w:rPr>
                <w:rFonts w:ascii="Times New Roman" w:hAnsi="Times New Roman" w:eastAsia="仿宋_GB2312" w:cs="Times New Roman"/>
                <w:color w:val="000000"/>
                <w:sz w:val="24"/>
                <w:szCs w:val="24"/>
              </w:rPr>
            </w:pPr>
          </w:p>
        </w:tc>
      </w:tr>
      <w:tr w14:paraId="37E17A2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7B5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805B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39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EA2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F05C">
            <w:pPr>
              <w:jc w:val="center"/>
              <w:rPr>
                <w:rFonts w:ascii="Times New Roman" w:hAnsi="Times New Roman" w:eastAsia="仿宋_GB2312" w:cs="Times New Roman"/>
                <w:color w:val="000000"/>
                <w:sz w:val="24"/>
                <w:szCs w:val="24"/>
              </w:rPr>
            </w:pPr>
          </w:p>
        </w:tc>
      </w:tr>
      <w:tr w14:paraId="1E22931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A0B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A4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3F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31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01C2D1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EB4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357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13D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C117">
            <w:pPr>
              <w:jc w:val="center"/>
              <w:rPr>
                <w:rFonts w:ascii="Times New Roman" w:hAnsi="Times New Roman" w:eastAsia="仿宋_GB2312" w:cs="Times New Roman"/>
                <w:color w:val="000000"/>
                <w:sz w:val="24"/>
                <w:szCs w:val="24"/>
              </w:rPr>
            </w:pPr>
          </w:p>
        </w:tc>
      </w:tr>
      <w:tr w14:paraId="64C1369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D1C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020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47F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98E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0F54">
            <w:pPr>
              <w:rPr>
                <w:rFonts w:ascii="Times New Roman" w:hAnsi="Times New Roman" w:eastAsia="仿宋_GB2312" w:cs="Times New Roman"/>
                <w:color w:val="000000"/>
                <w:sz w:val="24"/>
                <w:szCs w:val="24"/>
              </w:rPr>
            </w:pPr>
          </w:p>
        </w:tc>
      </w:tr>
      <w:tr w14:paraId="21A79E6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514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C7A2">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1F6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896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1469">
            <w:pPr>
              <w:rPr>
                <w:rFonts w:ascii="Times New Roman" w:hAnsi="Times New Roman" w:eastAsia="仿宋_GB2312" w:cs="Times New Roman"/>
                <w:color w:val="000000"/>
                <w:sz w:val="24"/>
                <w:szCs w:val="24"/>
              </w:rPr>
            </w:pPr>
          </w:p>
        </w:tc>
      </w:tr>
      <w:tr w14:paraId="1E29E59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26D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1056">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3E2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0F2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CCAE">
            <w:pPr>
              <w:rPr>
                <w:rFonts w:ascii="Times New Roman" w:hAnsi="Times New Roman" w:eastAsia="宋体" w:cs="Times New Roman"/>
                <w:color w:val="000000"/>
                <w:sz w:val="24"/>
                <w:szCs w:val="24"/>
              </w:rPr>
            </w:pPr>
          </w:p>
        </w:tc>
      </w:tr>
      <w:tr w14:paraId="21C37A1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DF6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FF6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2A3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03D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F21E">
            <w:pPr>
              <w:rPr>
                <w:rFonts w:ascii="Times New Roman" w:hAnsi="Times New Roman" w:eastAsia="宋体" w:cs="Times New Roman"/>
                <w:color w:val="000000"/>
                <w:sz w:val="24"/>
                <w:szCs w:val="24"/>
              </w:rPr>
            </w:pPr>
          </w:p>
        </w:tc>
      </w:tr>
      <w:tr w14:paraId="5718A1B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B33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CC9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930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A8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431D">
            <w:pPr>
              <w:rPr>
                <w:rFonts w:ascii="Times New Roman" w:hAnsi="Times New Roman" w:eastAsia="宋体" w:cs="Times New Roman"/>
                <w:color w:val="000000"/>
                <w:sz w:val="24"/>
                <w:szCs w:val="24"/>
              </w:rPr>
            </w:pPr>
          </w:p>
        </w:tc>
      </w:tr>
      <w:tr w14:paraId="3AE3D08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050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484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97C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1FD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6230">
            <w:pPr>
              <w:rPr>
                <w:rFonts w:ascii="Times New Roman" w:hAnsi="Times New Roman" w:eastAsia="宋体" w:cs="Times New Roman"/>
                <w:color w:val="000000"/>
                <w:sz w:val="24"/>
                <w:szCs w:val="24"/>
              </w:rPr>
            </w:pPr>
          </w:p>
        </w:tc>
      </w:tr>
    </w:tbl>
    <w:p w14:paraId="6568818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6127D71">
      <w:pPr>
        <w:widowControl/>
        <w:jc w:val="left"/>
        <w:textAlignment w:val="center"/>
        <w:rPr>
          <w:rFonts w:ascii="Times New Roman" w:hAnsi="Times New Roman" w:eastAsia="宋体" w:cs="Times New Roman"/>
          <w:color w:val="000000"/>
          <w:kern w:val="0"/>
          <w:sz w:val="24"/>
          <w:szCs w:val="24"/>
          <w:lang w:bidi="ar"/>
        </w:rPr>
      </w:pPr>
    </w:p>
    <w:p w14:paraId="740C5EA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9470F03">
      <w:pPr>
        <w:widowControl/>
        <w:jc w:val="center"/>
        <w:rPr>
          <w:rFonts w:ascii="Times New Roman" w:hAnsi="Times New Roman" w:eastAsia="方正小标宋_GBK" w:cs="Times New Roman"/>
          <w:color w:val="000000"/>
          <w:kern w:val="0"/>
          <w:sz w:val="36"/>
          <w:szCs w:val="36"/>
        </w:rPr>
      </w:pPr>
    </w:p>
    <w:p w14:paraId="238EDB29">
      <w:pPr>
        <w:pStyle w:val="8"/>
        <w:spacing w:line="400" w:lineRule="exact"/>
        <w:rPr>
          <w:rFonts w:ascii="Times New Roman" w:hAnsi="Times New Roman" w:eastAsia="华文中宋" w:cs="Times New Roman"/>
          <w:color w:val="000000"/>
          <w:kern w:val="0"/>
          <w:sz w:val="32"/>
          <w:szCs w:val="32"/>
          <w:lang w:bidi="ar"/>
        </w:rPr>
      </w:pPr>
    </w:p>
    <w:p w14:paraId="0CC55F1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337716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52E2D2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怀化市医疗保障事务中心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4657" w:type="pct"/>
        <w:jc w:val="center"/>
        <w:tblLayout w:type="autofit"/>
        <w:tblCellMar>
          <w:top w:w="0" w:type="dxa"/>
          <w:left w:w="108" w:type="dxa"/>
          <w:bottom w:w="0" w:type="dxa"/>
          <w:right w:w="108" w:type="dxa"/>
        </w:tblCellMar>
      </w:tblPr>
      <w:tblGrid>
        <w:gridCol w:w="934"/>
        <w:gridCol w:w="1227"/>
        <w:gridCol w:w="1085"/>
        <w:gridCol w:w="1187"/>
        <w:gridCol w:w="1425"/>
        <w:gridCol w:w="1379"/>
        <w:gridCol w:w="1047"/>
        <w:gridCol w:w="1163"/>
        <w:gridCol w:w="1163"/>
        <w:gridCol w:w="1163"/>
        <w:gridCol w:w="1361"/>
        <w:gridCol w:w="1409"/>
      </w:tblGrid>
      <w:tr w14:paraId="73B60567">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8AF01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9423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61B815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114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555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DFB8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0B7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F3EB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92A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0AA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77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EF619D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0E83">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269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EF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BA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1A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2889">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6A78">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EC8E">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B8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64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EF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EBE6">
            <w:pPr>
              <w:jc w:val="center"/>
              <w:rPr>
                <w:rFonts w:ascii="Times New Roman" w:hAnsi="Times New Roman" w:eastAsia="仿宋_GB2312" w:cs="Times New Roman"/>
                <w:color w:val="000000"/>
                <w:sz w:val="22"/>
              </w:rPr>
            </w:pPr>
          </w:p>
        </w:tc>
      </w:tr>
      <w:tr w14:paraId="0902B84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80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DB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BD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6E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59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EC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03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8D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1E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D6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E9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0D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0FE821A">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top"/>
          </w:tcPr>
          <w:p w14:paraId="4D1B79E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5.60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top"/>
          </w:tcPr>
          <w:p w14:paraId="0A487E42">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top"/>
          </w:tcPr>
          <w:p w14:paraId="5DA6F635">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2.60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top"/>
          </w:tcPr>
          <w:p w14:paraId="038F8CA4">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top"/>
          </w:tcPr>
          <w:p w14:paraId="036D7F0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2.60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top"/>
          </w:tcPr>
          <w:p w14:paraId="586FFD6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3.00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top"/>
          </w:tcPr>
          <w:p w14:paraId="7AB2CACE">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0.71</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17F9C7E6">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5C3100A8">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top"/>
          </w:tcPr>
          <w:p w14:paraId="54251FCB">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top"/>
          </w:tcPr>
          <w:p w14:paraId="3BDB9E3F">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top"/>
          </w:tcPr>
          <w:p w14:paraId="285896B3">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0.71</w:t>
            </w:r>
          </w:p>
        </w:tc>
      </w:tr>
    </w:tbl>
    <w:p w14:paraId="1EE3933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39D1097">
      <w:pPr>
        <w:autoSpaceDE w:val="0"/>
        <w:autoSpaceDN w:val="0"/>
        <w:adjustRightInd w:val="0"/>
        <w:ind w:left="315" w:leftChars="150"/>
        <w:jc w:val="left"/>
        <w:rPr>
          <w:rFonts w:ascii="Times New Roman" w:hAnsi="Times New Roman" w:eastAsia="宋体" w:cs="Times New Roman"/>
          <w:kern w:val="0"/>
          <w:sz w:val="24"/>
          <w:szCs w:val="24"/>
        </w:rPr>
      </w:pPr>
    </w:p>
    <w:p w14:paraId="109D859E">
      <w:pPr>
        <w:autoSpaceDE w:val="0"/>
        <w:autoSpaceDN w:val="0"/>
        <w:adjustRightInd w:val="0"/>
        <w:ind w:left="315" w:leftChars="150"/>
        <w:jc w:val="left"/>
        <w:rPr>
          <w:rFonts w:ascii="Times New Roman" w:hAnsi="Times New Roman" w:eastAsia="宋体" w:cs="Times New Roman"/>
          <w:kern w:val="0"/>
          <w:sz w:val="24"/>
          <w:szCs w:val="24"/>
        </w:rPr>
      </w:pPr>
    </w:p>
    <w:p w14:paraId="7831D6CB">
      <w:pPr>
        <w:autoSpaceDE w:val="0"/>
        <w:autoSpaceDN w:val="0"/>
        <w:adjustRightInd w:val="0"/>
        <w:ind w:left="315" w:leftChars="150"/>
        <w:jc w:val="left"/>
        <w:rPr>
          <w:rFonts w:ascii="Times New Roman" w:hAnsi="Times New Roman" w:eastAsia="宋体" w:cs="Times New Roman"/>
          <w:kern w:val="0"/>
          <w:sz w:val="24"/>
          <w:szCs w:val="24"/>
        </w:rPr>
      </w:pPr>
    </w:p>
    <w:p w14:paraId="51FBB7F8">
      <w:pPr>
        <w:autoSpaceDE w:val="0"/>
        <w:autoSpaceDN w:val="0"/>
        <w:adjustRightInd w:val="0"/>
        <w:ind w:left="315" w:leftChars="150"/>
        <w:jc w:val="left"/>
        <w:rPr>
          <w:rFonts w:ascii="Times New Roman" w:hAnsi="Times New Roman" w:eastAsia="宋体" w:cs="Times New Roman"/>
          <w:kern w:val="0"/>
          <w:sz w:val="24"/>
          <w:szCs w:val="24"/>
        </w:rPr>
      </w:pPr>
    </w:p>
    <w:p w14:paraId="5635B279">
      <w:pPr>
        <w:autoSpaceDE w:val="0"/>
        <w:autoSpaceDN w:val="0"/>
        <w:adjustRightInd w:val="0"/>
        <w:ind w:left="315" w:leftChars="150"/>
        <w:jc w:val="left"/>
        <w:rPr>
          <w:rFonts w:ascii="Times New Roman" w:hAnsi="Times New Roman" w:eastAsia="宋体" w:cs="Times New Roman"/>
          <w:kern w:val="0"/>
          <w:sz w:val="24"/>
          <w:szCs w:val="24"/>
        </w:rPr>
      </w:pPr>
    </w:p>
    <w:p w14:paraId="0BCA803E">
      <w:pPr>
        <w:widowControl/>
        <w:rPr>
          <w:rFonts w:ascii="Times New Roman" w:hAnsi="Times New Roman" w:cs="Times New Roman"/>
          <w:sz w:val="72"/>
          <w:szCs w:val="72"/>
        </w:rPr>
        <w:sectPr>
          <w:pgSz w:w="16838" w:h="11906" w:orient="landscape"/>
          <w:pgMar w:top="720" w:right="720" w:bottom="720" w:left="720" w:header="851" w:footer="992" w:gutter="0"/>
          <w:cols w:space="425" w:num="1"/>
          <w:docGrid w:type="lines" w:linePitch="312" w:charSpace="0"/>
        </w:sectPr>
      </w:pPr>
      <w:r>
        <w:rPr>
          <w:rFonts w:ascii="Times New Roman" w:hAnsi="Times New Roman" w:eastAsia="黑体" w:cs="Times New Roman"/>
          <w:szCs w:val="21"/>
        </w:rPr>
        <w:br w:type="page"/>
      </w:r>
    </w:p>
    <w:p w14:paraId="571359C9">
      <w:pPr>
        <w:pStyle w:val="13"/>
        <w:rPr>
          <w:rFonts w:ascii="Times New Roman" w:hAnsi="Times New Roman" w:cs="Times New Roman"/>
          <w:sz w:val="72"/>
          <w:szCs w:val="72"/>
        </w:rPr>
      </w:pPr>
    </w:p>
    <w:p w14:paraId="4ECC4AEB">
      <w:pPr>
        <w:pStyle w:val="13"/>
        <w:rPr>
          <w:rFonts w:ascii="Times New Roman" w:hAnsi="Times New Roman" w:cs="Times New Roman"/>
          <w:sz w:val="72"/>
          <w:szCs w:val="72"/>
        </w:rPr>
      </w:pPr>
    </w:p>
    <w:p w14:paraId="4FA5DBAF">
      <w:pPr>
        <w:pStyle w:val="13"/>
        <w:rPr>
          <w:rFonts w:ascii="Times New Roman" w:hAnsi="Times New Roman" w:cs="Times New Roman"/>
          <w:sz w:val="72"/>
          <w:szCs w:val="72"/>
        </w:rPr>
      </w:pPr>
    </w:p>
    <w:p w14:paraId="53BFDD11">
      <w:pPr>
        <w:pStyle w:val="13"/>
        <w:jc w:val="center"/>
        <w:rPr>
          <w:rFonts w:ascii="Times New Roman" w:hAnsi="Times New Roman" w:cs="Times New Roman"/>
          <w:sz w:val="72"/>
          <w:szCs w:val="72"/>
        </w:rPr>
      </w:pPr>
    </w:p>
    <w:p w14:paraId="33D11198">
      <w:pPr>
        <w:pStyle w:val="13"/>
        <w:jc w:val="center"/>
        <w:rPr>
          <w:rFonts w:ascii="Times New Roman" w:hAnsi="Times New Roman" w:eastAsia="方正小标宋_GBK" w:cs="Times New Roman"/>
          <w:sz w:val="72"/>
          <w:szCs w:val="72"/>
        </w:rPr>
      </w:pPr>
    </w:p>
    <w:p w14:paraId="25F3494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E13F67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055DC3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F0D079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F755624">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val="en-US" w:eastAsia="zh-CN"/>
        </w:rPr>
        <w:t>入、</w:t>
      </w:r>
      <w:r>
        <w:rPr>
          <w:rFonts w:ascii="Times New Roman" w:hAnsi="Times New Roman" w:eastAsia="仿宋_GB2312" w:cs="Times New Roman"/>
          <w:sz w:val="32"/>
          <w:szCs w:val="32"/>
        </w:rPr>
        <w:t>支</w:t>
      </w:r>
      <w:r>
        <w:rPr>
          <w:rFonts w:hint="eastAsia" w:ascii="Times New Roman" w:hAnsi="Times New Roman" w:eastAsia="仿宋_GB2312" w:cs="Times New Roman"/>
          <w:sz w:val="32"/>
          <w:szCs w:val="32"/>
          <w:lang w:val="en-US" w:eastAsia="zh-CN"/>
        </w:rPr>
        <w:t>出合</w:t>
      </w:r>
      <w:r>
        <w:rPr>
          <w:rFonts w:ascii="Times New Roman" w:hAnsi="Times New Roman" w:eastAsia="仿宋_GB2312" w:cs="Times New Roman"/>
          <w:sz w:val="32"/>
          <w:szCs w:val="32"/>
        </w:rPr>
        <w:t>计</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25.45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新招录公务员。</w:t>
      </w:r>
    </w:p>
    <w:p w14:paraId="65D1AF6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F9B6E4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A13AFC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2F1238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464.89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75.36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152.01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24.64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693A69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27AE3E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25.45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新招录公务员。</w:t>
      </w:r>
    </w:p>
    <w:p w14:paraId="7694AF6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43E12B3">
      <w:pPr>
        <w:pStyle w:val="1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F1A761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25.45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新招录公务员。</w:t>
      </w:r>
    </w:p>
    <w:p w14:paraId="349F2AC9">
      <w:pPr>
        <w:pStyle w:val="1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B45E6E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290.19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47.04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326.17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52.87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0.55万元，占0.09%。</w:t>
      </w:r>
    </w:p>
    <w:p w14:paraId="161BDA0C">
      <w:pPr>
        <w:pStyle w:val="1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197659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775955B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20801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社会保险业务管理事务</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2080107</w:t>
      </w:r>
      <w:r>
        <w:rPr>
          <w:rFonts w:ascii="Times New Roman" w:hAnsi="Times New Roman" w:eastAsia="仿宋_GB2312" w:cs="Times New Roman"/>
          <w:sz w:val="32"/>
          <w:szCs w:val="32"/>
        </w:rPr>
        <w:t>）。</w:t>
      </w:r>
    </w:p>
    <w:p w14:paraId="20EA96E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278.28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278.28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662CEF0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20805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2080505</w:t>
      </w:r>
      <w:r>
        <w:rPr>
          <w:rFonts w:ascii="Times New Roman" w:hAnsi="Times New Roman" w:eastAsia="仿宋_GB2312" w:cs="Times New Roman"/>
          <w:sz w:val="32"/>
          <w:szCs w:val="32"/>
        </w:rPr>
        <w:t>）。</w:t>
      </w:r>
    </w:p>
    <w:p w14:paraId="72FC876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9616EE7">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20805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2080599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554B36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5655BD3">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2080</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其他就业补助支出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2080799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3968FD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9.30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74C4741">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21011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2101101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181B2A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A82E726">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21015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2101501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54C95C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176.28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176.28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EDE1787">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医疗保障管理事务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21015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其他医疗保障管理事务支出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2101599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3FD2D9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148.94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148.94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22B4FDB">
      <w:pPr>
        <w:pStyle w:val="13"/>
        <w:numPr>
          <w:ilvl w:val="0"/>
          <w:numId w:val="1"/>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22102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2210201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BD4BF60">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95A537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249311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464.89</w:t>
      </w:r>
      <w:r>
        <w:rPr>
          <w:rFonts w:ascii="Times New Roman" w:hAnsi="Times New Roman" w:eastAsia="仿宋_GB2312" w:cs="Times New Roman"/>
          <w:sz w:val="32"/>
          <w:szCs w:val="32"/>
        </w:rPr>
        <w:t>万元，其中：</w:t>
      </w:r>
    </w:p>
    <w:p w14:paraId="001AA0DE">
      <w:pPr>
        <w:pStyle w:val="13"/>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418.1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89.94</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122.77万元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69.88万元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29.45万元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val="en-US" w:eastAsia="zh-CN"/>
        </w:rPr>
        <w:t>60.57万元、机关事业单位基本养老保险缴费42.67万元、职工基本医疗保险缴费33.94万元、住房公积金33.56万元、其他工资福利支出8.25万元、生活补助16.95万元</w:t>
      </w:r>
      <w:r>
        <w:rPr>
          <w:rFonts w:ascii="Times New Roman" w:hAnsi="Times New Roman" w:eastAsia="仿宋_GB2312" w:cs="Times New Roman"/>
          <w:sz w:val="32"/>
          <w:szCs w:val="32"/>
        </w:rPr>
        <w:t>。</w:t>
      </w:r>
    </w:p>
    <w:p w14:paraId="068F2A68">
      <w:pPr>
        <w:pStyle w:val="13"/>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46.79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10.06</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0.42万元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val="en-US" w:eastAsia="zh-CN"/>
        </w:rPr>
        <w:t>0.38万元、工会经费23.16万元、其他交通费用22.07万元</w:t>
      </w:r>
      <w:r>
        <w:rPr>
          <w:rFonts w:ascii="Times New Roman" w:hAnsi="Times New Roman" w:eastAsia="仿宋_GB2312" w:cs="Times New Roman"/>
          <w:sz w:val="32"/>
          <w:szCs w:val="32"/>
        </w:rPr>
        <w:t>。</w:t>
      </w:r>
    </w:p>
    <w:p w14:paraId="3D16FC75">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w:t>
      </w:r>
      <w:r>
        <w:rPr>
          <w:rFonts w:ascii="Times New Roman" w:hAnsi="Times New Roman" w:cs="Times New Roman"/>
          <w:bCs/>
          <w:color w:val="auto"/>
          <w:sz w:val="32"/>
          <w:szCs w:val="32"/>
        </w:rPr>
        <w:t>财政拨款“三公”经费支出决算情况说明</w:t>
      </w:r>
    </w:p>
    <w:p w14:paraId="0711DE1F">
      <w:pPr>
        <w:pStyle w:val="13"/>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4930258">
      <w:pPr>
        <w:pStyle w:val="13"/>
        <w:overflowPunct w:val="0"/>
        <w:autoSpaceDE/>
        <w:autoSpaceDN/>
        <w:spacing w:line="600" w:lineRule="exact"/>
        <w:ind w:firstLine="640" w:firstLineChars="200"/>
        <w:jc w:val="both"/>
        <w:rPr>
          <w:rFonts w:ascii="Times New Roman" w:hAnsi="Times New Roman" w:eastAsia="仿宋_GB2312" w:cs="Times New Roman"/>
          <w:color w:val="FF0000"/>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0.71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23.67</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2.24</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75.93</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val="en-US" w:eastAsia="zh-CN"/>
        </w:rPr>
        <w:t>严格执行财政的厉行节约原则，减少公务接待</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s="Times New Roman"/>
          <w:color w:val="auto"/>
          <w:sz w:val="32"/>
          <w:szCs w:val="32"/>
          <w:lang w:val="en-US" w:eastAsia="zh-CN"/>
        </w:rPr>
        <w:t>严格执行财政的厉行节约原则，减少公务接待</w:t>
      </w:r>
      <w:r>
        <w:rPr>
          <w:rFonts w:ascii="Times New Roman" w:hAnsi="Times New Roman" w:eastAsia="仿宋_GB2312" w:cs="Times New Roman"/>
          <w:color w:val="auto"/>
          <w:sz w:val="32"/>
          <w:szCs w:val="32"/>
        </w:rPr>
        <w:t>。</w:t>
      </w:r>
    </w:p>
    <w:p w14:paraId="4F2CC30F">
      <w:pPr>
        <w:pStyle w:val="13"/>
        <w:overflowPunct w:val="0"/>
        <w:autoSpaceDE/>
        <w:autoSpaceDN/>
        <w:spacing w:line="600" w:lineRule="exact"/>
        <w:ind w:firstLine="643"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0C4C16AE">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无</w:t>
      </w:r>
      <w:r>
        <w:rPr>
          <w:rFonts w:hint="eastAsia" w:ascii="Times New Roman" w:hAnsi="Times New Roman" w:eastAsia="仿宋_GB2312" w:cs="Times New Roman"/>
          <w:color w:val="auto"/>
          <w:sz w:val="32"/>
          <w:szCs w:val="32"/>
        </w:rPr>
        <w:t>因公出国（境）费支出</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681770C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。其中：</w:t>
      </w:r>
    </w:p>
    <w:p w14:paraId="2FB4D7AD">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公务用车购置费支出。</w:t>
      </w:r>
      <w:r>
        <w:rPr>
          <w:rFonts w:hint="eastAsia" w:ascii="Times New Roman" w:hAnsi="Times New Roman" w:eastAsia="仿宋_GB2312" w:cs="Times New Roman"/>
          <w:color w:val="auto"/>
          <w:sz w:val="32"/>
          <w:szCs w:val="32"/>
          <w:lang w:val="en-US" w:eastAsia="zh-CN"/>
        </w:rPr>
        <w:t>怀化市医疗保障事务中心</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30A773A2">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预算数的主要原因是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公务用车运行维护费支出。决算数</w:t>
      </w:r>
      <w:r>
        <w:rPr>
          <w:rFonts w:hint="eastAsia" w:ascii="Times New Roman" w:hAnsi="Times New Roman" w:eastAsia="仿宋_GB2312" w:cs="Times New Roman"/>
          <w:color w:val="auto"/>
          <w:sz w:val="32"/>
          <w:szCs w:val="32"/>
          <w:lang w:val="en-US" w:eastAsia="zh-CN"/>
        </w:rPr>
        <w:t>等于</w:t>
      </w:r>
      <w:r>
        <w:rPr>
          <w:rFonts w:ascii="Times New Roman" w:hAnsi="Times New Roman" w:eastAsia="仿宋_GB2312" w:cs="Times New Roman"/>
          <w:color w:val="auto"/>
          <w:sz w:val="32"/>
          <w:szCs w:val="32"/>
        </w:rPr>
        <w:t>上年数的主要原因是</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公务用车运行维护费支出。截止2024年12月31日，我单位开支财政拨款的公务用车保有量为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ascii="Times New Roman" w:hAnsi="Times New Roman" w:eastAsia="楷体_GB2312" w:cs="Times New Roman"/>
          <w:b/>
          <w:bCs/>
          <w:i/>
          <w:color w:val="auto"/>
          <w:sz w:val="32"/>
          <w:szCs w:val="32"/>
        </w:rPr>
        <w:t>（三公经费支出口径应在专业名词解释中予以说明）</w:t>
      </w:r>
    </w:p>
    <w:p w14:paraId="536E4DB6">
      <w:pPr>
        <w:pStyle w:val="13"/>
        <w:numPr>
          <w:ilvl w:val="0"/>
          <w:numId w:val="2"/>
        </w:numPr>
        <w:overflowPunct w:val="0"/>
        <w:autoSpaceDE/>
        <w:autoSpaceDN/>
        <w:spacing w:line="600" w:lineRule="exact"/>
        <w:ind w:firstLine="640" w:firstLineChars="200"/>
        <w:jc w:val="both"/>
        <w:rPr>
          <w:rFonts w:hint="eastAsia" w:ascii="Times New Roman" w:hAnsi="Times New Roman" w:eastAsiaTheme="minorEastAsia" w:cstheme="minorEastAsia"/>
          <w:i w:val="0"/>
          <w:iCs w:val="0"/>
          <w:color w:val="000000" w:themeColor="text1"/>
          <w:sz w:val="32"/>
          <w:szCs w:val="32"/>
          <w14:textFill>
            <w14:solidFill>
              <w14:schemeClr w14:val="tx1"/>
            </w14:solidFill>
          </w14:textFill>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23.67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2.24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75.93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严格执行财政的厉行节约原则，减少公务接待</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严格执行财政的厉行节约原则，减少公务接待</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2024年度共接待来访团组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ascii="Times New Roman" w:hAnsi="Times New Roman" w:eastAsia="仿宋_GB2312" w:cs="Times New Roman"/>
          <w:color w:val="000000" w:themeColor="text1"/>
          <w:sz w:val="32"/>
          <w:szCs w:val="32"/>
          <w14:textFill>
            <w14:solidFill>
              <w14:schemeClr w14:val="tx1"/>
            </w14:solidFill>
          </w14:textFill>
        </w:rPr>
        <w:t>个、来宾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57</w:t>
      </w:r>
      <w:r>
        <w:rPr>
          <w:rFonts w:ascii="Times New Roman" w:hAnsi="Times New Roman" w:eastAsia="仿宋_GB2312" w:cs="Times New Roman"/>
          <w:color w:val="000000" w:themeColor="text1"/>
          <w:sz w:val="32"/>
          <w:szCs w:val="32"/>
          <w14:textFill>
            <w14:solidFill>
              <w14:schemeClr w14:val="tx1"/>
            </w14:solidFill>
          </w14:textFill>
        </w:rPr>
        <w:t>人次，</w:t>
      </w:r>
      <w:r>
        <w:rPr>
          <w:rFonts w:hint="eastAsia" w:ascii="Times New Roman" w:hAnsi="Times New Roman" w:eastAsiaTheme="minorEastAsia" w:cstheme="minorEastAsia"/>
          <w:i w:val="0"/>
          <w:iCs w:val="0"/>
          <w:color w:val="000000" w:themeColor="text1"/>
          <w:sz w:val="32"/>
          <w:szCs w:val="32"/>
          <w14:textFill>
            <w14:solidFill>
              <w14:schemeClr w14:val="tx1"/>
            </w14:solidFill>
          </w14:textFill>
        </w:rPr>
        <w:t>主要是</w:t>
      </w:r>
      <w:r>
        <w:rPr>
          <w:rFonts w:hint="eastAsia" w:ascii="Times New Roman" w:hAnsi="Times New Roman" w:eastAsiaTheme="minorEastAsia" w:cstheme="minorEastAsia"/>
          <w:i w:val="0"/>
          <w:iCs w:val="0"/>
          <w:color w:val="000000" w:themeColor="text1"/>
          <w:sz w:val="32"/>
          <w:szCs w:val="32"/>
          <w:lang w:val="en-US" w:eastAsia="zh-CN"/>
          <w14:textFill>
            <w14:solidFill>
              <w14:schemeClr w14:val="tx1"/>
            </w14:solidFill>
          </w14:textFill>
        </w:rPr>
        <w:t>真抓实干工作迎接省局检查；</w:t>
      </w:r>
      <w:r>
        <w:rPr>
          <w:rFonts w:hint="eastAsia" w:ascii="Times New Roman" w:hAnsi="Times New Roman" w:eastAsiaTheme="minorEastAsia" w:cstheme="minorEastAsia"/>
          <w:i w:val="0"/>
          <w:iCs w:val="0"/>
          <w:color w:val="000000" w:themeColor="text1"/>
          <w:sz w:val="32"/>
          <w:szCs w:val="32"/>
          <w14:textFill>
            <w14:solidFill>
              <w14:schemeClr w14:val="tx1"/>
            </w14:solidFill>
          </w14:textFill>
        </w:rPr>
        <w:t>加大了基金监管力度，</w:t>
      </w:r>
      <w:r>
        <w:rPr>
          <w:rFonts w:hint="eastAsia" w:ascii="Times New Roman" w:hAnsi="Times New Roman" w:eastAsiaTheme="minorEastAsia" w:cstheme="minorEastAsia"/>
          <w:i w:val="0"/>
          <w:iCs w:val="0"/>
          <w:color w:val="000000" w:themeColor="text1"/>
          <w:sz w:val="32"/>
          <w:szCs w:val="32"/>
          <w:lang w:val="en-US" w:eastAsia="zh-CN"/>
          <w14:textFill>
            <w14:solidFill>
              <w14:schemeClr w14:val="tx1"/>
            </w14:solidFill>
          </w14:textFill>
        </w:rPr>
        <w:t>全省</w:t>
      </w:r>
      <w:r>
        <w:rPr>
          <w:rFonts w:hint="eastAsia" w:ascii="Times New Roman" w:hAnsi="Times New Roman" w:eastAsiaTheme="minorEastAsia" w:cstheme="minorEastAsia"/>
          <w:i w:val="0"/>
          <w:iCs w:val="0"/>
          <w:color w:val="000000" w:themeColor="text1"/>
          <w:sz w:val="32"/>
          <w:szCs w:val="32"/>
          <w14:textFill>
            <w14:solidFill>
              <w14:schemeClr w14:val="tx1"/>
            </w14:solidFill>
          </w14:textFill>
        </w:rPr>
        <w:t>交叉检查增多发生的接待支出。</w:t>
      </w:r>
    </w:p>
    <w:p w14:paraId="0A57B7FB">
      <w:pPr>
        <w:pStyle w:val="13"/>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96BCBC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2024年本单位无政府性基金预算收入支出</w:t>
      </w:r>
      <w:r>
        <w:rPr>
          <w:rFonts w:hint="eastAsia" w:ascii="Times New Roman" w:hAnsi="Times New Roman" w:eastAsia="仿宋_GB2312" w:cs="Times New Roman"/>
          <w:sz w:val="32"/>
          <w:szCs w:val="32"/>
          <w:lang w:eastAsia="zh-CN"/>
        </w:rPr>
        <w:t>。</w:t>
      </w:r>
    </w:p>
    <w:p w14:paraId="39E0FBCF">
      <w:pPr>
        <w:pStyle w:val="13"/>
        <w:numPr>
          <w:ilvl w:val="0"/>
          <w:numId w:val="3"/>
        </w:numPr>
        <w:overflowPunct w:val="0"/>
        <w:autoSpaceDE/>
        <w:autoSpaceDN/>
        <w:spacing w:line="600" w:lineRule="exact"/>
        <w:ind w:firstLine="643" w:firstLineChars="200"/>
        <w:jc w:val="both"/>
        <w:rPr>
          <w:rFonts w:hint="eastAsia" w:ascii="Times New Roman" w:hAnsi="Times New Roman" w:eastAsia="仿宋_GB2312" w:cs="Times New Roman"/>
          <w:b/>
          <w:bCs/>
          <w:sz w:val="32"/>
          <w:szCs w:val="32"/>
          <w:lang w:val="en-US" w:eastAsia="zh-CN"/>
        </w:rPr>
      </w:pPr>
      <w:r>
        <w:rPr>
          <w:rFonts w:ascii="Times New Roman" w:hAnsi="Times New Roman" w:eastAsia="仿宋_GB2312" w:cs="Times New Roman"/>
          <w:b/>
          <w:bCs/>
          <w:sz w:val="32"/>
          <w:szCs w:val="32"/>
        </w:rPr>
        <w:t>国有资本经营预算财政拨款</w:t>
      </w:r>
      <w:r>
        <w:rPr>
          <w:rFonts w:hint="eastAsia" w:ascii="Times New Roman" w:hAnsi="Times New Roman" w:eastAsia="仿宋_GB2312" w:cs="Times New Roman"/>
          <w:b/>
          <w:bCs/>
          <w:sz w:val="32"/>
          <w:szCs w:val="32"/>
          <w:lang w:val="en-US" w:eastAsia="zh-CN"/>
        </w:rPr>
        <w:t>收入</w:t>
      </w:r>
      <w:r>
        <w:rPr>
          <w:rFonts w:ascii="Times New Roman" w:hAnsi="Times New Roman" w:eastAsia="仿宋_GB2312" w:cs="Times New Roman"/>
          <w:b/>
          <w:bCs/>
          <w:sz w:val="32"/>
          <w:szCs w:val="32"/>
        </w:rPr>
        <w:t>支出决算</w:t>
      </w:r>
      <w:r>
        <w:rPr>
          <w:rFonts w:hint="eastAsia" w:ascii="Times New Roman" w:hAnsi="Times New Roman" w:eastAsia="仿宋_GB2312" w:cs="Times New Roman"/>
          <w:b/>
          <w:bCs/>
          <w:sz w:val="32"/>
          <w:szCs w:val="32"/>
          <w:lang w:val="en-US" w:eastAsia="zh-CN"/>
        </w:rPr>
        <w:t>情况</w:t>
      </w:r>
    </w:p>
    <w:p w14:paraId="38B55C81">
      <w:pPr>
        <w:pStyle w:val="13"/>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2024年本单位无</w:t>
      </w:r>
      <w:r>
        <w:rPr>
          <w:rFonts w:ascii="Times New Roman" w:hAnsi="Times New Roman" w:eastAsia="仿宋_GB2312" w:cs="Times New Roman"/>
          <w:sz w:val="32"/>
          <w:szCs w:val="32"/>
        </w:rPr>
        <w:t>国有资本经营预算财政拨款</w:t>
      </w:r>
      <w:r>
        <w:rPr>
          <w:rFonts w:hint="eastAsia" w:ascii="Times New Roman" w:hAnsi="Times New Roman" w:eastAsia="仿宋_GB2312" w:cs="Times New Roman"/>
          <w:sz w:val="32"/>
          <w:szCs w:val="32"/>
          <w:lang w:val="en-US" w:eastAsia="zh-CN"/>
        </w:rPr>
        <w:t>收入</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w:t>
      </w:r>
    </w:p>
    <w:p w14:paraId="672600E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1F6BBED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46.79</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16.1</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25.60</w:t>
      </w:r>
      <w:r>
        <w:rPr>
          <w:rFonts w:ascii="Times New Roman" w:hAnsi="Times New Roman" w:eastAsia="仿宋_GB2312" w:cs="Times New Roman"/>
          <w:sz w:val="32"/>
          <w:szCs w:val="32"/>
        </w:rPr>
        <w:t>%。主要原</w:t>
      </w:r>
      <w:bookmarkStart w:id="3" w:name="_GoBack"/>
      <w:bookmarkEnd w:id="3"/>
      <w:r>
        <w:rPr>
          <w:rFonts w:ascii="Times New Roman" w:hAnsi="Times New Roman" w:eastAsia="仿宋_GB2312" w:cs="Times New Roman"/>
          <w:sz w:val="32"/>
          <w:szCs w:val="32"/>
        </w:rPr>
        <w:t>因是：</w:t>
      </w:r>
      <w:r>
        <w:rPr>
          <w:rFonts w:hint="eastAsia" w:ascii="Times New Roman" w:hAnsi="Times New Roman" w:eastAsia="仿宋_GB2312" w:cs="Times New Roman"/>
          <w:sz w:val="32"/>
          <w:szCs w:val="32"/>
        </w:rPr>
        <w:t>厉行节约原则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减少了工会经费。</w:t>
      </w:r>
    </w:p>
    <w:p w14:paraId="75590225">
      <w:pPr>
        <w:pStyle w:val="13"/>
        <w:overflowPunct w:val="0"/>
        <w:autoSpaceDE/>
        <w:autoSpaceDN/>
        <w:spacing w:line="600" w:lineRule="exact"/>
        <w:ind w:firstLine="640" w:firstLineChars="200"/>
        <w:jc w:val="both"/>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Cs/>
          <w:color w:val="000000" w:themeColor="text1"/>
          <w:sz w:val="32"/>
          <w:szCs w:val="32"/>
          <w14:textFill>
            <w14:solidFill>
              <w14:schemeClr w14:val="tx1"/>
            </w14:solidFill>
          </w14:textFill>
        </w:rPr>
        <w:t>十</w:t>
      </w:r>
      <w:r>
        <w:rPr>
          <w:rFonts w:hint="eastAsia" w:ascii="Times New Roman" w:hAnsi="Times New Roman" w:cs="Times New Roman"/>
          <w:bCs/>
          <w:color w:val="000000" w:themeColor="text1"/>
          <w:sz w:val="32"/>
          <w:szCs w:val="32"/>
          <w:lang w:val="en-US" w:eastAsia="zh-CN"/>
          <w14:textFill>
            <w14:solidFill>
              <w14:schemeClr w14:val="tx1"/>
            </w14:solidFill>
          </w14:textFill>
        </w:rPr>
        <w:t>一</w:t>
      </w:r>
      <w:r>
        <w:rPr>
          <w:rFonts w:ascii="Times New Roman" w:hAnsi="Times New Roman" w:cs="Times New Roman"/>
          <w:bCs/>
          <w:color w:val="000000" w:themeColor="text1"/>
          <w:sz w:val="32"/>
          <w:szCs w:val="32"/>
          <w14:textFill>
            <w14:solidFill>
              <w14:schemeClr w14:val="tx1"/>
            </w14:solidFill>
          </w14:textFill>
        </w:rPr>
        <w:t>、一般性支出情况说明</w:t>
      </w:r>
    </w:p>
    <w:p w14:paraId="24547F32">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2024年本部门开支会议费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万元；开支培训费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w:t>
      </w:r>
      <w:r>
        <w:rPr>
          <w:rFonts w:ascii="Times New Roman" w:hAnsi="Times New Roman" w:eastAsia="仿宋_GB2312" w:cs="Times New Roman"/>
          <w:color w:val="000000" w:themeColor="text1"/>
          <w:sz w:val="32"/>
          <w:szCs w:val="32"/>
          <w14:textFill>
            <w14:solidFill>
              <w14:schemeClr w14:val="tx1"/>
            </w14:solidFill>
          </w14:textFill>
        </w:rPr>
        <w:t>举办节庆、晚会、论坛、赛事活动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50EC8A3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29D36C53">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9.89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9.89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9.89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9.89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24CEB8E2">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4343CAE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怀化市医疗保障事务中心</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0辆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C13C70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2B615E4">
      <w:pPr>
        <w:overflowPunct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188ED55C">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一是绩效自评开展情况。</w:t>
      </w:r>
      <w:r>
        <w:rPr>
          <w:rFonts w:hint="eastAsia" w:ascii="Times New Roman" w:hAnsi="Times New Roman" w:eastAsiaTheme="minorEastAsia" w:cstheme="minorEastAsia"/>
          <w:i w:val="0"/>
          <w:iCs w:val="0"/>
          <w:color w:val="000000" w:themeColor="text1"/>
          <w:kern w:val="0"/>
          <w:sz w:val="32"/>
          <w:szCs w:val="32"/>
          <w:lang w:val="en-US" w:eastAsia="zh-CN" w:bidi="ar-SA"/>
          <w14:textFill>
            <w14:solidFill>
              <w14:schemeClr w14:val="tx1"/>
            </w14:solidFill>
          </w14:textFill>
        </w:rPr>
        <w:t>202</w:t>
      </w:r>
      <w:r>
        <w:rPr>
          <w:rFonts w:hint="eastAsia" w:ascii="Times New Roman" w:hAnsi="Times New Roman" w:cstheme="minorEastAsia"/>
          <w:i w:val="0"/>
          <w:iCs w:val="0"/>
          <w:color w:val="000000" w:themeColor="text1"/>
          <w:kern w:val="0"/>
          <w:sz w:val="32"/>
          <w:szCs w:val="32"/>
          <w:lang w:val="en-US" w:eastAsia="zh-CN" w:bidi="ar-SA"/>
          <w14:textFill>
            <w14:solidFill>
              <w14:schemeClr w14:val="tx1"/>
            </w14:solidFill>
          </w14:textFill>
        </w:rPr>
        <w:t>4</w:t>
      </w:r>
      <w:r>
        <w:rPr>
          <w:rFonts w:hint="eastAsia" w:ascii="Times New Roman" w:hAnsi="Times New Roman" w:eastAsiaTheme="minorEastAsia" w:cstheme="minorEastAsia"/>
          <w:i w:val="0"/>
          <w:iCs w:val="0"/>
          <w:color w:val="000000" w:themeColor="text1"/>
          <w:kern w:val="0"/>
          <w:sz w:val="32"/>
          <w:szCs w:val="32"/>
          <w:lang w:val="en-US" w:eastAsia="zh-CN" w:bidi="ar-SA"/>
          <w14:textFill>
            <w14:solidFill>
              <w14:schemeClr w14:val="tx1"/>
            </w14:solidFill>
          </w14:textFill>
        </w:rPr>
        <w:t>年根据预算绩效管理要求，我中心组织对202</w:t>
      </w:r>
      <w:r>
        <w:rPr>
          <w:rFonts w:hint="eastAsia" w:ascii="Times New Roman" w:hAnsi="Times New Roman" w:cstheme="minorEastAsia"/>
          <w:i w:val="0"/>
          <w:iCs w:val="0"/>
          <w:color w:val="000000" w:themeColor="text1"/>
          <w:kern w:val="0"/>
          <w:sz w:val="32"/>
          <w:szCs w:val="32"/>
          <w:lang w:val="en-US" w:eastAsia="zh-CN" w:bidi="ar-SA"/>
          <w14:textFill>
            <w14:solidFill>
              <w14:schemeClr w14:val="tx1"/>
            </w14:solidFill>
          </w14:textFill>
        </w:rPr>
        <w:t>4</w:t>
      </w:r>
      <w:r>
        <w:rPr>
          <w:rFonts w:hint="eastAsia" w:ascii="Times New Roman" w:hAnsi="Times New Roman" w:eastAsiaTheme="minorEastAsia" w:cstheme="minorEastAsia"/>
          <w:i w:val="0"/>
          <w:iCs w:val="0"/>
          <w:color w:val="000000" w:themeColor="text1"/>
          <w:kern w:val="0"/>
          <w:sz w:val="32"/>
          <w:szCs w:val="32"/>
          <w:lang w:val="en-US" w:eastAsia="zh-CN" w:bidi="ar-SA"/>
          <w14:textFill>
            <w14:solidFill>
              <w14:schemeClr w14:val="tx1"/>
            </w14:solidFill>
          </w14:textFill>
        </w:rPr>
        <w:t>年度一般公共预算支出全面开展绩效自评，其中基本支出</w:t>
      </w:r>
      <w:r>
        <w:rPr>
          <w:rFonts w:hint="eastAsia" w:ascii="Times New Roman" w:hAnsi="Times New Roman" w:cstheme="minorEastAsia"/>
          <w:i w:val="0"/>
          <w:iCs w:val="0"/>
          <w:color w:val="000000" w:themeColor="text1"/>
          <w:kern w:val="0"/>
          <w:sz w:val="32"/>
          <w:szCs w:val="32"/>
          <w:lang w:val="en-US" w:eastAsia="zh-CN" w:bidi="ar-SA"/>
          <w14:textFill>
            <w14:solidFill>
              <w14:schemeClr w14:val="tx1"/>
            </w14:solidFill>
          </w14:textFill>
        </w:rPr>
        <w:t>464.89</w:t>
      </w:r>
      <w:r>
        <w:rPr>
          <w:rFonts w:hint="eastAsia" w:ascii="Times New Roman" w:hAnsi="Times New Roman" w:eastAsiaTheme="minorEastAsia" w:cstheme="minorEastAsia"/>
          <w:i w:val="0"/>
          <w:iCs w:val="0"/>
          <w:color w:val="000000" w:themeColor="text1"/>
          <w:kern w:val="0"/>
          <w:sz w:val="32"/>
          <w:szCs w:val="32"/>
          <w:lang w:val="en-US" w:eastAsia="zh-CN" w:bidi="ar-SA"/>
          <w14:textFill>
            <w14:solidFill>
              <w14:schemeClr w14:val="tx1"/>
            </w14:solidFill>
          </w14:textFill>
        </w:rPr>
        <w:t>万元，项目支出</w:t>
      </w:r>
      <w:r>
        <w:rPr>
          <w:rFonts w:hint="eastAsia" w:ascii="Times New Roman" w:hAnsi="Times New Roman" w:cstheme="minorEastAsia"/>
          <w:i w:val="0"/>
          <w:iCs w:val="0"/>
          <w:color w:val="000000" w:themeColor="text1"/>
          <w:kern w:val="0"/>
          <w:sz w:val="32"/>
          <w:szCs w:val="32"/>
          <w:lang w:val="en-US" w:eastAsia="zh-CN" w:bidi="ar-SA"/>
          <w14:textFill>
            <w14:solidFill>
              <w14:schemeClr w14:val="tx1"/>
            </w14:solidFill>
          </w14:textFill>
        </w:rPr>
        <w:t>152.01</w:t>
      </w:r>
      <w:r>
        <w:rPr>
          <w:rFonts w:hint="eastAsia" w:ascii="Times New Roman" w:hAnsi="Times New Roman" w:eastAsiaTheme="minorEastAsia" w:cstheme="minorEastAsia"/>
          <w:i w:val="0"/>
          <w:iCs w:val="0"/>
          <w:color w:val="000000" w:themeColor="text1"/>
          <w:kern w:val="0"/>
          <w:sz w:val="32"/>
          <w:szCs w:val="32"/>
          <w:lang w:val="en-US" w:eastAsia="zh-CN" w:bidi="ar-SA"/>
          <w14:textFill>
            <w14:solidFill>
              <w14:schemeClr w14:val="tx1"/>
            </w14:solidFill>
          </w14:textFill>
        </w:rPr>
        <w:t>万元，占一般公共预算支出总额的100%。</w:t>
      </w:r>
      <w:r>
        <w:rPr>
          <w:rFonts w:ascii="Times New Roman" w:hAnsi="Times New Roman" w:eastAsia="仿宋_GB2312" w:cs="Times New Roman"/>
          <w:kern w:val="0"/>
          <w:sz w:val="32"/>
          <w:szCs w:val="32"/>
        </w:rPr>
        <w:t>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152.01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24.64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1987F83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20" w:lineRule="exact"/>
        <w:ind w:right="0" w:rightChars="0" w:firstLine="643" w:firstLineChars="200"/>
        <w:jc w:val="both"/>
        <w:textAlignment w:val="baseline"/>
        <w:outlineLvl w:val="9"/>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eastAsia="zh-CN"/>
        </w:rPr>
        <w:t>）</w:t>
      </w:r>
      <w:r>
        <w:rPr>
          <w:rFonts w:ascii="Times New Roman" w:hAnsi="Times New Roman" w:eastAsia="楷体_GB2312" w:cs="Times New Roman"/>
          <w:b/>
          <w:bCs/>
          <w:sz w:val="32"/>
          <w:szCs w:val="32"/>
        </w:rPr>
        <w:t>绩效评价结果。</w:t>
      </w:r>
    </w:p>
    <w:p w14:paraId="10ECAFD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20" w:lineRule="exact"/>
        <w:ind w:right="0" w:rightChars="0" w:firstLine="643" w:firstLineChars="200"/>
        <w:jc w:val="both"/>
        <w:textAlignment w:val="baseline"/>
        <w:outlineLvl w:val="9"/>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怀化市医疗保障事务中心</w:t>
      </w:r>
      <w:r>
        <w:rPr>
          <w:rFonts w:ascii="Times New Roman" w:hAnsi="Times New Roman" w:eastAsia="仿宋_GB2312" w:cs="Times New Roman"/>
          <w:kern w:val="0"/>
          <w:sz w:val="32"/>
          <w:szCs w:val="32"/>
        </w:rPr>
        <w:t>整体支出</w:t>
      </w:r>
      <w:r>
        <w:rPr>
          <w:rFonts w:hint="eastAsia" w:ascii="Times New Roman" w:hAnsi="Times New Roman" w:eastAsia="仿宋_GB2312" w:cs="Times New Roman"/>
          <w:kern w:val="0"/>
          <w:sz w:val="32"/>
          <w:szCs w:val="32"/>
          <w:lang w:val="en-US" w:eastAsia="zh-CN"/>
        </w:rPr>
        <w:t>年初预算数518.35万元，</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617.39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616.91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119.01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0602AF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20" w:lineRule="exact"/>
        <w:ind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Times New Roman"/>
          <w:sz w:val="32"/>
          <w:szCs w:val="32"/>
          <w:lang w:val="en-US" w:eastAsia="zh-CN"/>
        </w:rPr>
        <w:t>二是</w:t>
      </w:r>
      <w:r>
        <w:rPr>
          <w:rFonts w:ascii="Times New Roman" w:hAnsi="Times New Roman" w:eastAsia="仿宋_GB2312" w:cs="Times New Roman"/>
          <w:b/>
          <w:bCs/>
          <w:sz w:val="32"/>
          <w:szCs w:val="32"/>
        </w:rPr>
        <w:t>绩效目标完成情况：</w:t>
      </w:r>
      <w:r>
        <w:rPr>
          <w:rFonts w:hint="eastAsia" w:ascii="Times New Roman" w:hAnsi="Times New Roman" w:eastAsia="仿宋_GB2312" w:cs="仿宋_GB2312"/>
          <w:b/>
          <w:bCs/>
          <w:spacing w:val="0"/>
          <w:sz w:val="32"/>
          <w:szCs w:val="32"/>
        </w:rPr>
        <w:t>2024年所做的主要工作</w:t>
      </w:r>
      <w:r>
        <w:rPr>
          <w:rFonts w:hint="eastAsia" w:ascii="Times New Roman" w:hAnsi="Times New Roman" w:eastAsia="仿宋_GB2312" w:cs="仿宋_GB2312"/>
          <w:b/>
          <w:bCs/>
          <w:spacing w:val="0"/>
          <w:sz w:val="32"/>
          <w:szCs w:val="32"/>
          <w:lang w:eastAsia="zh-CN"/>
        </w:rPr>
        <w:t>：</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高度重视政治思想建设。一是注重理论学习。深入学习贯彻习近平新时代中国特色社会主义思想、党的二十大精神、党的二十届三中全会精神、习近平总书记关于医疗保障工作的重要论述；以党支部为基础，组织党员干部学原著、学原文、悟原理；认真落实了“第一议题”制度，认真组织集中学习；二是政治立场坚定。忠诚拥护“两个确立”，增强“四个意识”，坚定“四个自信”，做到“两个维护”，在大是大非面前与党中央保持高度一致；三是遵守纪律规定。大局观念强，政令畅通，全面执行局党组的决定，对局领导交办的工作从不推诿，都能保质保量完成。坚持选贤任能的用人导向，让政治上成熟，想干事、能干事、敢担当的同志挑起重担；对重大工作、大额资金、干部任用等，坚持召开主任会议研究，集体决策；坚持民主集中制，充分征求同志们的意见建议，坚持中心主任末位表态，形成了风清气正的工作氛围。</w:t>
      </w: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注重提升经办领导能力。一是始终围绕市委市政府中心工作。主动融入鹤中一体化进程，在医保经办业务做到了工作专班、工作机制、办理时限、人员设置“四个明确”，落实受理标准、办件跟踪、办理流程、业务培训“四个统一”，全年共办理各类事项3345件；围绕构建“区域医保中心”、支持“中医药产业”发展战略部署，积极推进DIP支付政策方式下的紧密型医共体建设，经办服务和管理有序开展；二是始终推进四级经办体系建设。在巩固市县乡村四级纵向经办体系的同时，探索加强横向经办体系建设。会同县积极打造“移动医保”品牌，为人口较多的40个村配备了40辆摩托车和综合服务终端；洪江区、洪江市在旅游景点、银行、药店等地方设置了医保驿站，为群众提供咨询、异地就医、参保登记、医药上门等服务，群众反映很好；聚力“新医保·心服务”，在全市医保经办系统全面开展“六心六零”服务活动，行风建设的质量得到很大提升，群众的满意度大为增强，我们报送的《以“六心六零”推进“新医保·心服务”》经验材料在中国医疗保险杂志社地方工作快报上刊发。三是始终坚持有效的工作机制。我们坚持了调查研究机制，为更好地了解高效办成一件事、内控制度、便民措施等工作是否落实到位，2024年7月2日到8月2日，中心班子成员分成四个组到13个县市区开展了为期一个月的调研，每个组都形成了调研报告；召开主任会议专题研究，既肯定成绩，又对存在的问题研究工作对策，形成工作建议，出台工作制度；我们坚持了工作调度机制，对异地就医、大抓落实等工作，我们坚持每月一调度，并不定期进行通报，做到了工作心中有底，对后段工作有的放矢；我们坚持了责任落实机制，对中心重大工作，明确一名分管领导主抓，其他领导配合，在每次例会上由分管领导通报工作情况，提出工作建议，做到重点工作事事有人抓、时时有人管；建立了每半年由分管领导对分管部门业务工作全面自查自纠制度，查政策、查流程、查资料，看是否存在工作风险和廉政风险，发现问题及时整改。</w:t>
      </w: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高标准高质量推进工作。一是全面落实医保待遇。及时拨付医药机构费用，及时结算配送企业药品费用，减轻医药机构和配送企业的垫资压力，防止因医保费用拨付不到位而出现“三角债”。到11月底，共拨付医保费用16.95亿元，给配送企业结算1.71亿元；支付特殊人群费用781万元；享受“双通道”药品待遇政策的共1194人，统筹支付1468万元；享受门诊慢特病待遇政策的共2382人次，统筹支付3007万元；享受门诊统筹待遇政策的共36.17万人次，统筹支付4648万元。二是全面强化协议监管。我们高度重视基金安全，全程强化了协议监管，对医药机构的监管实现了全覆盖。到11月底，共追回违规资金215万元。三是全面深化支付改革。DIP支付医院2024年城镇职工医药基金预算额度为65000万元，三季度为16250万元，纳入总控的统筹支出为13280万元，结余2196万元；城乡居民医保基金预算额度为228000万元，三季度为57000万元，纳入总控的统筹支出为541054万元，结余179万元。DIP改革稳步推进。四是全面推进制度建设。对中心六个内设部门的部门职责进行了进一步明确，同时，根据部门职责对部长、每一个工作人员的岗位职责进行了明确；按照服务指南的要求，我们对初审、复审、工作职责、资料收集、办结时间、领导审核审批、财务审核拨付等进行了具体规定，将工作明确到部门，固定到人员，各就各位，各尽其责，各负其责。五是全面做好异地结算。按月通报县市区异地直接结算情况，积极督查各县市区完成“四升一降”工作。作为参保地，全市跨省住院费用直接结算率86.28%、住院费用省内异地直接结算率97.37%，超额完成《2024年全市医保经办管理服务工作要点》中跨省和省内异地住院费用直接结算率需达80%、93%以上的要求，较去年同期跨省住院直接结算率增长17.35%，省内住院直接结算率增长7.46%。</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落实党风廉政建设政治责任。一是树立规矩意识。深入开展党纪教育活动，严格落实各个环节的活动要求，班子成员开展辅导学习，每位干部职工认真撰写心得体会，扎实开展学习交流；通过学习，干部职工尤其是领导班子的纪律意识更加牢固，对八项规定的执行更加自觉；认真组织观看教育片，到教育基地接收廉政教育，通过反面典型，让干部职工得到真正的教育；坚持开展谈心谈话，对新进人员，对工作调整或职务晋升的同志，中心班子成员会对他们开展廉政谈话；在平常工作中，中心主任会找班子成员、所有工作人员，分管副主任会找分管部门的工作人员开展谈心谈话。通过谈心谈话，既做到了严格要求，也实现了相互提醒；二是夯实基层党建。坚持将经办工作与党建工作自然衔接，深入开展党建活动，解决了不少参保群众、医药机构、医药企业的困难和问题；坚持抓好了支部“五化”建设，认真落实“三会一课”制度，全面开展“主题党日”活动，要求党员按月交纳党费；进一步加强了党建知识学习和培训，建立了制度，规范了程序；易康睿、危银宏两名同志积极向党组织靠拢，向党组织递交了入党申请书，中心支部正按照程序开展培养工作；三是重视意识形态。年初的工作计划明确了经办工作中的意识形态工作要点，不定期研究和部署意识形态工作。在工作责任制方面，中心由我负主体责任，明确其他班子成员负分管责任，各负其职，谁出问题谁负责。在日常工作中，在各类会议上，都强调意识形态工作的重要性，要求全体干部职工严守政治纪律和政治规矩，严格落实各项纪律要求。高度重视信息工作，有关媒体对我们的工作经验给予了刊发和报道；市长热线、市长信箱反映的问题，得到了及时处置和答复。</w:t>
      </w: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rPr>
        <w:t>作风建设取得明显成效。一是便民措施全面落实。市县经办大厅建设明显加强，各种便民措施更加完善；落实“四下基层”，严格“放管服”改革，乡村医保经办站（点）承担许多高频事项的办理，基本形成了“15分钟经办服务圈”，实现了由“家门口办”到“家里头办”；医保码全流程应用逐步推开，参保患者在医院就诊实现了由“窗口办”到“诊室办、病房办”，极大地方便了群众办事。二是“高效办成一件事”全面落地。围绕省中心的部署安排，我们明确了全年工作要点，制定了工作方案，加强了工作调度。目前，涉及市本级的10个事项都能按要求正常开展；深化“走找想促”活动，中心领导对经办事项全部实现了全流程操作，找到群众办事的难点、堵点、痛点问题，并加以认真整改。三是经办宣传工作全面推进。从10月25日起，全市经办机构开展了为期一个月的宣传活动，据统计，共印制发放医保政策和宣传海报近20万份，各类媒体报道新闻稿32篇。通过流动宣传车、设置咨询台、现场讲解、小视频等方式向群众既解释宣传医保政策，又告知办理流程和方式，收到了很好的效果。</w:t>
      </w:r>
      <w:r>
        <w:rPr>
          <w:rFonts w:hint="eastAsia" w:ascii="Times New Roman" w:hAnsi="Times New Roman" w:eastAsia="仿宋_GB2312" w:cs="仿宋_GB2312"/>
          <w:spacing w:val="0"/>
          <w:sz w:val="32"/>
          <w:szCs w:val="32"/>
          <w:lang w:val="en-US" w:eastAsia="zh-CN"/>
        </w:rPr>
        <w:t>6、</w:t>
      </w:r>
      <w:r>
        <w:rPr>
          <w:rFonts w:hint="eastAsia" w:ascii="Times New Roman" w:hAnsi="Times New Roman" w:eastAsia="仿宋_GB2312" w:cs="仿宋_GB2312"/>
          <w:spacing w:val="0"/>
          <w:sz w:val="32"/>
          <w:szCs w:val="32"/>
        </w:rPr>
        <w:t>坚持统筹推进各项工作。全面参与文明城市、卫生城市创建工作，在自身经费紧张的情况下，2024年给湖天社区支持了1万元经费；高度重视安全生产，明确一名副主任负责专抓，对医保基金安全运行、业务正常开展、工作人员的交通财产安全、办公大楼的运行安全等做到常安排、常部署、常落实；全面参与平安建设，对社区开展的各项维护社会稳定的活动积极支持，妥善解决医保经办中的矛盾和问题；高度重视法治建设，组织干部职工认真学习政策法规，坚持依法办事，依法保障参保人员的医保权益；严格保密纪律，严格遵守保密规定，增强干部职工的保密意识；做到涉密信息不上网，上网信息不涉密，严格保护参保人员和患者的医保信息；深刻理解统计监督工作的重要性，对医保基金运行、医院和药店的基本情况适时统计、分析，实事求是地向社会公示公开；对医药机构的医保费用进行监测，发现运行中存在的问题和风险，为决策提供依据；切实增强债务防控意识，强化大局意识，控制工作成本，切实落实债务管理责任。</w:t>
      </w:r>
    </w:p>
    <w:p w14:paraId="2498EA51">
      <w:pPr>
        <w:pStyle w:val="13"/>
        <w:numPr>
          <w:ilvl w:val="0"/>
          <w:numId w:val="0"/>
        </w:numPr>
        <w:overflowPunct w:val="0"/>
        <w:autoSpaceDE/>
        <w:autoSpaceDN/>
        <w:spacing w:line="600" w:lineRule="exact"/>
        <w:ind w:firstLine="643" w:firstLineChars="200"/>
        <w:jc w:val="both"/>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lang w:eastAsia="zh-CN"/>
        </w:rPr>
        <w:t>（</w:t>
      </w:r>
      <w:r>
        <w:rPr>
          <w:rFonts w:hint="eastAsia" w:ascii="Times New Roman" w:hAnsi="Times New Roman" w:eastAsia="楷体_GB2312" w:cs="Times New Roman"/>
          <w:b/>
          <w:bCs/>
          <w:color w:val="auto"/>
          <w:kern w:val="2"/>
          <w:sz w:val="32"/>
          <w:szCs w:val="32"/>
          <w:lang w:val="en-US" w:eastAsia="zh-CN"/>
        </w:rPr>
        <w:t>三</w:t>
      </w:r>
      <w:r>
        <w:rPr>
          <w:rFonts w:hint="eastAsia" w:ascii="Times New Roman" w:hAnsi="Times New Roman" w:eastAsia="楷体_GB2312" w:cs="Times New Roman"/>
          <w:b/>
          <w:bCs/>
          <w:color w:val="auto"/>
          <w:kern w:val="2"/>
          <w:sz w:val="32"/>
          <w:szCs w:val="32"/>
          <w:lang w:eastAsia="zh-CN"/>
        </w:rPr>
        <w:t>）</w:t>
      </w:r>
      <w:r>
        <w:rPr>
          <w:rFonts w:ascii="Times New Roman" w:hAnsi="Times New Roman" w:eastAsia="楷体_GB2312" w:cs="Times New Roman"/>
          <w:b/>
          <w:bCs/>
          <w:color w:val="auto"/>
          <w:kern w:val="2"/>
          <w:sz w:val="32"/>
          <w:szCs w:val="32"/>
        </w:rPr>
        <w:t>评价结果应用情况。</w:t>
      </w:r>
    </w:p>
    <w:p w14:paraId="2150C7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pacing w:val="0"/>
          <w:sz w:val="32"/>
          <w:szCs w:val="32"/>
        </w:rPr>
      </w:pPr>
      <w:r>
        <w:rPr>
          <w:rFonts w:hint="eastAsia" w:ascii="Times New Roman" w:hAnsi="Times New Roman" w:eastAsia="仿宋"/>
          <w:b w:val="0"/>
          <w:bCs w:val="0"/>
          <w:w w:val="100"/>
          <w:sz w:val="32"/>
          <w:szCs w:val="32"/>
          <w:lang w:val="en-US" w:eastAsia="zh-CN"/>
        </w:rPr>
        <w:t>2025年</w:t>
      </w:r>
      <w:r>
        <w:rPr>
          <w:rFonts w:ascii="Times New Roman" w:hAnsi="Times New Roman" w:eastAsia="仿宋"/>
          <w:b w:val="0"/>
          <w:bCs w:val="0"/>
          <w:w w:val="100"/>
          <w:sz w:val="32"/>
          <w:szCs w:val="32"/>
        </w:rPr>
        <w:t>进一步加强项目的前期规划和准备工作，优化流程，提高项目实施效率。强化对不可预见因素的预判和应对能力，制定更具灵活性的预案。建立更加完善的支出进度跟踪和监督机制，定期对预算执行情况进行评估和调整。加强与相关部门的沟通协调，确保项目顺利推进和资金合理使用。持续提升工作人员的绩效意识和业务能力，为更好地实现绩效目标提供有力保障。</w:t>
      </w:r>
    </w:p>
    <w:p w14:paraId="160CA0F4">
      <w:pPr>
        <w:pStyle w:val="13"/>
        <w:numPr>
          <w:ilvl w:val="0"/>
          <w:numId w:val="0"/>
        </w:numPr>
        <w:overflowPunct w:val="0"/>
        <w:autoSpaceDE/>
        <w:autoSpaceDN/>
        <w:spacing w:line="600" w:lineRule="exact"/>
        <w:jc w:val="both"/>
        <w:rPr>
          <w:rFonts w:ascii="Times New Roman" w:hAnsi="Times New Roman" w:eastAsia="楷体_GB2312" w:cs="Times New Roman"/>
          <w:b/>
          <w:bCs/>
          <w:color w:val="auto"/>
          <w:kern w:val="2"/>
          <w:sz w:val="32"/>
          <w:szCs w:val="32"/>
        </w:rPr>
      </w:pPr>
    </w:p>
    <w:p w14:paraId="7FD4C02C">
      <w:pPr>
        <w:pStyle w:val="13"/>
        <w:jc w:val="center"/>
        <w:rPr>
          <w:rFonts w:ascii="Times New Roman" w:hAnsi="Times New Roman" w:cs="Times New Roman"/>
          <w:sz w:val="72"/>
          <w:szCs w:val="72"/>
        </w:rPr>
      </w:pPr>
    </w:p>
    <w:p w14:paraId="19A5C590">
      <w:pPr>
        <w:pStyle w:val="13"/>
        <w:spacing w:line="360" w:lineRule="auto"/>
        <w:ind w:firstLine="1560" w:firstLineChars="300"/>
        <w:jc w:val="both"/>
        <w:rPr>
          <w:rFonts w:ascii="Times New Roman" w:hAnsi="Times New Roman" w:eastAsia="方正小标宋_GBK" w:cs="Times New Roman"/>
          <w:sz w:val="52"/>
          <w:szCs w:val="52"/>
        </w:rPr>
      </w:pPr>
    </w:p>
    <w:p w14:paraId="45CAA6DD">
      <w:pPr>
        <w:pStyle w:val="13"/>
        <w:spacing w:line="360" w:lineRule="auto"/>
        <w:ind w:firstLine="1560" w:firstLineChars="300"/>
        <w:jc w:val="both"/>
        <w:rPr>
          <w:rFonts w:ascii="Times New Roman" w:hAnsi="Times New Roman" w:eastAsia="方正小标宋_GBK" w:cs="Times New Roman"/>
          <w:sz w:val="52"/>
          <w:szCs w:val="52"/>
        </w:rPr>
      </w:pPr>
    </w:p>
    <w:p w14:paraId="7F15DCDE">
      <w:pPr>
        <w:pStyle w:val="13"/>
        <w:spacing w:line="360" w:lineRule="auto"/>
        <w:ind w:firstLine="1560" w:firstLineChars="300"/>
        <w:jc w:val="both"/>
        <w:rPr>
          <w:rFonts w:ascii="Times New Roman" w:hAnsi="Times New Roman" w:eastAsia="方正小标宋_GBK" w:cs="Times New Roman"/>
          <w:sz w:val="52"/>
          <w:szCs w:val="52"/>
        </w:rPr>
      </w:pPr>
    </w:p>
    <w:p w14:paraId="60C245F2">
      <w:pPr>
        <w:pStyle w:val="13"/>
        <w:spacing w:line="360" w:lineRule="auto"/>
        <w:ind w:firstLine="1560" w:firstLineChars="300"/>
        <w:jc w:val="both"/>
        <w:rPr>
          <w:rFonts w:ascii="Times New Roman" w:hAnsi="Times New Roman" w:eastAsia="方正小标宋_GBK" w:cs="Times New Roman"/>
          <w:sz w:val="52"/>
          <w:szCs w:val="52"/>
        </w:rPr>
      </w:pPr>
    </w:p>
    <w:p w14:paraId="62B36A5A">
      <w:pPr>
        <w:pStyle w:val="13"/>
        <w:spacing w:line="360" w:lineRule="auto"/>
        <w:ind w:firstLine="1560" w:firstLineChars="300"/>
        <w:jc w:val="both"/>
        <w:rPr>
          <w:rFonts w:ascii="Times New Roman" w:hAnsi="Times New Roman" w:eastAsia="方正小标宋_GBK" w:cs="Times New Roman"/>
          <w:sz w:val="52"/>
          <w:szCs w:val="52"/>
        </w:rPr>
      </w:pPr>
    </w:p>
    <w:p w14:paraId="45EFDA5F">
      <w:pPr>
        <w:pStyle w:val="13"/>
        <w:spacing w:line="360" w:lineRule="auto"/>
        <w:ind w:firstLine="1560" w:firstLineChars="300"/>
        <w:jc w:val="both"/>
        <w:rPr>
          <w:rFonts w:ascii="Times New Roman" w:hAnsi="Times New Roman" w:eastAsia="方正小标宋_GBK" w:cs="Times New Roman"/>
          <w:sz w:val="52"/>
          <w:szCs w:val="52"/>
        </w:rPr>
      </w:pPr>
    </w:p>
    <w:p w14:paraId="449E05CD">
      <w:pPr>
        <w:pStyle w:val="13"/>
        <w:spacing w:line="360" w:lineRule="auto"/>
        <w:ind w:firstLine="1560" w:firstLineChars="300"/>
        <w:jc w:val="both"/>
        <w:rPr>
          <w:rFonts w:ascii="Times New Roman" w:hAnsi="Times New Roman" w:eastAsia="方正小标宋_GBK" w:cs="Times New Roman"/>
          <w:sz w:val="52"/>
          <w:szCs w:val="52"/>
        </w:rPr>
      </w:pPr>
    </w:p>
    <w:p w14:paraId="1C1C19C1">
      <w:pPr>
        <w:pStyle w:val="13"/>
        <w:spacing w:line="360" w:lineRule="auto"/>
        <w:ind w:firstLine="1560" w:firstLineChars="300"/>
        <w:jc w:val="both"/>
        <w:rPr>
          <w:rFonts w:ascii="Times New Roman" w:hAnsi="Times New Roman" w:eastAsia="方正小标宋_GBK" w:cs="Times New Roman"/>
          <w:sz w:val="52"/>
          <w:szCs w:val="52"/>
        </w:rPr>
      </w:pPr>
    </w:p>
    <w:p w14:paraId="006DCE9A">
      <w:pPr>
        <w:pStyle w:val="13"/>
        <w:spacing w:line="360" w:lineRule="auto"/>
        <w:ind w:firstLine="1560" w:firstLineChars="300"/>
        <w:jc w:val="both"/>
        <w:rPr>
          <w:rFonts w:ascii="Times New Roman" w:hAnsi="Times New Roman" w:eastAsia="方正小标宋_GBK" w:cs="Times New Roman"/>
          <w:sz w:val="52"/>
          <w:szCs w:val="52"/>
        </w:rPr>
      </w:pPr>
    </w:p>
    <w:p w14:paraId="59CAFFD9">
      <w:pPr>
        <w:pStyle w:val="13"/>
        <w:spacing w:line="360" w:lineRule="auto"/>
        <w:ind w:firstLine="1560" w:firstLineChars="300"/>
        <w:jc w:val="both"/>
        <w:rPr>
          <w:rFonts w:ascii="Times New Roman" w:hAnsi="Times New Roman" w:eastAsia="方正小标宋_GBK" w:cs="Times New Roman"/>
          <w:sz w:val="52"/>
          <w:szCs w:val="52"/>
        </w:rPr>
      </w:pPr>
    </w:p>
    <w:p w14:paraId="1770510C">
      <w:pPr>
        <w:pStyle w:val="13"/>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DC5FDC2">
      <w:pPr>
        <w:widowControl/>
        <w:jc w:val="left"/>
        <w:rPr>
          <w:rFonts w:ascii="Times New Roman" w:hAnsi="Times New Roman" w:cs="Times New Roman"/>
          <w:color w:val="000000"/>
          <w:kern w:val="0"/>
          <w:sz w:val="32"/>
          <w:szCs w:val="32"/>
        </w:rPr>
      </w:pPr>
    </w:p>
    <w:p w14:paraId="0CBCB3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heme="minorEastAsia" w:hAnsiTheme="minorEastAsia" w:eastAsiaTheme="minorEastAsia" w:cstheme="minorEastAsia"/>
          <w:b w:val="0"/>
          <w:bCs w:val="0"/>
          <w:i w:val="0"/>
          <w:iCs w:val="0"/>
          <w:color w:val="000000" w:themeColor="text1"/>
          <w:w w:val="100"/>
          <w:sz w:val="32"/>
          <w:szCs w:val="32"/>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w w:val="100"/>
          <w:sz w:val="32"/>
          <w:szCs w:val="32"/>
          <w14:textFill>
            <w14:solidFill>
              <w14:schemeClr w14:val="tx1"/>
            </w14:solidFill>
          </w14:textFill>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369701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heme="minorEastAsia" w:hAnsiTheme="minorEastAsia" w:eastAsiaTheme="minorEastAsia" w:cstheme="minorEastAsia"/>
          <w:b w:val="0"/>
          <w:bCs w:val="0"/>
          <w:i w:val="0"/>
          <w:iCs w:val="0"/>
          <w:color w:val="000000" w:themeColor="text1"/>
          <w:w w:val="100"/>
          <w:sz w:val="32"/>
          <w:szCs w:val="32"/>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w w:val="100"/>
          <w:sz w:val="32"/>
          <w:szCs w:val="32"/>
          <w14:textFill>
            <w14:solidFill>
              <w14:schemeClr w14:val="tx1"/>
            </w14:solidFill>
          </w14:textFill>
        </w:rPr>
        <w:t>二、“三公”经费：纳入财政预算管理的</w:t>
      </w:r>
      <w:r>
        <w:rPr>
          <w:rFonts w:hint="eastAsia" w:asciiTheme="minorEastAsia" w:hAnsiTheme="minorEastAsia" w:eastAsiaTheme="minorEastAsia" w:cstheme="minorEastAsia"/>
          <w:b w:val="0"/>
          <w:bCs w:val="0"/>
          <w:i w:val="0"/>
          <w:iCs w:val="0"/>
          <w:color w:val="000000" w:themeColor="text1"/>
          <w:w w:val="100"/>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w w:val="100"/>
          <w:sz w:val="32"/>
          <w:szCs w:val="32"/>
          <w14:textFill>
            <w14:solidFill>
              <w14:schemeClr w14:val="tx1"/>
            </w14:solidFill>
          </w14:textFill>
        </w:rPr>
        <w:t>三公</w:t>
      </w:r>
      <w:r>
        <w:rPr>
          <w:rFonts w:hint="eastAsia" w:asciiTheme="minorEastAsia" w:hAnsiTheme="minorEastAsia" w:eastAsiaTheme="minorEastAsia" w:cstheme="minorEastAsia"/>
          <w:b w:val="0"/>
          <w:bCs w:val="0"/>
          <w:i w:val="0"/>
          <w:iCs w:val="0"/>
          <w:color w:val="000000" w:themeColor="text1"/>
          <w:w w:val="100"/>
          <w:sz w:val="32"/>
          <w:szCs w:val="32"/>
          <w:lang w:eastAsia="zh-CN"/>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w w:val="100"/>
          <w:sz w:val="32"/>
          <w:szCs w:val="32"/>
          <w14:textFill>
            <w14:solidFill>
              <w14:schemeClr w14:val="tx1"/>
            </w14:solidFill>
          </w14:textFill>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9FC86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heme="minorEastAsia" w:hAnsiTheme="minorEastAsia" w:eastAsiaTheme="minorEastAsia" w:cstheme="minorEastAsia"/>
          <w:b w:val="0"/>
          <w:bCs w:val="0"/>
          <w:i w:val="0"/>
          <w:iCs w:val="0"/>
          <w:color w:val="000000" w:themeColor="text1"/>
          <w:w w:val="100"/>
          <w:sz w:val="32"/>
          <w:szCs w:val="32"/>
          <w14:textFill>
            <w14:solidFill>
              <w14:schemeClr w14:val="tx1"/>
            </w14:solidFill>
          </w14:textFill>
        </w:rPr>
      </w:pPr>
    </w:p>
    <w:p w14:paraId="3878983D">
      <w:pPr>
        <w:pStyle w:val="13"/>
        <w:keepNext w:val="0"/>
        <w:keepLines w:val="0"/>
        <w:pageBreakBefore w:val="0"/>
        <w:widowControl w:val="0"/>
        <w:kinsoku/>
        <w:wordWrap/>
        <w:overflowPunct/>
        <w:topLinePunct w:val="0"/>
        <w:autoSpaceDE/>
        <w:autoSpaceDN/>
        <w:bidi w:val="0"/>
        <w:snapToGrid/>
        <w:spacing w:line="600" w:lineRule="exact"/>
        <w:ind w:firstLine="643" w:firstLineChars="200"/>
        <w:textAlignment w:val="auto"/>
        <w:rPr>
          <w:rFonts w:hint="eastAsia" w:asciiTheme="minorEastAsia" w:hAnsiTheme="minorEastAsia" w:eastAsiaTheme="minorEastAsia" w:cstheme="minorEastAsia"/>
          <w:b/>
          <w:bCs/>
          <w:i w:val="0"/>
          <w:iCs w:val="0"/>
          <w:color w:val="000000" w:themeColor="text1"/>
          <w:kern w:val="0"/>
          <w:sz w:val="32"/>
          <w:szCs w:val="32"/>
          <w:lang w:val="en-US" w:eastAsia="zh-CN" w:bidi="ar-SA"/>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32"/>
          <w:szCs w:val="32"/>
          <w:lang w:val="en-US" w:eastAsia="zh-CN" w:bidi="ar-SA"/>
          <w14:textFill>
            <w14:solidFill>
              <w14:schemeClr w14:val="tx1"/>
            </w14:solidFill>
          </w14:textFill>
        </w:rPr>
        <w:t>（名词解释应包含本部门专有名词，如省财政厅应有对“财政事务”科目的解释，可参考中央相关部门的名词解释）</w:t>
      </w:r>
    </w:p>
    <w:p w14:paraId="6CE6FAFC">
      <w:pPr>
        <w:pStyle w:val="13"/>
        <w:keepNext w:val="0"/>
        <w:keepLines w:val="0"/>
        <w:pageBreakBefore w:val="0"/>
        <w:widowControl w:val="0"/>
        <w:kinsoku/>
        <w:wordWrap/>
        <w:overflowPunct/>
        <w:topLinePunct w:val="0"/>
        <w:autoSpaceDE/>
        <w:autoSpaceDN/>
        <w:bidi w:val="0"/>
        <w:jc w:val="center"/>
        <w:rPr>
          <w:rFonts w:hint="eastAsia" w:asciiTheme="minorEastAsia" w:hAnsiTheme="minorEastAsia" w:eastAsiaTheme="minorEastAsia" w:cstheme="minorEastAsia"/>
          <w:i w:val="0"/>
          <w:iCs w:val="0"/>
          <w:color w:val="000000" w:themeColor="text1"/>
          <w:sz w:val="32"/>
          <w:szCs w:val="32"/>
          <w14:textFill>
            <w14:solidFill>
              <w14:schemeClr w14:val="tx1"/>
            </w14:solidFill>
          </w14:textFill>
        </w:rPr>
      </w:pPr>
    </w:p>
    <w:p w14:paraId="6CF4BF1A">
      <w:pPr>
        <w:pStyle w:val="13"/>
        <w:keepNext w:val="0"/>
        <w:keepLines w:val="0"/>
        <w:pageBreakBefore w:val="0"/>
        <w:widowControl w:val="0"/>
        <w:kinsoku/>
        <w:wordWrap/>
        <w:overflowPunct/>
        <w:topLinePunct w:val="0"/>
        <w:autoSpaceDE/>
        <w:autoSpaceDN/>
        <w:bidi w:val="0"/>
        <w:jc w:val="center"/>
        <w:rPr>
          <w:color w:val="000000" w:themeColor="text1"/>
          <w:sz w:val="72"/>
          <w:szCs w:val="72"/>
          <w14:textFill>
            <w14:solidFill>
              <w14:schemeClr w14:val="tx1"/>
            </w14:solidFill>
          </w14:textFill>
        </w:rPr>
      </w:pPr>
    </w:p>
    <w:p w14:paraId="29C1003D">
      <w:pPr>
        <w:pStyle w:val="13"/>
        <w:numPr>
          <w:ilvl w:val="0"/>
          <w:numId w:val="0"/>
        </w:numPr>
        <w:spacing w:line="360" w:lineRule="auto"/>
        <w:ind w:leftChars="0"/>
        <w:jc w:val="both"/>
        <w:rPr>
          <w:rFonts w:ascii="Times New Roman" w:hAnsi="Times New Roman" w:eastAsia="方正小标宋_GBK" w:cs="Times New Roman"/>
          <w:sz w:val="52"/>
          <w:szCs w:val="52"/>
        </w:rPr>
      </w:pPr>
    </w:p>
    <w:p w14:paraId="778BDB8E">
      <w:pPr>
        <w:pStyle w:val="13"/>
        <w:numPr>
          <w:ilvl w:val="0"/>
          <w:numId w:val="0"/>
        </w:numPr>
        <w:spacing w:line="360" w:lineRule="auto"/>
        <w:ind w:leftChars="0"/>
        <w:jc w:val="both"/>
        <w:rPr>
          <w:rFonts w:hint="eastAsia" w:ascii="Times New Roman" w:hAnsi="Times New Roman" w:eastAsia="方正小标宋_GBK" w:cs="Times New Roman"/>
          <w:sz w:val="18"/>
          <w:szCs w:val="18"/>
          <w:lang w:val="en-US" w:eastAsia="zh-CN"/>
        </w:rPr>
      </w:pPr>
      <w:r>
        <w:rPr>
          <w:rFonts w:ascii="Times New Roman" w:hAnsi="Times New Roman" w:eastAsia="方正小标宋_GBK" w:cs="Times New Roman"/>
          <w:sz w:val="28"/>
          <w:szCs w:val="28"/>
        </w:rPr>
        <w:t>附 件</w:t>
      </w:r>
      <w:r>
        <w:rPr>
          <w:rFonts w:hint="eastAsia" w:ascii="Times New Roman" w:hAnsi="Times New Roman" w:eastAsia="方正小标宋_GBK" w:cs="Times New Roman"/>
          <w:sz w:val="28"/>
          <w:szCs w:val="28"/>
          <w:lang w:val="en-US" w:eastAsia="zh-CN"/>
        </w:rPr>
        <w:t>5</w:t>
      </w:r>
    </w:p>
    <w:p w14:paraId="09EF6B5F">
      <w:pPr>
        <w:spacing w:before="126" w:line="445" w:lineRule="auto"/>
        <w:ind w:left="2814" w:right="1013" w:hanging="1615"/>
        <w:rPr>
          <w:rFonts w:hint="eastAsia" w:ascii="Times New Roman" w:hAnsi="Times New Roman" w:eastAsia="宋体" w:cs="Times New Roman"/>
          <w:b/>
          <w:bCs/>
          <w:sz w:val="39"/>
          <w:szCs w:val="39"/>
          <w:lang w:val="en-US" w:eastAsia="zh-CN"/>
        </w:rPr>
      </w:pPr>
    </w:p>
    <w:p w14:paraId="1CFC5774">
      <w:pPr>
        <w:spacing w:before="126" w:line="445" w:lineRule="auto"/>
        <w:ind w:left="2814" w:right="1013" w:hanging="1615"/>
        <w:rPr>
          <w:rFonts w:hint="eastAsia" w:ascii="Times New Roman" w:hAnsi="Times New Roman" w:eastAsia="宋体" w:cs="Times New Roman"/>
          <w:b/>
          <w:bCs/>
          <w:sz w:val="39"/>
          <w:szCs w:val="39"/>
          <w:lang w:val="en-US" w:eastAsia="zh-CN"/>
        </w:rPr>
      </w:pPr>
      <w:r>
        <w:rPr>
          <w:rFonts w:hint="eastAsia" w:ascii="Times New Roman" w:hAnsi="Times New Roman" w:eastAsia="宋体" w:cs="Times New Roman"/>
          <w:b/>
          <w:bCs/>
          <w:sz w:val="39"/>
          <w:szCs w:val="39"/>
          <w:lang w:val="en-US" w:eastAsia="zh-CN"/>
        </w:rPr>
        <w:t>2024年度怀化市医疗保障事务中心</w:t>
      </w:r>
    </w:p>
    <w:p w14:paraId="74492738">
      <w:pPr>
        <w:spacing w:before="126" w:line="445" w:lineRule="auto"/>
        <w:ind w:left="2814" w:right="1013" w:hanging="1615"/>
        <w:jc w:val="center"/>
        <w:rPr>
          <w:rFonts w:ascii="宋体" w:hAnsi="宋体" w:eastAsia="宋体" w:cs="宋体"/>
          <w:sz w:val="39"/>
          <w:szCs w:val="39"/>
        </w:rPr>
      </w:pPr>
      <w:r>
        <w:rPr>
          <w:rFonts w:hint="eastAsia" w:ascii="Times New Roman" w:hAnsi="Times New Roman" w:eastAsia="宋体" w:cs="Times New Roman"/>
          <w:b/>
          <w:bCs/>
          <w:sz w:val="39"/>
          <w:szCs w:val="39"/>
          <w:lang w:val="en-US" w:eastAsia="zh-CN"/>
        </w:rPr>
        <w:t>整体支出绩效自评报告</w:t>
      </w:r>
    </w:p>
    <w:p w14:paraId="740B61C2">
      <w:pPr>
        <w:spacing w:line="242" w:lineRule="auto"/>
        <w:rPr>
          <w:rFonts w:ascii="Arial"/>
          <w:sz w:val="21"/>
        </w:rPr>
      </w:pPr>
    </w:p>
    <w:p w14:paraId="1101BD70">
      <w:pPr>
        <w:spacing w:line="242" w:lineRule="auto"/>
        <w:rPr>
          <w:rFonts w:ascii="Arial"/>
          <w:sz w:val="21"/>
        </w:rPr>
      </w:pPr>
    </w:p>
    <w:p w14:paraId="16C269E5">
      <w:pPr>
        <w:spacing w:line="242" w:lineRule="auto"/>
        <w:rPr>
          <w:rFonts w:ascii="Arial"/>
          <w:sz w:val="21"/>
        </w:rPr>
      </w:pPr>
    </w:p>
    <w:p w14:paraId="608176C3">
      <w:pPr>
        <w:spacing w:line="242" w:lineRule="auto"/>
        <w:rPr>
          <w:rFonts w:ascii="Arial"/>
          <w:sz w:val="21"/>
        </w:rPr>
      </w:pPr>
    </w:p>
    <w:p w14:paraId="2F05E18E">
      <w:pPr>
        <w:spacing w:line="242" w:lineRule="auto"/>
        <w:rPr>
          <w:rFonts w:ascii="Arial"/>
          <w:sz w:val="21"/>
        </w:rPr>
      </w:pPr>
    </w:p>
    <w:p w14:paraId="62950966">
      <w:pPr>
        <w:spacing w:line="242" w:lineRule="auto"/>
        <w:rPr>
          <w:rFonts w:ascii="Arial"/>
          <w:sz w:val="21"/>
        </w:rPr>
      </w:pPr>
    </w:p>
    <w:p w14:paraId="2F267C4B">
      <w:pPr>
        <w:spacing w:line="242" w:lineRule="auto"/>
        <w:rPr>
          <w:rFonts w:ascii="Arial"/>
          <w:sz w:val="21"/>
        </w:rPr>
      </w:pPr>
    </w:p>
    <w:p w14:paraId="7446AD9F">
      <w:pPr>
        <w:spacing w:line="242" w:lineRule="auto"/>
        <w:rPr>
          <w:rFonts w:ascii="Arial"/>
          <w:sz w:val="21"/>
        </w:rPr>
      </w:pPr>
    </w:p>
    <w:p w14:paraId="53EE3B39">
      <w:pPr>
        <w:spacing w:line="242" w:lineRule="auto"/>
        <w:rPr>
          <w:rFonts w:ascii="Arial"/>
          <w:sz w:val="21"/>
        </w:rPr>
      </w:pPr>
    </w:p>
    <w:p w14:paraId="04D4D756">
      <w:pPr>
        <w:spacing w:line="242" w:lineRule="auto"/>
        <w:rPr>
          <w:rFonts w:ascii="Arial"/>
          <w:sz w:val="21"/>
        </w:rPr>
      </w:pPr>
    </w:p>
    <w:p w14:paraId="16FAD561">
      <w:pPr>
        <w:spacing w:line="242" w:lineRule="auto"/>
        <w:rPr>
          <w:rFonts w:ascii="Arial"/>
          <w:sz w:val="21"/>
        </w:rPr>
      </w:pPr>
    </w:p>
    <w:p w14:paraId="75F631DE">
      <w:pPr>
        <w:spacing w:line="242" w:lineRule="auto"/>
        <w:rPr>
          <w:rFonts w:ascii="Arial"/>
          <w:sz w:val="21"/>
        </w:rPr>
      </w:pPr>
    </w:p>
    <w:p w14:paraId="5836199B">
      <w:pPr>
        <w:spacing w:line="242" w:lineRule="auto"/>
        <w:rPr>
          <w:rFonts w:ascii="Arial"/>
          <w:sz w:val="21"/>
        </w:rPr>
      </w:pPr>
    </w:p>
    <w:p w14:paraId="7F481288">
      <w:pPr>
        <w:spacing w:line="242" w:lineRule="auto"/>
        <w:rPr>
          <w:rFonts w:ascii="Arial"/>
          <w:sz w:val="21"/>
        </w:rPr>
      </w:pPr>
    </w:p>
    <w:p w14:paraId="2CA5B50C">
      <w:pPr>
        <w:spacing w:line="242" w:lineRule="auto"/>
        <w:rPr>
          <w:rFonts w:ascii="Arial"/>
          <w:sz w:val="21"/>
        </w:rPr>
      </w:pPr>
    </w:p>
    <w:p w14:paraId="06765F61">
      <w:pPr>
        <w:spacing w:line="242" w:lineRule="auto"/>
        <w:rPr>
          <w:rFonts w:ascii="Arial"/>
          <w:sz w:val="21"/>
        </w:rPr>
      </w:pPr>
    </w:p>
    <w:p w14:paraId="1DD3E39E">
      <w:pPr>
        <w:spacing w:line="242" w:lineRule="auto"/>
        <w:rPr>
          <w:rFonts w:ascii="Arial"/>
          <w:sz w:val="21"/>
        </w:rPr>
      </w:pPr>
    </w:p>
    <w:p w14:paraId="40B97773">
      <w:pPr>
        <w:spacing w:line="242" w:lineRule="auto"/>
        <w:rPr>
          <w:rFonts w:ascii="Arial"/>
          <w:sz w:val="21"/>
        </w:rPr>
      </w:pPr>
    </w:p>
    <w:p w14:paraId="0A032833">
      <w:pPr>
        <w:spacing w:line="242" w:lineRule="auto"/>
        <w:rPr>
          <w:rFonts w:ascii="Arial"/>
          <w:sz w:val="21"/>
        </w:rPr>
      </w:pPr>
    </w:p>
    <w:p w14:paraId="2389B583">
      <w:pPr>
        <w:spacing w:line="242" w:lineRule="auto"/>
        <w:rPr>
          <w:rFonts w:ascii="Arial"/>
          <w:sz w:val="21"/>
        </w:rPr>
      </w:pPr>
    </w:p>
    <w:p w14:paraId="55FCE5E0">
      <w:pPr>
        <w:spacing w:line="242" w:lineRule="auto"/>
        <w:rPr>
          <w:rFonts w:ascii="Arial"/>
          <w:sz w:val="21"/>
        </w:rPr>
      </w:pPr>
    </w:p>
    <w:p w14:paraId="7E1C3AF2">
      <w:pPr>
        <w:spacing w:line="242" w:lineRule="auto"/>
        <w:rPr>
          <w:rFonts w:ascii="Arial"/>
          <w:sz w:val="21"/>
        </w:rPr>
      </w:pPr>
    </w:p>
    <w:p w14:paraId="7E859253">
      <w:pPr>
        <w:spacing w:line="243" w:lineRule="auto"/>
        <w:rPr>
          <w:rFonts w:ascii="Arial"/>
          <w:sz w:val="21"/>
        </w:rPr>
      </w:pPr>
    </w:p>
    <w:p w14:paraId="44A308E7">
      <w:pPr>
        <w:spacing w:line="243" w:lineRule="auto"/>
        <w:rPr>
          <w:rFonts w:ascii="Arial"/>
          <w:sz w:val="21"/>
        </w:rPr>
      </w:pPr>
    </w:p>
    <w:p w14:paraId="33DBFE70">
      <w:pPr>
        <w:spacing w:line="243" w:lineRule="auto"/>
        <w:rPr>
          <w:rFonts w:ascii="Arial"/>
          <w:sz w:val="21"/>
        </w:rPr>
      </w:pPr>
    </w:p>
    <w:p w14:paraId="0CF99A62">
      <w:pPr>
        <w:spacing w:line="243" w:lineRule="auto"/>
        <w:rPr>
          <w:rFonts w:ascii="Arial"/>
          <w:sz w:val="21"/>
        </w:rPr>
      </w:pPr>
    </w:p>
    <w:p w14:paraId="6E6EB974">
      <w:pPr>
        <w:spacing w:line="243" w:lineRule="auto"/>
        <w:rPr>
          <w:rFonts w:ascii="Arial"/>
          <w:sz w:val="21"/>
        </w:rPr>
      </w:pPr>
    </w:p>
    <w:p w14:paraId="17155FB7">
      <w:pPr>
        <w:spacing w:line="243" w:lineRule="auto"/>
        <w:rPr>
          <w:rFonts w:ascii="Arial"/>
          <w:sz w:val="21"/>
        </w:rPr>
      </w:pPr>
    </w:p>
    <w:p w14:paraId="21C15CC5">
      <w:pPr>
        <w:spacing w:line="243" w:lineRule="auto"/>
        <w:rPr>
          <w:rFonts w:ascii="Arial"/>
          <w:sz w:val="21"/>
        </w:rPr>
      </w:pPr>
    </w:p>
    <w:p w14:paraId="0522A062">
      <w:pPr>
        <w:spacing w:line="243" w:lineRule="auto"/>
        <w:rPr>
          <w:rFonts w:ascii="Arial"/>
          <w:sz w:val="21"/>
        </w:rPr>
      </w:pPr>
    </w:p>
    <w:p w14:paraId="2EC0ED35">
      <w:pPr>
        <w:spacing w:line="243" w:lineRule="auto"/>
        <w:rPr>
          <w:rFonts w:ascii="Arial"/>
          <w:sz w:val="21"/>
        </w:rPr>
      </w:pPr>
    </w:p>
    <w:p w14:paraId="65956BC0">
      <w:pPr>
        <w:spacing w:line="243" w:lineRule="auto"/>
        <w:rPr>
          <w:rFonts w:ascii="Arial"/>
          <w:sz w:val="21"/>
        </w:rPr>
      </w:pPr>
    </w:p>
    <w:p w14:paraId="77E2BDE1">
      <w:pPr>
        <w:spacing w:before="101" w:line="222" w:lineRule="auto"/>
        <w:jc w:val="center"/>
        <w:rPr>
          <w:rFonts w:hint="default" w:ascii="黑体" w:hAnsi="黑体" w:eastAsia="黑体" w:cs="黑体"/>
          <w:sz w:val="31"/>
          <w:szCs w:val="31"/>
          <w:lang w:val="en-US" w:eastAsia="zh-CN"/>
        </w:rPr>
        <w:sectPr>
          <w:footerReference r:id="rId7" w:type="default"/>
          <w:pgSz w:w="11900" w:h="16840"/>
          <w:pgMar w:top="1701" w:right="1701" w:bottom="1701" w:left="1701" w:header="850" w:footer="992" w:gutter="0"/>
          <w:cols w:space="0" w:num="1"/>
          <w:rtlGutter w:val="0"/>
          <w:docGrid w:linePitch="0" w:charSpace="0"/>
        </w:sectPr>
      </w:pPr>
      <w:r>
        <w:rPr>
          <w:rFonts w:ascii="黑体" w:hAnsi="黑体" w:eastAsia="黑体" w:cs="黑体"/>
          <w:b/>
          <w:bCs/>
          <w:spacing w:val="38"/>
          <w:sz w:val="31"/>
          <w:szCs w:val="31"/>
        </w:rPr>
        <w:t>单位名称(盖章):</w:t>
      </w:r>
      <w:r>
        <w:rPr>
          <w:rFonts w:hint="eastAsia" w:ascii="黑体" w:hAnsi="黑体" w:eastAsia="黑体" w:cs="黑体"/>
          <w:sz w:val="31"/>
          <w:szCs w:val="31"/>
          <w:lang w:val="en-US" w:eastAsia="zh-CN"/>
        </w:rPr>
        <w:t>怀化市医疗保障事务中心</w:t>
      </w:r>
    </w:p>
    <w:p w14:paraId="21671C93">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一、部门概况</w:t>
      </w:r>
    </w:p>
    <w:p w14:paraId="3E5F38C8">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eastAsia="zh-CN"/>
        </w:rPr>
        <w:t>(一)</w:t>
      </w:r>
      <w:r>
        <w:rPr>
          <w:rFonts w:hint="eastAsia" w:ascii="Times New Roman" w:hAnsi="Times New Roman" w:eastAsia="仿宋_GB2312" w:cs="仿宋_GB2312"/>
          <w:spacing w:val="0"/>
          <w:sz w:val="32"/>
          <w:szCs w:val="32"/>
        </w:rPr>
        <w:t>部门</w:t>
      </w:r>
      <w:r>
        <w:rPr>
          <w:rFonts w:hint="eastAsia" w:ascii="Times New Roman" w:hAnsi="Times New Roman" w:eastAsia="仿宋_GB2312" w:cs="仿宋_GB2312"/>
          <w:spacing w:val="0"/>
          <w:sz w:val="32"/>
          <w:szCs w:val="32"/>
          <w:lang w:eastAsia="zh-CN"/>
        </w:rPr>
        <w:t>(单位)</w:t>
      </w:r>
      <w:r>
        <w:rPr>
          <w:rFonts w:hint="eastAsia" w:ascii="Times New Roman" w:hAnsi="Times New Roman" w:eastAsia="仿宋_GB2312" w:cs="仿宋_GB2312"/>
          <w:spacing w:val="0"/>
          <w:sz w:val="32"/>
          <w:szCs w:val="32"/>
        </w:rPr>
        <w:t>基本情况。</w:t>
      </w:r>
    </w:p>
    <w:p w14:paraId="24166341">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机构设置情况</w:t>
      </w:r>
    </w:p>
    <w:p w14:paraId="473AF370">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怀化市医疗保障事务中心作为怀化市医疗保障局所属二级部门预算单位内设科室为：综合部、待遇保障部、财务审核部、医药招采事务部、协议管理价格监测部、异地结算和稽核事务部。</w:t>
      </w:r>
    </w:p>
    <w:p w14:paraId="190FEE8F">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rPr>
        <w:t>人员编制情况</w:t>
      </w:r>
    </w:p>
    <w:p w14:paraId="1121505A">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根据编委核定，截至202</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年末，怀化市医疗保障事务中心共有编制33人，实际在职人员</w:t>
      </w:r>
      <w:r>
        <w:rPr>
          <w:rFonts w:hint="eastAsia" w:ascii="Times New Roman" w:hAnsi="Times New Roman" w:eastAsia="仿宋_GB2312" w:cs="仿宋_GB2312"/>
          <w:spacing w:val="0"/>
          <w:sz w:val="32"/>
          <w:szCs w:val="32"/>
          <w:lang w:val="en-US" w:eastAsia="zh-CN"/>
        </w:rPr>
        <w:t>31</w:t>
      </w:r>
      <w:r>
        <w:rPr>
          <w:rFonts w:hint="eastAsia" w:ascii="Times New Roman" w:hAnsi="Times New Roman" w:eastAsia="仿宋_GB2312" w:cs="仿宋_GB2312"/>
          <w:spacing w:val="0"/>
          <w:sz w:val="32"/>
          <w:szCs w:val="32"/>
        </w:rPr>
        <w:t>人。</w:t>
      </w:r>
    </w:p>
    <w:p w14:paraId="067175F0">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主要职能职责</w:t>
      </w:r>
    </w:p>
    <w:p w14:paraId="2DA518AA">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1）负责中心的日常运转以及党建、干部人事、文秘内勤、综合治理、对外宣传、后勤服务等工作；负责市直参保单位健康管理有关工作；负责市直单位的参保登记，及时采集、比对参保人员基本信息；开展参保政策组织动员和宣传；建立部门间信息定期比对共享机制和数据动态管理机制；承担跨省、跨市和市内异地医疗保障关系转移接续；负责业务统计报表工作；负责市本级医药机构准入评估工作；负责组织落实中心扶贫点的脱贫攻坚工作。</w:t>
      </w:r>
    </w:p>
    <w:p w14:paraId="09EE3173">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负责编制市直参保单位职责范围内的保障经办事务的财务报表及基金预决算；负责市直协议医疗机构、协议零售药店的医疗费用审定及支付工作；负责医疗保险基金（费）的内部审计和分析工作。负责部门经费预决算及财务管理、财务报表、劳动工资统计报表工作。</w:t>
      </w:r>
    </w:p>
    <w:p w14:paraId="320DDC92">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3）主要负责市本级医疗保险、生育保险、大病医疗互助、医疗救助、特殊病种、特殊药品待遇经办服务工作，负责市直单位公务员医疗补助的经办服务工作；协助有关部门拟订基本医疗保险、生育保险药品目录、诊疗项目目录、医疗服务设施标准目录并组织实施；负责市本级离休干部医疗保障待遇费用的经办服务工作协助有关部门拟订离休干部医疗保险药品目录、诊疗项目目录、医疗服务设施标准目录并组织实施；负责医保扶贫有关业务经办工作。</w:t>
      </w:r>
    </w:p>
    <w:p w14:paraId="566FE111">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4）主要负责跨省和市内医疗保障异地就医经办事务；协助拟订跨省和市内异地就医管理办法和结算政策；落实异地就医风险调节基金和待遇支付；承担异地基本医疗、大病保险、医疗救助等医疗保险“一站式”经办结算服务工作；负责城乡居民大病保险工作；负责新冠肺炎结算、统计等工作。</w:t>
      </w:r>
    </w:p>
    <w:p w14:paraId="712BE289">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5）主要负责参与、配合医药招标采购方案和招标采购目录制定；协调、配合医药招标采购平台建设；监督医疗机构医药采购和中标药品、医用耗材配送行为；参与医保药品价格谈判工作，负责市本级医疗服务项目和医疗服务设施价格的成本核算和评估；制定医药价格及医保管理服务技术标准规范；监测医药价格和信息发布；开展市本级医药价格监测工作。</w:t>
      </w:r>
    </w:p>
    <w:p w14:paraId="22F89502">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6）主要负责拟订市直参保单位基本医疗保险协议管理医疗机构、零售药店的服务协议及费用结算办法；拟订市直参保单位生育保险协议管理医疗机构的服务协议及费用结算办法；拟订离休干部医疗保险协议管理医疗机构的服务协议及费用结算办法；指导市直协议医疗机构、协议零售药店服务协议签订及履行，并对协议医疗机构、协议零售药店进行监督管理测评。</w:t>
      </w:r>
    </w:p>
    <w:p w14:paraId="231BF1DF">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7）负责对市直参保单位职责范围内的医疗保险、生育保险、大病医疗互助、特殊病种、特殊药品、公务员医疗补助、离退休干部医疗保障、医疗救助费用等审核工作；负责审计、稽核个人账户资金、统筹基金的运营情况；组织拟订各项业务工作规程、规范及管理制度，并进行协调和督查；开展医疗保障经办机构内控管理和风险防控；负责市本级特殊病种的门诊评审工作。</w:t>
      </w:r>
    </w:p>
    <w:p w14:paraId="7C82C338">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（8）完成市委、市政府交办的其他事宜。</w:t>
      </w:r>
    </w:p>
    <w:p w14:paraId="733A1827">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绩效目标设定情况</w:t>
      </w:r>
    </w:p>
    <w:p w14:paraId="0EA9688C">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 xml:space="preserve"> 财政预算执行方面：截至本年度末，我们严格遵循财政预算规定，合理安排各项经费开支，确保了医保基金的安全与完整。在提高基金使用效率上，通过优化经办流程、提升信息化管理水平等措施，实现了节约成本的目标。</w:t>
      </w:r>
    </w:p>
    <w:p w14:paraId="7E0AB10E">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2</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 xml:space="preserve"> 医保政策落实方面：积极推进国家和地方医疗保险相关政策的宣传和实施，如长期护理保险试点、大病保险进一步减负等工作。有效提升了广大人民群众对医疗保障制度的认知度和满意度。</w:t>
      </w:r>
    </w:p>
    <w:p w14:paraId="1B29FC1D">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服务效能提升方面：为响应“放管服”改革要求，我们不断优化办事流程，简化证明材料，提高了窗口服务效率，获得群众好评。同时，加强了对定点医疗机构的监管，保证医疗服务质量和基金安全。</w:t>
      </w:r>
    </w:p>
    <w:p w14:paraId="5A941FA9">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信息系统建设方面：持续完善医疗保障信息管理系统，实现了与各级医疗机构的数据对接，提供了实时结算、智能审核等功能，大幅降低了人为错误和欺诈行为的可能性。</w:t>
      </w:r>
    </w:p>
    <w:p w14:paraId="72D63C53">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lang w:val="en-US" w:eastAsia="zh-CN"/>
        </w:rPr>
        <w:t>5</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基金监管与风险防控方面：定期开展内部控制评价和风险评估，严格执行基金监督制度，对违规行为进行严肃查处，保护了医保基金的安全。</w:t>
      </w:r>
    </w:p>
    <w:p w14:paraId="5565BA14">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eastAsia="zh-CN"/>
        </w:rPr>
        <w:t>(二)部门(单位)整体</w:t>
      </w:r>
      <w:r>
        <w:rPr>
          <w:rFonts w:hint="eastAsia" w:ascii="Times New Roman" w:hAnsi="Times New Roman" w:eastAsia="仿宋_GB2312" w:cs="仿宋_GB2312"/>
          <w:spacing w:val="0"/>
          <w:sz w:val="32"/>
          <w:szCs w:val="32"/>
        </w:rPr>
        <w:t>支出规模、使用方向和主要内容、涉及范围等。</w:t>
      </w:r>
    </w:p>
    <w:p w14:paraId="2D1E09B5">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202</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年，我中心在市医保局的领导下，进一步落实医疗改革，提高办事效率，不断加强医疗保障能力，坚持保基本、可持续、全覆盖，取得了一定的工作业绩，坚持“以人为本、安全服务、发展创新”的工作方针，紧紧围绕中心工作重心，不断加强党员和职工队伍建设，努力提高服务管理水平，顺利完成全年的各项目标任务。</w:t>
      </w:r>
    </w:p>
    <w:p w14:paraId="350A3F2E">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202</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年，我中心部门年初预算支出</w:t>
      </w:r>
      <w:r>
        <w:rPr>
          <w:rFonts w:hint="eastAsia" w:ascii="Times New Roman" w:hAnsi="Times New Roman" w:eastAsia="仿宋_GB2312" w:cs="仿宋_GB2312"/>
          <w:spacing w:val="0"/>
          <w:sz w:val="32"/>
          <w:szCs w:val="32"/>
          <w:lang w:val="en-US" w:eastAsia="zh-CN"/>
        </w:rPr>
        <w:t>518.35</w:t>
      </w:r>
      <w:r>
        <w:rPr>
          <w:rFonts w:hint="eastAsia" w:ascii="Times New Roman" w:hAnsi="Times New Roman" w:eastAsia="仿宋_GB2312" w:cs="仿宋_GB2312"/>
          <w:spacing w:val="0"/>
          <w:sz w:val="32"/>
          <w:szCs w:val="32"/>
        </w:rPr>
        <w:t>万元，其中基本支出</w:t>
      </w:r>
      <w:r>
        <w:rPr>
          <w:rFonts w:hint="eastAsia" w:ascii="Times New Roman" w:hAnsi="Times New Roman" w:eastAsia="仿宋_GB2312" w:cs="仿宋_GB2312"/>
          <w:spacing w:val="0"/>
          <w:sz w:val="32"/>
          <w:szCs w:val="32"/>
          <w:lang w:val="en-US" w:eastAsia="zh-CN"/>
        </w:rPr>
        <w:t>445.85</w:t>
      </w:r>
      <w:r>
        <w:rPr>
          <w:rFonts w:hint="eastAsia" w:ascii="Times New Roman" w:hAnsi="Times New Roman" w:eastAsia="仿宋_GB2312" w:cs="仿宋_GB2312"/>
          <w:spacing w:val="0"/>
          <w:sz w:val="32"/>
          <w:szCs w:val="32"/>
        </w:rPr>
        <w:t>万元，项目支出</w:t>
      </w:r>
      <w:r>
        <w:rPr>
          <w:rFonts w:hint="eastAsia" w:ascii="Times New Roman" w:hAnsi="Times New Roman" w:eastAsia="仿宋_GB2312" w:cs="仿宋_GB2312"/>
          <w:spacing w:val="0"/>
          <w:sz w:val="32"/>
          <w:szCs w:val="32"/>
          <w:lang w:val="en-US" w:eastAsia="zh-CN"/>
        </w:rPr>
        <w:t>72</w:t>
      </w:r>
      <w:r>
        <w:rPr>
          <w:rFonts w:hint="eastAsia" w:ascii="Times New Roman" w:hAnsi="Times New Roman" w:eastAsia="仿宋_GB2312" w:cs="仿宋_GB2312"/>
          <w:spacing w:val="0"/>
          <w:sz w:val="32"/>
          <w:szCs w:val="32"/>
        </w:rPr>
        <w:t>.5万元。全年预算数</w:t>
      </w:r>
      <w:r>
        <w:rPr>
          <w:rFonts w:hint="eastAsia" w:ascii="Times New Roman" w:hAnsi="Times New Roman" w:eastAsia="仿宋_GB2312" w:cs="仿宋_GB2312"/>
          <w:spacing w:val="0"/>
          <w:sz w:val="32"/>
          <w:szCs w:val="32"/>
          <w:lang w:val="en-US" w:eastAsia="zh-CN"/>
        </w:rPr>
        <w:t>617</w:t>
      </w:r>
      <w:r>
        <w:rPr>
          <w:rFonts w:hint="eastAsia" w:ascii="Times New Roman" w:hAnsi="Times New Roman" w:eastAsia="仿宋_GB2312" w:cs="仿宋_GB2312"/>
          <w:spacing w:val="0"/>
          <w:sz w:val="32"/>
          <w:szCs w:val="32"/>
        </w:rPr>
        <w:t>.</w:t>
      </w:r>
      <w:r>
        <w:rPr>
          <w:rFonts w:hint="eastAsia" w:ascii="Times New Roman" w:hAnsi="Times New Roman" w:eastAsia="仿宋_GB2312" w:cs="仿宋_GB2312"/>
          <w:spacing w:val="0"/>
          <w:sz w:val="32"/>
          <w:szCs w:val="32"/>
          <w:lang w:val="en-US" w:eastAsia="zh-CN"/>
        </w:rPr>
        <w:t>39</w:t>
      </w:r>
      <w:r>
        <w:rPr>
          <w:rFonts w:hint="eastAsia" w:ascii="Times New Roman" w:hAnsi="Times New Roman" w:eastAsia="仿宋_GB2312" w:cs="仿宋_GB2312"/>
          <w:spacing w:val="0"/>
          <w:sz w:val="32"/>
          <w:szCs w:val="32"/>
        </w:rPr>
        <w:t>万元。部门年度总支出</w:t>
      </w:r>
      <w:r>
        <w:rPr>
          <w:rFonts w:hint="eastAsia" w:ascii="Times New Roman" w:hAnsi="Times New Roman" w:eastAsia="仿宋_GB2312" w:cs="仿宋_GB2312"/>
          <w:spacing w:val="0"/>
          <w:sz w:val="32"/>
          <w:szCs w:val="32"/>
          <w:lang w:val="en-US" w:eastAsia="zh-CN"/>
        </w:rPr>
        <w:t>616.91</w:t>
      </w:r>
      <w:r>
        <w:rPr>
          <w:rFonts w:hint="eastAsia" w:ascii="Times New Roman" w:hAnsi="Times New Roman" w:eastAsia="仿宋_GB2312" w:cs="仿宋_GB2312"/>
          <w:spacing w:val="0"/>
          <w:sz w:val="32"/>
          <w:szCs w:val="32"/>
        </w:rPr>
        <w:t>万元，其中基本支出</w:t>
      </w:r>
      <w:r>
        <w:rPr>
          <w:rFonts w:hint="eastAsia" w:ascii="Times New Roman" w:hAnsi="Times New Roman" w:eastAsia="仿宋_GB2312" w:cs="仿宋_GB2312"/>
          <w:spacing w:val="0"/>
          <w:sz w:val="32"/>
          <w:szCs w:val="32"/>
          <w:lang w:val="en-US" w:eastAsia="zh-CN"/>
        </w:rPr>
        <w:t>464.89</w:t>
      </w:r>
      <w:r>
        <w:rPr>
          <w:rFonts w:hint="eastAsia" w:ascii="Times New Roman" w:hAnsi="Times New Roman" w:eastAsia="仿宋_GB2312" w:cs="仿宋_GB2312"/>
          <w:spacing w:val="0"/>
          <w:sz w:val="32"/>
          <w:szCs w:val="32"/>
        </w:rPr>
        <w:t>万元，项目支出</w:t>
      </w:r>
      <w:r>
        <w:rPr>
          <w:rFonts w:hint="eastAsia" w:ascii="Times New Roman" w:hAnsi="Times New Roman" w:eastAsia="仿宋_GB2312" w:cs="仿宋_GB2312"/>
          <w:spacing w:val="0"/>
          <w:sz w:val="32"/>
          <w:szCs w:val="32"/>
          <w:lang w:val="en-US" w:eastAsia="zh-CN"/>
        </w:rPr>
        <w:t>152.01</w:t>
      </w:r>
      <w:r>
        <w:rPr>
          <w:rFonts w:hint="eastAsia" w:ascii="Times New Roman" w:hAnsi="Times New Roman" w:eastAsia="仿宋_GB2312" w:cs="仿宋_GB2312"/>
          <w:spacing w:val="0"/>
          <w:sz w:val="32"/>
          <w:szCs w:val="32"/>
        </w:rPr>
        <w:t>万元。基本支出中用于工资福利的支出</w:t>
      </w:r>
      <w:r>
        <w:rPr>
          <w:rFonts w:hint="eastAsia" w:ascii="Times New Roman" w:hAnsi="Times New Roman" w:eastAsia="仿宋_GB2312" w:cs="仿宋_GB2312"/>
          <w:spacing w:val="0"/>
          <w:sz w:val="32"/>
          <w:szCs w:val="32"/>
          <w:lang w:val="en-US" w:eastAsia="zh-CN"/>
        </w:rPr>
        <w:t>401.15</w:t>
      </w:r>
      <w:r>
        <w:rPr>
          <w:rFonts w:hint="eastAsia" w:ascii="Times New Roman" w:hAnsi="Times New Roman" w:eastAsia="仿宋_GB2312" w:cs="仿宋_GB2312"/>
          <w:spacing w:val="0"/>
          <w:sz w:val="32"/>
          <w:szCs w:val="32"/>
        </w:rPr>
        <w:t>万元，商品和服务支出</w:t>
      </w:r>
      <w:r>
        <w:rPr>
          <w:rFonts w:hint="eastAsia" w:ascii="Times New Roman" w:hAnsi="Times New Roman" w:eastAsia="仿宋_GB2312" w:cs="仿宋_GB2312"/>
          <w:spacing w:val="0"/>
          <w:sz w:val="32"/>
          <w:szCs w:val="32"/>
          <w:lang w:val="en-US" w:eastAsia="zh-CN"/>
        </w:rPr>
        <w:t>46.79</w:t>
      </w:r>
      <w:r>
        <w:rPr>
          <w:rFonts w:hint="eastAsia" w:ascii="Times New Roman" w:hAnsi="Times New Roman" w:eastAsia="仿宋_GB2312" w:cs="仿宋_GB2312"/>
          <w:spacing w:val="0"/>
          <w:sz w:val="32"/>
          <w:szCs w:val="32"/>
        </w:rPr>
        <w:t>万元，对个人和家庭的补助支出</w:t>
      </w:r>
      <w:r>
        <w:rPr>
          <w:rFonts w:hint="eastAsia" w:ascii="Times New Roman" w:hAnsi="Times New Roman" w:eastAsia="仿宋_GB2312" w:cs="仿宋_GB2312"/>
          <w:spacing w:val="0"/>
          <w:sz w:val="32"/>
          <w:szCs w:val="32"/>
          <w:lang w:val="en-US" w:eastAsia="zh-CN"/>
        </w:rPr>
        <w:t>16.95</w:t>
      </w:r>
      <w:r>
        <w:rPr>
          <w:rFonts w:hint="eastAsia" w:ascii="Times New Roman" w:hAnsi="Times New Roman" w:eastAsia="仿宋_GB2312" w:cs="仿宋_GB2312"/>
          <w:spacing w:val="0"/>
          <w:sz w:val="32"/>
          <w:szCs w:val="32"/>
        </w:rPr>
        <w:t>万元。项目支出中用于工资福利支出</w:t>
      </w:r>
      <w:r>
        <w:rPr>
          <w:rFonts w:hint="eastAsia" w:ascii="Times New Roman" w:hAnsi="Times New Roman" w:eastAsia="仿宋_GB2312" w:cs="仿宋_GB2312"/>
          <w:spacing w:val="0"/>
          <w:sz w:val="32"/>
          <w:szCs w:val="32"/>
          <w:lang w:val="en-US" w:eastAsia="zh-CN"/>
        </w:rPr>
        <w:t>12.50</w:t>
      </w:r>
      <w:r>
        <w:rPr>
          <w:rFonts w:hint="eastAsia" w:ascii="Times New Roman" w:hAnsi="Times New Roman" w:eastAsia="仿宋_GB2312" w:cs="仿宋_GB2312"/>
          <w:spacing w:val="0"/>
          <w:sz w:val="32"/>
          <w:szCs w:val="32"/>
        </w:rPr>
        <w:t>万元，商品和服务支出</w:t>
      </w:r>
      <w:r>
        <w:rPr>
          <w:rFonts w:hint="eastAsia" w:ascii="Times New Roman" w:hAnsi="Times New Roman" w:eastAsia="仿宋_GB2312" w:cs="仿宋_GB2312"/>
          <w:spacing w:val="0"/>
          <w:sz w:val="32"/>
          <w:szCs w:val="32"/>
          <w:lang w:val="en-US" w:eastAsia="zh-CN"/>
        </w:rPr>
        <w:t>113.82</w:t>
      </w:r>
      <w:r>
        <w:rPr>
          <w:rFonts w:hint="eastAsia" w:ascii="Times New Roman" w:hAnsi="Times New Roman" w:eastAsia="仿宋_GB2312" w:cs="仿宋_GB2312"/>
          <w:spacing w:val="0"/>
          <w:sz w:val="32"/>
          <w:szCs w:val="32"/>
        </w:rPr>
        <w:t>万元，对个人和家庭的补助支出</w:t>
      </w:r>
      <w:r>
        <w:rPr>
          <w:rFonts w:hint="eastAsia" w:ascii="Times New Roman" w:hAnsi="Times New Roman" w:eastAsia="仿宋_GB2312" w:cs="仿宋_GB2312"/>
          <w:spacing w:val="0"/>
          <w:sz w:val="32"/>
          <w:szCs w:val="32"/>
          <w:lang w:val="en-US" w:eastAsia="zh-CN"/>
        </w:rPr>
        <w:t>15.80</w:t>
      </w:r>
      <w:r>
        <w:rPr>
          <w:rFonts w:hint="eastAsia" w:ascii="Times New Roman" w:hAnsi="Times New Roman" w:eastAsia="仿宋_GB2312" w:cs="仿宋_GB2312"/>
          <w:spacing w:val="0"/>
          <w:sz w:val="32"/>
          <w:szCs w:val="32"/>
        </w:rPr>
        <w:t>万元，资本性支出</w:t>
      </w:r>
      <w:r>
        <w:rPr>
          <w:rFonts w:hint="eastAsia" w:ascii="Times New Roman" w:hAnsi="Times New Roman" w:eastAsia="仿宋_GB2312" w:cs="仿宋_GB2312"/>
          <w:spacing w:val="0"/>
          <w:sz w:val="32"/>
          <w:szCs w:val="32"/>
          <w:lang w:val="en-US" w:eastAsia="zh-CN"/>
        </w:rPr>
        <w:t>9.89</w:t>
      </w:r>
      <w:r>
        <w:rPr>
          <w:rFonts w:hint="eastAsia" w:ascii="Times New Roman" w:hAnsi="Times New Roman" w:eastAsia="仿宋_GB2312" w:cs="仿宋_GB2312"/>
          <w:spacing w:val="0"/>
          <w:sz w:val="32"/>
          <w:szCs w:val="32"/>
        </w:rPr>
        <w:t>万元。</w:t>
      </w:r>
    </w:p>
    <w:p w14:paraId="7936AF00">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二、一般公共预算支出情况</w:t>
      </w:r>
    </w:p>
    <w:p w14:paraId="18641646">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(一)基本支出</w:t>
      </w:r>
    </w:p>
    <w:p w14:paraId="01972743">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202</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年，部门基本支出</w:t>
      </w:r>
      <w:r>
        <w:rPr>
          <w:rFonts w:hint="eastAsia" w:ascii="Times New Roman" w:hAnsi="Times New Roman" w:eastAsia="仿宋_GB2312" w:cs="仿宋_GB2312"/>
          <w:spacing w:val="0"/>
          <w:sz w:val="32"/>
          <w:szCs w:val="32"/>
          <w:lang w:val="en-US" w:eastAsia="zh-CN"/>
        </w:rPr>
        <w:t>464.89</w:t>
      </w:r>
      <w:r>
        <w:rPr>
          <w:rFonts w:hint="eastAsia" w:ascii="Times New Roman" w:hAnsi="Times New Roman" w:eastAsia="仿宋_GB2312" w:cs="仿宋_GB2312"/>
          <w:spacing w:val="0"/>
          <w:sz w:val="32"/>
          <w:szCs w:val="32"/>
        </w:rPr>
        <w:t>万元，包括：①人员经费</w:t>
      </w:r>
      <w:r>
        <w:rPr>
          <w:rFonts w:hint="eastAsia" w:ascii="Times New Roman" w:hAnsi="Times New Roman" w:eastAsia="仿宋_GB2312" w:cs="仿宋_GB2312"/>
          <w:spacing w:val="0"/>
          <w:sz w:val="32"/>
          <w:szCs w:val="32"/>
          <w:lang w:val="en-US" w:eastAsia="zh-CN"/>
        </w:rPr>
        <w:t>418.10</w:t>
      </w:r>
      <w:r>
        <w:rPr>
          <w:rFonts w:hint="eastAsia" w:ascii="Times New Roman" w:hAnsi="Times New Roman" w:eastAsia="仿宋_GB2312" w:cs="仿宋_GB2312"/>
          <w:spacing w:val="0"/>
          <w:sz w:val="32"/>
          <w:szCs w:val="32"/>
        </w:rPr>
        <w:t>万元，其中基本工资</w:t>
      </w:r>
      <w:r>
        <w:rPr>
          <w:rFonts w:hint="eastAsia" w:ascii="Times New Roman" w:hAnsi="Times New Roman" w:eastAsia="仿宋_GB2312" w:cs="仿宋_GB2312"/>
          <w:spacing w:val="0"/>
          <w:sz w:val="32"/>
          <w:szCs w:val="32"/>
          <w:lang w:val="en-US" w:eastAsia="zh-CN"/>
        </w:rPr>
        <w:t>122.77</w:t>
      </w:r>
      <w:r>
        <w:rPr>
          <w:rFonts w:hint="eastAsia" w:ascii="Times New Roman" w:hAnsi="Times New Roman" w:eastAsia="仿宋_GB2312" w:cs="仿宋_GB2312"/>
          <w:spacing w:val="0"/>
          <w:sz w:val="32"/>
          <w:szCs w:val="32"/>
        </w:rPr>
        <w:t>万元、津贴补贴</w:t>
      </w:r>
      <w:r>
        <w:rPr>
          <w:rFonts w:hint="eastAsia" w:ascii="Times New Roman" w:hAnsi="Times New Roman" w:eastAsia="仿宋_GB2312" w:cs="仿宋_GB2312"/>
          <w:spacing w:val="0"/>
          <w:sz w:val="32"/>
          <w:szCs w:val="32"/>
          <w:lang w:val="en-US" w:eastAsia="zh-CN"/>
        </w:rPr>
        <w:t>69.88</w:t>
      </w:r>
      <w:r>
        <w:rPr>
          <w:rFonts w:hint="eastAsia" w:ascii="Times New Roman" w:hAnsi="Times New Roman" w:eastAsia="仿宋_GB2312" w:cs="仿宋_GB2312"/>
          <w:spacing w:val="0"/>
          <w:sz w:val="32"/>
          <w:szCs w:val="32"/>
        </w:rPr>
        <w:t>万元、奖金</w:t>
      </w:r>
      <w:r>
        <w:rPr>
          <w:rFonts w:hint="eastAsia" w:ascii="Times New Roman" w:hAnsi="Times New Roman" w:eastAsia="仿宋_GB2312" w:cs="仿宋_GB2312"/>
          <w:spacing w:val="0"/>
          <w:sz w:val="32"/>
          <w:szCs w:val="32"/>
          <w:lang w:val="en-US" w:eastAsia="zh-CN"/>
        </w:rPr>
        <w:t>29.45</w:t>
      </w:r>
      <w:r>
        <w:rPr>
          <w:rFonts w:hint="eastAsia" w:ascii="Times New Roman" w:hAnsi="Times New Roman" w:eastAsia="仿宋_GB2312" w:cs="仿宋_GB2312"/>
          <w:spacing w:val="0"/>
          <w:sz w:val="32"/>
          <w:szCs w:val="32"/>
        </w:rPr>
        <w:t>万元、绩效工资</w:t>
      </w:r>
      <w:r>
        <w:rPr>
          <w:rFonts w:hint="eastAsia" w:ascii="Times New Roman" w:hAnsi="Times New Roman" w:eastAsia="仿宋_GB2312" w:cs="仿宋_GB2312"/>
          <w:spacing w:val="0"/>
          <w:sz w:val="32"/>
          <w:szCs w:val="32"/>
          <w:lang w:val="en-US" w:eastAsia="zh-CN"/>
        </w:rPr>
        <w:t>60.57</w:t>
      </w:r>
      <w:r>
        <w:rPr>
          <w:rFonts w:hint="eastAsia" w:ascii="Times New Roman" w:hAnsi="Times New Roman" w:eastAsia="仿宋_GB2312" w:cs="仿宋_GB2312"/>
          <w:spacing w:val="0"/>
          <w:sz w:val="32"/>
          <w:szCs w:val="32"/>
        </w:rPr>
        <w:t>万元、机关事业单位基本养老保险缴费</w:t>
      </w:r>
      <w:r>
        <w:rPr>
          <w:rFonts w:hint="eastAsia" w:ascii="Times New Roman" w:hAnsi="Times New Roman" w:eastAsia="仿宋_GB2312" w:cs="仿宋_GB2312"/>
          <w:spacing w:val="0"/>
          <w:sz w:val="32"/>
          <w:szCs w:val="32"/>
          <w:lang w:val="en-US" w:eastAsia="zh-CN"/>
        </w:rPr>
        <w:t>42.67</w:t>
      </w:r>
      <w:r>
        <w:rPr>
          <w:rFonts w:hint="eastAsia" w:ascii="Times New Roman" w:hAnsi="Times New Roman" w:eastAsia="仿宋_GB2312" w:cs="仿宋_GB2312"/>
          <w:spacing w:val="0"/>
          <w:sz w:val="32"/>
          <w:szCs w:val="32"/>
        </w:rPr>
        <w:t>万元、职工基本医疗保险缴费</w:t>
      </w:r>
      <w:r>
        <w:rPr>
          <w:rFonts w:hint="eastAsia" w:ascii="Times New Roman" w:hAnsi="Times New Roman" w:eastAsia="仿宋_GB2312" w:cs="仿宋_GB2312"/>
          <w:spacing w:val="0"/>
          <w:sz w:val="32"/>
          <w:szCs w:val="32"/>
          <w:lang w:val="en-US" w:eastAsia="zh-CN"/>
        </w:rPr>
        <w:t>33.94</w:t>
      </w:r>
      <w:r>
        <w:rPr>
          <w:rFonts w:hint="eastAsia" w:ascii="Times New Roman" w:hAnsi="Times New Roman" w:eastAsia="仿宋_GB2312" w:cs="仿宋_GB2312"/>
          <w:spacing w:val="0"/>
          <w:sz w:val="32"/>
          <w:szCs w:val="32"/>
        </w:rPr>
        <w:t>万元、其他社会保障缴费</w:t>
      </w:r>
      <w:r>
        <w:rPr>
          <w:rFonts w:hint="eastAsia" w:ascii="Times New Roman" w:hAnsi="Times New Roman" w:eastAsia="仿宋_GB2312" w:cs="仿宋_GB2312"/>
          <w:spacing w:val="0"/>
          <w:sz w:val="32"/>
          <w:szCs w:val="32"/>
          <w:lang w:val="en-US" w:eastAsia="zh-CN"/>
        </w:rPr>
        <w:t>0.07</w:t>
      </w:r>
      <w:r>
        <w:rPr>
          <w:rFonts w:hint="eastAsia" w:ascii="Times New Roman" w:hAnsi="Times New Roman" w:eastAsia="仿宋_GB2312" w:cs="仿宋_GB2312"/>
          <w:spacing w:val="0"/>
          <w:sz w:val="32"/>
          <w:szCs w:val="32"/>
        </w:rPr>
        <w:t>万元、</w:t>
      </w:r>
      <w:r>
        <w:rPr>
          <w:rFonts w:hint="eastAsia" w:ascii="Times New Roman" w:hAnsi="Times New Roman" w:eastAsia="仿宋_GB2312" w:cs="仿宋_GB2312"/>
          <w:spacing w:val="0"/>
          <w:sz w:val="32"/>
          <w:szCs w:val="32"/>
          <w:lang w:val="en-US" w:eastAsia="zh-CN"/>
        </w:rPr>
        <w:t>住房公积金33.56万元</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其他工资福利支出</w:t>
      </w:r>
      <w:r>
        <w:rPr>
          <w:rFonts w:hint="eastAsia" w:ascii="Times New Roman" w:hAnsi="Times New Roman" w:eastAsia="仿宋_GB2312" w:cs="仿宋_GB2312"/>
          <w:spacing w:val="0"/>
          <w:sz w:val="32"/>
          <w:szCs w:val="32"/>
          <w:lang w:val="en-US" w:eastAsia="zh-CN"/>
        </w:rPr>
        <w:t>8.25</w:t>
      </w:r>
      <w:r>
        <w:rPr>
          <w:rFonts w:hint="eastAsia" w:ascii="Times New Roman" w:hAnsi="Times New Roman" w:eastAsia="仿宋_GB2312" w:cs="仿宋_GB2312"/>
          <w:spacing w:val="0"/>
          <w:sz w:val="32"/>
          <w:szCs w:val="32"/>
        </w:rPr>
        <w:t>万元。②公用经费</w:t>
      </w:r>
      <w:r>
        <w:rPr>
          <w:rFonts w:hint="eastAsia" w:ascii="Times New Roman" w:hAnsi="Times New Roman" w:eastAsia="仿宋_GB2312" w:cs="仿宋_GB2312"/>
          <w:spacing w:val="0"/>
          <w:sz w:val="32"/>
          <w:szCs w:val="32"/>
          <w:lang w:val="en-US" w:eastAsia="zh-CN"/>
        </w:rPr>
        <w:t>46.79</w:t>
      </w:r>
      <w:r>
        <w:rPr>
          <w:rFonts w:hint="eastAsia" w:ascii="Times New Roman" w:hAnsi="Times New Roman" w:eastAsia="仿宋_GB2312" w:cs="仿宋_GB2312"/>
          <w:spacing w:val="0"/>
          <w:sz w:val="32"/>
          <w:szCs w:val="32"/>
        </w:rPr>
        <w:t>万元，其中办公费</w:t>
      </w:r>
      <w:r>
        <w:rPr>
          <w:rFonts w:hint="eastAsia" w:ascii="Times New Roman" w:hAnsi="Times New Roman" w:eastAsia="仿宋_GB2312" w:cs="仿宋_GB2312"/>
          <w:spacing w:val="0"/>
          <w:sz w:val="32"/>
          <w:szCs w:val="32"/>
          <w:lang w:val="en-US" w:eastAsia="zh-CN"/>
        </w:rPr>
        <w:t>0.42</w:t>
      </w:r>
      <w:r>
        <w:rPr>
          <w:rFonts w:hint="eastAsia" w:ascii="Times New Roman" w:hAnsi="Times New Roman" w:eastAsia="仿宋_GB2312" w:cs="仿宋_GB2312"/>
          <w:spacing w:val="0"/>
          <w:sz w:val="32"/>
          <w:szCs w:val="32"/>
        </w:rPr>
        <w:t>万元、</w:t>
      </w:r>
      <w:r>
        <w:rPr>
          <w:rFonts w:hint="eastAsia" w:ascii="Times New Roman" w:hAnsi="Times New Roman" w:eastAsia="仿宋_GB2312" w:cs="仿宋_GB2312"/>
          <w:spacing w:val="0"/>
          <w:sz w:val="32"/>
          <w:szCs w:val="32"/>
          <w:lang w:val="en-US" w:eastAsia="zh-CN"/>
        </w:rPr>
        <w:t>印刷费</w:t>
      </w:r>
      <w:r>
        <w:rPr>
          <w:rFonts w:hint="eastAsia" w:ascii="Times New Roman" w:hAnsi="Times New Roman" w:eastAsia="仿宋_GB2312" w:cs="仿宋_GB2312"/>
          <w:spacing w:val="0"/>
          <w:sz w:val="32"/>
          <w:szCs w:val="32"/>
        </w:rPr>
        <w:t>0.</w:t>
      </w:r>
      <w:r>
        <w:rPr>
          <w:rFonts w:hint="eastAsia" w:ascii="Times New Roman" w:hAnsi="Times New Roman" w:eastAsia="仿宋_GB2312" w:cs="仿宋_GB2312"/>
          <w:spacing w:val="0"/>
          <w:sz w:val="32"/>
          <w:szCs w:val="32"/>
          <w:lang w:val="en-US" w:eastAsia="zh-CN"/>
        </w:rPr>
        <w:t>76</w:t>
      </w:r>
      <w:r>
        <w:rPr>
          <w:rFonts w:hint="eastAsia" w:ascii="Times New Roman" w:hAnsi="Times New Roman" w:eastAsia="仿宋_GB2312" w:cs="仿宋_GB2312"/>
          <w:spacing w:val="0"/>
          <w:sz w:val="32"/>
          <w:szCs w:val="32"/>
        </w:rPr>
        <w:t>万元、差旅费0.</w:t>
      </w: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8万元、工会经费</w:t>
      </w:r>
      <w:r>
        <w:rPr>
          <w:rFonts w:hint="eastAsia" w:ascii="Times New Roman" w:hAnsi="Times New Roman" w:eastAsia="仿宋_GB2312" w:cs="仿宋_GB2312"/>
          <w:spacing w:val="0"/>
          <w:sz w:val="32"/>
          <w:szCs w:val="32"/>
          <w:lang w:val="en-US" w:eastAsia="zh-CN"/>
        </w:rPr>
        <w:t>23.16</w:t>
      </w:r>
      <w:r>
        <w:rPr>
          <w:rFonts w:hint="eastAsia" w:ascii="Times New Roman" w:hAnsi="Times New Roman" w:eastAsia="仿宋_GB2312" w:cs="仿宋_GB2312"/>
          <w:spacing w:val="0"/>
          <w:sz w:val="32"/>
          <w:szCs w:val="32"/>
        </w:rPr>
        <w:t>万元、其他交通费用22.</w:t>
      </w:r>
      <w:r>
        <w:rPr>
          <w:rFonts w:hint="eastAsia" w:ascii="Times New Roman" w:hAnsi="Times New Roman" w:eastAsia="仿宋_GB2312" w:cs="仿宋_GB2312"/>
          <w:spacing w:val="0"/>
          <w:sz w:val="32"/>
          <w:szCs w:val="32"/>
          <w:lang w:val="en-US" w:eastAsia="zh-CN"/>
        </w:rPr>
        <w:t>07</w:t>
      </w:r>
      <w:r>
        <w:rPr>
          <w:rFonts w:hint="eastAsia" w:ascii="Times New Roman" w:hAnsi="Times New Roman" w:eastAsia="仿宋_GB2312" w:cs="仿宋_GB2312"/>
          <w:spacing w:val="0"/>
          <w:sz w:val="32"/>
          <w:szCs w:val="32"/>
        </w:rPr>
        <w:t>万元。对个人和家庭的补助</w:t>
      </w:r>
      <w:r>
        <w:rPr>
          <w:rFonts w:hint="eastAsia" w:ascii="Times New Roman" w:hAnsi="Times New Roman" w:eastAsia="仿宋_GB2312" w:cs="仿宋_GB2312"/>
          <w:spacing w:val="0"/>
          <w:sz w:val="32"/>
          <w:szCs w:val="32"/>
          <w:lang w:val="en-US" w:eastAsia="zh-CN"/>
        </w:rPr>
        <w:t>16.95</w:t>
      </w:r>
      <w:r>
        <w:rPr>
          <w:rFonts w:hint="eastAsia" w:ascii="Times New Roman" w:hAnsi="Times New Roman" w:eastAsia="仿宋_GB2312" w:cs="仿宋_GB2312"/>
          <w:spacing w:val="0"/>
          <w:sz w:val="32"/>
          <w:szCs w:val="32"/>
        </w:rPr>
        <w:t>万元，其中生活补助</w:t>
      </w:r>
      <w:r>
        <w:rPr>
          <w:rFonts w:hint="eastAsia" w:ascii="Times New Roman" w:hAnsi="Times New Roman" w:eastAsia="仿宋_GB2312" w:cs="仿宋_GB2312"/>
          <w:spacing w:val="0"/>
          <w:sz w:val="32"/>
          <w:szCs w:val="32"/>
          <w:lang w:val="en-US" w:eastAsia="zh-CN"/>
        </w:rPr>
        <w:t>16.95</w:t>
      </w:r>
      <w:r>
        <w:rPr>
          <w:rFonts w:hint="eastAsia" w:ascii="Times New Roman" w:hAnsi="Times New Roman" w:eastAsia="仿宋_GB2312" w:cs="仿宋_GB2312"/>
          <w:spacing w:val="0"/>
          <w:sz w:val="32"/>
          <w:szCs w:val="32"/>
        </w:rPr>
        <w:t>万元。</w:t>
      </w:r>
    </w:p>
    <w:p w14:paraId="453C91C9">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项目支出</w:t>
      </w:r>
    </w:p>
    <w:p w14:paraId="4226F749">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项目资金安排落实、总投入等情况分析。</w:t>
      </w:r>
    </w:p>
    <w:p w14:paraId="1DD0147A">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医疗生育保险基金登记、医保关系转移、医保待遇支付等工作经费财政拨款收入40.00万元，支出39.5</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万元，执行率为98.</w:t>
      </w:r>
      <w:r>
        <w:rPr>
          <w:rFonts w:hint="eastAsia" w:ascii="Times New Roman" w:hAnsi="Times New Roman" w:eastAsia="仿宋_GB2312" w:cs="仿宋_GB2312"/>
          <w:spacing w:val="0"/>
          <w:sz w:val="32"/>
          <w:szCs w:val="32"/>
          <w:lang w:val="en-US" w:eastAsia="zh-CN"/>
        </w:rPr>
        <w:t>78</w:t>
      </w:r>
      <w:r>
        <w:rPr>
          <w:rFonts w:hint="eastAsia" w:ascii="Times New Roman" w:hAnsi="Times New Roman" w:eastAsia="仿宋_GB2312" w:cs="仿宋_GB2312"/>
          <w:spacing w:val="0"/>
          <w:sz w:val="32"/>
          <w:szCs w:val="32"/>
        </w:rPr>
        <w:t>%。</w:t>
      </w:r>
    </w:p>
    <w:p w14:paraId="5741202C">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医保信息系统维护财政拨款收入10.00万元，支出10.00万元，执行率为100%。</w:t>
      </w:r>
    </w:p>
    <w:p w14:paraId="36162FBB">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大病互助保险管理经费财政拨款收入12.50万元，支出12.50万元，执行率为100%。</w:t>
      </w:r>
    </w:p>
    <w:p w14:paraId="7F7E101F">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慢特病评审项目经费财政拨款收入10.00万元，支出10.00万元，执行率为100%。</w:t>
      </w:r>
    </w:p>
    <w:p w14:paraId="28C195CB">
      <w:pPr>
        <w:pStyle w:val="2"/>
        <w:keepNext w:val="0"/>
        <w:keepLines w:val="0"/>
        <w:pageBreakBefore w:val="0"/>
        <w:widowControl/>
        <w:numPr>
          <w:ilvl w:val="0"/>
          <w:numId w:val="6"/>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医疗服务与保障能力提升财政拨款收入</w:t>
      </w:r>
      <w:r>
        <w:rPr>
          <w:rFonts w:hint="eastAsia" w:ascii="Times New Roman" w:hAnsi="Times New Roman" w:eastAsia="仿宋_GB2312" w:cs="仿宋_GB2312"/>
          <w:spacing w:val="0"/>
          <w:sz w:val="32"/>
          <w:szCs w:val="32"/>
          <w:lang w:val="en-US" w:eastAsia="zh-CN"/>
        </w:rPr>
        <w:t>80</w:t>
      </w:r>
      <w:r>
        <w:rPr>
          <w:rFonts w:hint="eastAsia" w:ascii="Times New Roman" w:hAnsi="Times New Roman" w:eastAsia="仿宋_GB2312" w:cs="仿宋_GB2312"/>
          <w:spacing w:val="0"/>
          <w:sz w:val="32"/>
          <w:szCs w:val="32"/>
        </w:rPr>
        <w:t>.00万元，支出</w:t>
      </w:r>
      <w:r>
        <w:rPr>
          <w:rFonts w:hint="eastAsia" w:ascii="Times New Roman" w:hAnsi="Times New Roman" w:eastAsia="仿宋_GB2312" w:cs="仿宋_GB2312"/>
          <w:spacing w:val="0"/>
          <w:sz w:val="32"/>
          <w:szCs w:val="32"/>
          <w:lang w:val="en-US" w:eastAsia="zh-CN"/>
        </w:rPr>
        <w:t>80</w:t>
      </w:r>
      <w:r>
        <w:rPr>
          <w:rFonts w:hint="eastAsia" w:ascii="Times New Roman" w:hAnsi="Times New Roman" w:eastAsia="仿宋_GB2312" w:cs="仿宋_GB2312"/>
          <w:spacing w:val="0"/>
          <w:sz w:val="32"/>
          <w:szCs w:val="32"/>
        </w:rPr>
        <w:t>.00万元，执行率为100%。</w:t>
      </w:r>
    </w:p>
    <w:p w14:paraId="10D5040A">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620" w:lineRule="exact"/>
        <w:ind w:left="0" w:leftChars="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项目资金实际使用情况分析。</w:t>
      </w:r>
    </w:p>
    <w:p w14:paraId="17A0EE86">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医疗生育保险基金登记、医保关系转移、医保待遇支付等工作经费财政拨款收入40.00万元，支出39.5</w:t>
      </w:r>
      <w:r>
        <w:rPr>
          <w:rFonts w:hint="eastAsia" w:ascii="Times New Roman" w:hAnsi="Times New Roman" w:eastAsia="仿宋_GB2312" w:cs="仿宋_GB2312"/>
          <w:spacing w:val="0"/>
          <w:sz w:val="32"/>
          <w:szCs w:val="32"/>
          <w:lang w:val="en-US" w:eastAsia="zh-CN"/>
        </w:rPr>
        <w:t>1</w:t>
      </w:r>
      <w:r>
        <w:rPr>
          <w:rFonts w:hint="eastAsia" w:ascii="Times New Roman" w:hAnsi="Times New Roman" w:eastAsia="仿宋_GB2312" w:cs="仿宋_GB2312"/>
          <w:spacing w:val="0"/>
          <w:sz w:val="32"/>
          <w:szCs w:val="32"/>
        </w:rPr>
        <w:t>万元，执行率为98.</w:t>
      </w:r>
      <w:r>
        <w:rPr>
          <w:rFonts w:hint="eastAsia" w:ascii="Times New Roman" w:hAnsi="Times New Roman" w:eastAsia="仿宋_GB2312" w:cs="仿宋_GB2312"/>
          <w:spacing w:val="0"/>
          <w:sz w:val="32"/>
          <w:szCs w:val="32"/>
          <w:lang w:val="en-US" w:eastAsia="zh-CN"/>
        </w:rPr>
        <w:t>78</w:t>
      </w:r>
      <w:r>
        <w:rPr>
          <w:rFonts w:hint="eastAsia" w:ascii="Times New Roman" w:hAnsi="Times New Roman" w:eastAsia="仿宋_GB2312" w:cs="仿宋_GB2312"/>
          <w:spacing w:val="0"/>
          <w:sz w:val="32"/>
          <w:szCs w:val="32"/>
        </w:rPr>
        <w:t>%。支出包括：机关事业单位基本养老保险缴费</w:t>
      </w:r>
      <w:r>
        <w:rPr>
          <w:rFonts w:hint="eastAsia" w:ascii="Times New Roman" w:hAnsi="Times New Roman" w:eastAsia="仿宋_GB2312" w:cs="仿宋_GB2312"/>
          <w:spacing w:val="0"/>
          <w:sz w:val="32"/>
          <w:szCs w:val="32"/>
          <w:lang w:val="en-US" w:eastAsia="zh-CN"/>
        </w:rPr>
        <w:t>1.00万元、职业年金缴费0.14万元、其他社会保障缴费1.89万元、办公费7.30万元、印刷费2.54万元、电费6.75万元、邮电费0.02万元、物业管理费3.92万元、差旅费5.18万元、公务接待费0.71万元、公务用车运行维护费4.4万元、生活补助1.90万元、办公设备购置3.77万元</w:t>
      </w:r>
      <w:r>
        <w:rPr>
          <w:rFonts w:hint="eastAsia" w:ascii="Times New Roman" w:hAnsi="Times New Roman" w:eastAsia="仿宋_GB2312" w:cs="仿宋_GB2312"/>
          <w:spacing w:val="0"/>
          <w:sz w:val="32"/>
          <w:szCs w:val="32"/>
        </w:rPr>
        <w:t>。</w:t>
      </w:r>
    </w:p>
    <w:p w14:paraId="3DF527CE">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医保信息系统维护财政拨款收入10.00万元，支出10.00万元，执行率为100%。支出包括：其他社会保障缴费</w:t>
      </w:r>
      <w:r>
        <w:rPr>
          <w:rFonts w:hint="eastAsia" w:ascii="Times New Roman" w:hAnsi="Times New Roman" w:eastAsia="仿宋_GB2312" w:cs="仿宋_GB2312"/>
          <w:spacing w:val="0"/>
          <w:sz w:val="32"/>
          <w:szCs w:val="32"/>
          <w:lang w:val="en-US" w:eastAsia="zh-CN"/>
        </w:rPr>
        <w:t>1.69万元、其他工资福利支出0.07万元、办公费0.28万元、物业管理费0.76万元、差旅费0.16万元、生活补助6.81万元、其他对个人和家庭的补助0.24万元</w:t>
      </w:r>
      <w:r>
        <w:rPr>
          <w:rFonts w:hint="eastAsia" w:ascii="Times New Roman" w:hAnsi="Times New Roman" w:eastAsia="仿宋_GB2312" w:cs="仿宋_GB2312"/>
          <w:spacing w:val="0"/>
          <w:sz w:val="32"/>
          <w:szCs w:val="32"/>
        </w:rPr>
        <w:t>。</w:t>
      </w:r>
    </w:p>
    <w:p w14:paraId="6D32847B">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大病互助保险管理经费财政拨款收入12.50万元，支出12.50万元，执行率为100%。支出包括：机关事业单位基本养老保险缴费</w:t>
      </w:r>
      <w:r>
        <w:rPr>
          <w:rFonts w:hint="eastAsia" w:ascii="Times New Roman" w:hAnsi="Times New Roman" w:eastAsia="仿宋_GB2312" w:cs="仿宋_GB2312"/>
          <w:spacing w:val="0"/>
          <w:sz w:val="32"/>
          <w:szCs w:val="32"/>
          <w:lang w:val="en-US" w:eastAsia="zh-CN"/>
        </w:rPr>
        <w:t>0.77万元、其他社会保障缴费0.84万元、其他工资福利支出0.07万元、办公费2.36万元、印刷费1.85万元、邮电费1.39万元、差旅费0.07万元、维修（护）费0.12万元、生活补助5.03万元</w:t>
      </w:r>
      <w:r>
        <w:rPr>
          <w:rFonts w:hint="eastAsia" w:ascii="Times New Roman" w:hAnsi="Times New Roman" w:eastAsia="仿宋_GB2312" w:cs="仿宋_GB2312"/>
          <w:spacing w:val="0"/>
          <w:sz w:val="32"/>
          <w:szCs w:val="32"/>
        </w:rPr>
        <w:t>。</w:t>
      </w:r>
    </w:p>
    <w:p w14:paraId="1921B0F6">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慢特病评审项目经费财政拨款收入10.00万元，支出10.00万元，执行率为100%。支出包括：奖金</w:t>
      </w:r>
      <w:r>
        <w:rPr>
          <w:rFonts w:hint="eastAsia" w:ascii="Times New Roman" w:hAnsi="Times New Roman" w:eastAsia="仿宋_GB2312" w:cs="仿宋_GB2312"/>
          <w:spacing w:val="0"/>
          <w:sz w:val="32"/>
          <w:szCs w:val="32"/>
          <w:lang w:val="en-US" w:eastAsia="zh-CN"/>
        </w:rPr>
        <w:t>0.05万元、其他社会保障缴费2.90万元、其他工资福利支出3.08万元、办公费1.76万元、邮电费0.01万元、物业管理费0.36万元、生活补助1.63万元、其他对个人和家庭的补助0.2万元</w:t>
      </w:r>
      <w:r>
        <w:rPr>
          <w:rFonts w:hint="eastAsia" w:ascii="Times New Roman" w:hAnsi="Times New Roman" w:eastAsia="仿宋_GB2312" w:cs="仿宋_GB2312"/>
          <w:spacing w:val="0"/>
          <w:sz w:val="32"/>
          <w:szCs w:val="32"/>
        </w:rPr>
        <w:t>。</w:t>
      </w:r>
    </w:p>
    <w:p w14:paraId="6F999826">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620" w:lineRule="exact"/>
        <w:ind w:left="0" w:leftChars="0"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医疗服务与保障能力提升财政拨款收入</w:t>
      </w:r>
      <w:r>
        <w:rPr>
          <w:rFonts w:hint="eastAsia" w:ascii="Times New Roman" w:hAnsi="Times New Roman" w:eastAsia="仿宋_GB2312" w:cs="仿宋_GB2312"/>
          <w:spacing w:val="0"/>
          <w:sz w:val="32"/>
          <w:szCs w:val="32"/>
          <w:lang w:val="en-US" w:eastAsia="zh-CN"/>
        </w:rPr>
        <w:t>80</w:t>
      </w:r>
      <w:r>
        <w:rPr>
          <w:rFonts w:hint="eastAsia" w:ascii="Times New Roman" w:hAnsi="Times New Roman" w:eastAsia="仿宋_GB2312" w:cs="仿宋_GB2312"/>
          <w:spacing w:val="0"/>
          <w:sz w:val="32"/>
          <w:szCs w:val="32"/>
        </w:rPr>
        <w:t>.00万元，支出</w:t>
      </w:r>
      <w:r>
        <w:rPr>
          <w:rFonts w:hint="eastAsia" w:ascii="Times New Roman" w:hAnsi="Times New Roman" w:eastAsia="仿宋_GB2312" w:cs="仿宋_GB2312"/>
          <w:spacing w:val="0"/>
          <w:sz w:val="32"/>
          <w:szCs w:val="32"/>
          <w:lang w:val="en-US" w:eastAsia="zh-CN"/>
        </w:rPr>
        <w:t>80.</w:t>
      </w:r>
      <w:r>
        <w:rPr>
          <w:rFonts w:hint="eastAsia" w:ascii="Times New Roman" w:hAnsi="Times New Roman" w:eastAsia="仿宋_GB2312" w:cs="仿宋_GB2312"/>
          <w:spacing w:val="0"/>
          <w:sz w:val="32"/>
          <w:szCs w:val="32"/>
        </w:rPr>
        <w:t>00万元，执行率为100%。支出包括：办公费</w:t>
      </w:r>
      <w:r>
        <w:rPr>
          <w:rFonts w:hint="eastAsia" w:ascii="Times New Roman" w:hAnsi="Times New Roman" w:eastAsia="仿宋_GB2312" w:cs="仿宋_GB2312"/>
          <w:spacing w:val="0"/>
          <w:sz w:val="32"/>
          <w:szCs w:val="32"/>
          <w:lang w:val="en-US" w:eastAsia="zh-CN"/>
        </w:rPr>
        <w:t>65.92万元、差旅费7.95万元、办公设备购置6.12万元</w:t>
      </w:r>
      <w:r>
        <w:rPr>
          <w:rFonts w:hint="eastAsia" w:ascii="Times New Roman" w:hAnsi="Times New Roman" w:eastAsia="仿宋_GB2312" w:cs="仿宋_GB2312"/>
          <w:spacing w:val="0"/>
          <w:sz w:val="32"/>
          <w:szCs w:val="32"/>
        </w:rPr>
        <w:t>。</w:t>
      </w:r>
    </w:p>
    <w:p w14:paraId="0033CF4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20" w:lineRule="exact"/>
        <w:ind w:right="0" w:rightChars="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lang w:val="en-US" w:eastAsia="zh-CN"/>
        </w:rPr>
        <w:t>3、</w:t>
      </w:r>
      <w:r>
        <w:rPr>
          <w:rFonts w:hint="eastAsia" w:ascii="Times New Roman" w:hAnsi="Times New Roman" w:eastAsia="仿宋_GB2312" w:cs="仿宋_GB2312"/>
          <w:spacing w:val="0"/>
          <w:sz w:val="32"/>
          <w:szCs w:val="32"/>
        </w:rPr>
        <w:t>202</w:t>
      </w:r>
      <w:r>
        <w:rPr>
          <w:rFonts w:hint="eastAsia" w:ascii="Times New Roman" w:hAnsi="Times New Roman" w:eastAsia="仿宋_GB2312" w:cs="仿宋_GB2312"/>
          <w:spacing w:val="0"/>
          <w:sz w:val="32"/>
          <w:szCs w:val="32"/>
          <w:lang w:val="en-US" w:eastAsia="zh-CN"/>
        </w:rPr>
        <w:t>4</w:t>
      </w:r>
      <w:r>
        <w:rPr>
          <w:rFonts w:hint="eastAsia" w:ascii="Times New Roman" w:hAnsi="Times New Roman" w:eastAsia="仿宋_GB2312" w:cs="仿宋_GB2312"/>
          <w:spacing w:val="0"/>
          <w:sz w:val="32"/>
          <w:szCs w:val="32"/>
        </w:rPr>
        <w:t>年部门预算“三公”经费—公务用车运行费2.60万元，公务接待费3.00万元，实际支出公务用车运行费</w:t>
      </w:r>
      <w:r>
        <w:rPr>
          <w:rFonts w:hint="eastAsia" w:ascii="Times New Roman" w:hAnsi="Times New Roman" w:eastAsia="仿宋_GB2312" w:cs="仿宋_GB2312"/>
          <w:spacing w:val="0"/>
          <w:sz w:val="32"/>
          <w:szCs w:val="32"/>
          <w:lang w:val="en-US" w:eastAsia="zh-CN"/>
        </w:rPr>
        <w:t>4.4</w:t>
      </w:r>
      <w:r>
        <w:rPr>
          <w:rFonts w:hint="eastAsia" w:ascii="Times New Roman" w:hAnsi="Times New Roman" w:eastAsia="仿宋_GB2312" w:cs="仿宋_GB2312"/>
          <w:spacing w:val="0"/>
          <w:sz w:val="32"/>
          <w:szCs w:val="32"/>
        </w:rPr>
        <w:t>万元，公务接待费</w:t>
      </w:r>
      <w:r>
        <w:rPr>
          <w:rFonts w:hint="eastAsia" w:ascii="Times New Roman" w:hAnsi="Times New Roman" w:eastAsia="仿宋_GB2312" w:cs="仿宋_GB2312"/>
          <w:spacing w:val="0"/>
          <w:sz w:val="32"/>
          <w:szCs w:val="32"/>
          <w:lang w:val="en-US" w:eastAsia="zh-CN"/>
        </w:rPr>
        <w:t>0.71</w:t>
      </w:r>
      <w:r>
        <w:rPr>
          <w:rFonts w:hint="eastAsia" w:ascii="Times New Roman" w:hAnsi="Times New Roman" w:eastAsia="仿宋_GB2312" w:cs="仿宋_GB2312"/>
          <w:spacing w:val="0"/>
          <w:sz w:val="32"/>
          <w:szCs w:val="32"/>
        </w:rPr>
        <w:t>万元。按照“三公”经费“只减不增”原则，从严控制“三公”经费预算。</w:t>
      </w:r>
    </w:p>
    <w:p w14:paraId="48496A4A">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三、项目组织实施情况</w:t>
      </w:r>
    </w:p>
    <w:p w14:paraId="40FE2D9B">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无</w:t>
      </w:r>
    </w:p>
    <w:p w14:paraId="5D48A171">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四、资产管理情况</w:t>
      </w:r>
    </w:p>
    <w:p w14:paraId="12CF8CDE">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spacing w:val="0"/>
          <w:sz w:val="32"/>
          <w:szCs w:val="32"/>
          <w:lang w:val="en-US" w:eastAsia="zh-CN"/>
        </w:rPr>
        <w:t>2024年部门共有139项资产条目，其中2024年新增18项，共计10.26万元。资产计提折旧11.59万元。严格按照《怀化市市直行政业单位国有资产配置管理办法》对部门资产进行</w:t>
      </w:r>
      <w:r>
        <w:rPr>
          <w:rFonts w:hint="eastAsia" w:ascii="Times New Roman" w:hAnsi="Times New Roman" w:eastAsia="仿宋_GB2312" w:cs="仿宋_GB2312"/>
          <w:spacing w:val="0"/>
          <w:sz w:val="32"/>
          <w:szCs w:val="32"/>
        </w:rPr>
        <w:t>配置、管理、处置</w:t>
      </w:r>
      <w:r>
        <w:rPr>
          <w:rFonts w:hint="eastAsia" w:ascii="Times New Roman" w:hAnsi="Times New Roman" w:eastAsia="仿宋_GB2312" w:cs="仿宋_GB2312"/>
          <w:spacing w:val="0"/>
          <w:sz w:val="32"/>
          <w:szCs w:val="32"/>
          <w:lang w:eastAsia="zh-CN"/>
        </w:rPr>
        <w:t>。</w:t>
      </w:r>
    </w:p>
    <w:p w14:paraId="0A89171A">
      <w:pPr>
        <w:keepNext w:val="0"/>
        <w:keepLines w:val="0"/>
        <w:pageBreakBefore w:val="0"/>
        <w:widowControl/>
        <w:numPr>
          <w:ilvl w:val="0"/>
          <w:numId w:val="8"/>
        </w:numPr>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政府性基金预算支出情况</w:t>
      </w:r>
    </w:p>
    <w:p w14:paraId="4AB91D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20" w:lineRule="exact"/>
        <w:ind w:leftChars="200" w:right="0" w:rightChars="0"/>
        <w:jc w:val="both"/>
        <w:textAlignment w:val="baseline"/>
        <w:outlineLvl w:val="9"/>
        <w:rPr>
          <w:rFonts w:hint="default" w:ascii="Times New Roman" w:hAnsi="Times New Roman" w:eastAsia="仿宋_GB2312" w:cs="仿宋_GB2312"/>
          <w:snapToGrid w:val="0"/>
          <w:color w:val="000000"/>
          <w:spacing w:val="0"/>
          <w:kern w:val="0"/>
          <w:sz w:val="32"/>
          <w:szCs w:val="32"/>
          <w:lang w:val="en-US" w:eastAsia="zh-CN" w:bidi="ar-SA"/>
        </w:rPr>
      </w:pPr>
      <w:r>
        <w:rPr>
          <w:rFonts w:hint="eastAsia" w:ascii="Times New Roman" w:hAnsi="Times New Roman" w:eastAsia="仿宋_GB2312" w:cs="仿宋_GB2312"/>
          <w:snapToGrid w:val="0"/>
          <w:color w:val="000000"/>
          <w:spacing w:val="0"/>
          <w:kern w:val="0"/>
          <w:sz w:val="32"/>
          <w:szCs w:val="32"/>
          <w:lang w:val="en-US" w:eastAsia="zh-CN" w:bidi="ar-SA"/>
        </w:rPr>
        <w:t>无</w:t>
      </w:r>
    </w:p>
    <w:p w14:paraId="505CDA5B">
      <w:pPr>
        <w:keepNext w:val="0"/>
        <w:keepLines w:val="0"/>
        <w:pageBreakBefore w:val="0"/>
        <w:widowControl/>
        <w:numPr>
          <w:ilvl w:val="0"/>
          <w:numId w:val="8"/>
        </w:numPr>
        <w:kinsoku w:val="0"/>
        <w:wordWrap/>
        <w:overflowPunct/>
        <w:topLinePunct w:val="0"/>
        <w:autoSpaceDE w:val="0"/>
        <w:autoSpaceDN w:val="0"/>
        <w:bidi w:val="0"/>
        <w:adjustRightInd w:val="0"/>
        <w:snapToGrid w:val="0"/>
        <w:spacing w:line="620" w:lineRule="exact"/>
        <w:ind w:left="0" w:leftChars="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国有资本经营预算支出情况</w:t>
      </w:r>
    </w:p>
    <w:p w14:paraId="5CB7A2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20" w:lineRule="exact"/>
        <w:ind w:leftChars="200" w:right="0" w:rightChars="0"/>
        <w:jc w:val="both"/>
        <w:textAlignment w:val="baseline"/>
        <w:outlineLvl w:val="9"/>
        <w:rPr>
          <w:rFonts w:hint="eastAsia" w:ascii="Times New Roman" w:hAnsi="Times New Roman" w:eastAsia="仿宋_GB2312" w:cs="仿宋_GB2312"/>
          <w:snapToGrid w:val="0"/>
          <w:color w:val="000000"/>
          <w:spacing w:val="0"/>
          <w:kern w:val="0"/>
          <w:sz w:val="32"/>
          <w:szCs w:val="32"/>
          <w:lang w:val="en-US" w:eastAsia="zh-CN" w:bidi="ar-SA"/>
        </w:rPr>
      </w:pPr>
      <w:r>
        <w:rPr>
          <w:rFonts w:hint="eastAsia" w:ascii="Times New Roman" w:hAnsi="Times New Roman" w:eastAsia="仿宋_GB2312" w:cs="仿宋_GB2312"/>
          <w:snapToGrid w:val="0"/>
          <w:color w:val="000000"/>
          <w:spacing w:val="0"/>
          <w:kern w:val="0"/>
          <w:sz w:val="32"/>
          <w:szCs w:val="32"/>
          <w:lang w:val="en-US" w:eastAsia="zh-CN" w:bidi="ar-SA"/>
        </w:rPr>
        <w:t>无</w:t>
      </w:r>
    </w:p>
    <w:p w14:paraId="2F520688">
      <w:pPr>
        <w:keepNext w:val="0"/>
        <w:keepLines w:val="0"/>
        <w:pageBreakBefore w:val="0"/>
        <w:widowControl/>
        <w:numPr>
          <w:ilvl w:val="0"/>
          <w:numId w:val="8"/>
        </w:numPr>
        <w:kinsoku w:val="0"/>
        <w:wordWrap/>
        <w:overflowPunct/>
        <w:topLinePunct w:val="0"/>
        <w:autoSpaceDE w:val="0"/>
        <w:autoSpaceDN w:val="0"/>
        <w:bidi w:val="0"/>
        <w:adjustRightInd w:val="0"/>
        <w:snapToGrid w:val="0"/>
        <w:spacing w:line="620" w:lineRule="exact"/>
        <w:ind w:left="0" w:leftChars="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社会保险基金预算支出情况</w:t>
      </w:r>
    </w:p>
    <w:p w14:paraId="73D5BA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20" w:lineRule="exact"/>
        <w:ind w:leftChars="200" w:right="0" w:rightChars="0"/>
        <w:jc w:val="both"/>
        <w:textAlignment w:val="baseline"/>
        <w:outlineLvl w:val="9"/>
        <w:rPr>
          <w:rFonts w:hint="eastAsia" w:ascii="Times New Roman" w:hAnsi="Times New Roman" w:eastAsia="仿宋_GB2312" w:cs="仿宋_GB2312"/>
          <w:snapToGrid w:val="0"/>
          <w:color w:val="000000"/>
          <w:spacing w:val="0"/>
          <w:kern w:val="0"/>
          <w:sz w:val="32"/>
          <w:szCs w:val="32"/>
          <w:lang w:val="en-US" w:eastAsia="zh-CN" w:bidi="ar-SA"/>
        </w:rPr>
      </w:pPr>
      <w:r>
        <w:rPr>
          <w:rFonts w:hint="eastAsia" w:ascii="Times New Roman" w:hAnsi="Times New Roman" w:eastAsia="仿宋_GB2312" w:cs="仿宋_GB2312"/>
          <w:snapToGrid w:val="0"/>
          <w:color w:val="000000"/>
          <w:spacing w:val="0"/>
          <w:kern w:val="0"/>
          <w:sz w:val="32"/>
          <w:szCs w:val="32"/>
          <w:lang w:val="en-US" w:eastAsia="zh-CN" w:bidi="ar-SA"/>
        </w:rPr>
        <w:t>无</w:t>
      </w:r>
    </w:p>
    <w:p w14:paraId="570B5A7B">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八、部门整体支出绩效情况</w:t>
      </w:r>
    </w:p>
    <w:p w14:paraId="07598DB5">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960" w:firstLineChars="3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2024年所做的主要工作</w:t>
      </w:r>
    </w:p>
    <w:p w14:paraId="6325055D">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一）高度重视政治思想建设。一是注重理论学习。深入学习贯彻习近平新时代中国特色社会主义思想、党的二十大精神、党的二十届三中全会精神、习近平总书记关于医疗保障工作的重要论述；以党支部为基础，组织党员干部学原著、学原文、悟原理；认真落实了“第一议题”制度，认真组织集中学习；二是政治立场坚定。忠诚拥护“两个确立”，增强“四个意识”，坚定“四个自信”，做到“两个维护”，在大是大非面前与党中央保持高度一致；三是遵守纪律规定。大局观念强，政令畅通，全面执行局党组的决定，对局领导交办的工作从不推诿，都能保质保量完成。坚持选贤任能的用人导向，让政治上成熟，想干事、能干事、敢担当的同志挑起重担；对重大工作、大额资金、干部任用等，坚持召开主任会议研究，集体决策；坚持民主集中制，充分征求同志们的意见建议，坚持中心主任末位表态，形成了风清气正的工作氛围。</w:t>
      </w:r>
    </w:p>
    <w:p w14:paraId="229B9253">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二）注重提升经办领导能力。一是始终围绕市委市政府中心工作。主动融入鹤中一体化进程，在医保经办业务做到了工作专班、工作机制、办理时限、人员设置“四个明确”，落实受理标准、办件跟踪、办理流程、业务培训“四个统一”，全年共办理各类事项3345件；围绕构建“区域医保中心”、支持“中医药产业”发展战略部署，积极推进DIP支付政策方式下的紧密型医共体建设，经办服务和管理有序开展；二是始终推进四级经办体系建设。在巩固市县乡村四级纵向经办体系的同时，探索加强横向经办体系建设。会同县积极打造“移动医保”品牌，为人口较多的40个村配备了40辆摩托车和综合服务终端；洪江区、洪江市在旅游景点、银行、药店等地方设置了医保驿站，为群众提供咨询、异地就医、参保登记、医药上门等服务，群众反映很好；聚力“新医保·心服务”，在全市医保经办系统全面开展“六心六零”服务活动，行风建设的质量得到很大提升，群众的满意度大为增强，我们报送的《以“六心六零”推进“新医保·心服务”》经验材料在中国医疗保险杂志社地方工作快报上刊发。三是始终坚持有效的工作机制。我们坚持了调查研究机制，为更好地了解高效办成一件事、内控制度、便民措施等工作是否落实到位，2024年7月2日到8月2日，中心班子成员分成四个组到13个县市区开展了为期一个月的调研，每个组都形成了调研报告；召开主任会议专题研究，既肯定成绩，又对存在的问题研究工作对策，形成工作建议，出台工作制度；我们坚持了工作调度机制，对异地就医、大抓落实等工作，我们坚持每月一调度，并不定期进行通报，做到了工作心中有底，对后段工作有的放矢；我们坚持了责任落实机制，对中心重大工作，明确一名分管领导主抓，其他领导配合，在每次例会上由分管领导通报工作情况，提出工作建议，做到重点工作事事有人抓、时时有人管；建立了每半年由分管领导对分管部门业务工作全面自查自纠制度，查政策、查流程、查资料，看是否存在工作风险和廉政风险，发现问题及时整改。</w:t>
      </w:r>
    </w:p>
    <w:p w14:paraId="70F3D462">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三）高标准高质量推进工作。一是全面落实医保待遇。及时拨付医药机构费用，及时结算配送企业药品费用，减轻医药机构和配送企业的垫资压力，防止因医保费用拨付不到位而出现“三角债”。到11月底，共拨付医保费用16.95亿元，给配送企业结算1.71亿元；支付特殊人群费用781万元；享受“双通道”药品待遇政策的共1194人，统筹支付1468万元；享受门诊慢特病待遇政策的共2382人次，统筹支付3007万元；享受门诊统筹待遇政策的共36.17万人次，统筹支付4648万元。二是全面强化协议监管。我们高度重视基金安全，全程强化了协议监管，对医药机构的监管实现了全覆盖。到11月底，共追回违规资金215万元。三是全面深化支付改革。DIP支付医院2024年城镇职工医药基金预算额度为65000万元，三季度为16250万元，纳入总控的统筹支出为13280万元，结余2196万元；城乡居民医保基金预算额度为228000万元，三季度为57000万元，纳入总控的统筹支出为541054万元，结余179万元。DIP改革稳步推进。四是全面推进制度建设。对中心六个内设部门的部门职责进行了进一步明确，同时，根据部门职责对部长、每一个工作人员的岗位职责进行了明确；按照服务指南的要求，我们对初审、复审、工作职责、资料收集、办结时间、领导审核审批、财务审核拨付等进行了具体规定，将工作明确到部门，固定到人员，各就各位，各尽其责，各负其责。五是全面做好异地结算。按月通报县市区异地直接结算情况，积极督查各县市区完成“四升一降”工作。作为参保地，全市跨省住院费用直接结算率86.28%、住院费用省内异地直接结算率97.37%，超额完成《2024年全市医保经办管理服务工作要点》中跨省和省内异地住院费用直接结算率需达80%、93%以上的要求，较去年同期跨省住院直接结算率增长17.35%，省内住院直接结算率增长7.46%。</w:t>
      </w:r>
    </w:p>
    <w:p w14:paraId="0CA35332">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四）落实党风廉政建设政治责任。一是树立规矩意识。深入开展党纪教育活动，严格落实各个环节的活动要求，班子成员开展辅导学习，每位干部职工认真撰写心得体会，扎实开展学习交流；通过学习，干部职工尤其是领导班子的纪律意识更加牢固，对八项规定的执行更加自觉；认真组织观看教育片，到教育基地接收廉政教育，通过反面典型，让干部职工得到真正的教育；坚持开展谈心谈话，对新进人员，对工作调整或职务晋升的同志，中心班子成员会对他们开展廉政谈话；在平常工作中，中心主任会找班子成员、所有工作人员，分管副主任会找分管部门的工作人员开展谈心谈话。通过谈心谈话，既做到了严格要求，也实现了相互提醒；二是夯实基层党建。坚持将经办工作与党建工作自然衔接，深入开展党建活动，解决了不少参保群众、医药机构、医药企业的困难和问题；坚持抓好了支部“五化”建设，认真落实“三会一课”制度，全面开展“主题党日”活动，要求党员按月交纳党费；进一步加强了党建知识学习和培训，建立了制度，规范了程序；易康睿、危银宏两名同志积极向党组织靠拢，向党组织递交了入党申请书，中心支部正按照程序开展培养工作；三是重视意识形态。年初的工作计划明确了经办工作中的意识形态工作要点，不定期研究和部署意识形态工作。在工作责任制方面，中心由我负主体责任，明确其他班子成员负分管责任，各负其职，谁出问题谁负责。在日常工作中，在各类会议上，都强调意识形态工作的重要性，要求全体干部职工严守政治纪律和政治规矩，严格落实各项纪律要求。高度重视信息工作，有关媒体对我们的工作经验给予了刊发和报道；市长热线、市长信箱反映的问题，得到了及时处置和答复。</w:t>
      </w:r>
    </w:p>
    <w:p w14:paraId="50AC8BB1">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五）作风建设取得明显成效。一是便民措施全面落实。市县经办大厅建设明显加强，各种便民措施更加完善；落实“四下基层”，严格“放管服”改革，乡村医保经办站（点）承担许多高频事项的办理，基本形成了“15分钟经办服务圈”，实现了由“家门口办”到“家里头办”；医保码全流程应用逐步推开，参保患者在医院就诊实现了由“窗口办”到“诊室办、病房办”，极大地方便了群众办事。二是“高效办成一件事”全面落地。围绕省中心的部署安排，我们明确了全年工作要点，制定了工作方案，加强了工作调度。目前，涉及市本级的10个事项都能按要求正常开展；深化“走找想促”活动，中心领导对经办事项全部实现了全流程操作，找到群众办事的难点、堵点、痛点问题，并加以认真整改。三是经办宣传工作全面推进。从10月25日起，全市经办机构开展了为期一个月的宣传活动，据统计，共印制发放医保政策和宣传海报近20万份，各类媒体报道新闻稿32篇。通过流动宣传车、设置咨询台、现场讲解、小视频等方式向群众既解释宣传医保政策，又告知办理流程和方式，收到了很好的效果。</w:t>
      </w:r>
    </w:p>
    <w:p w14:paraId="3B27727F">
      <w:pPr>
        <w:pStyle w:val="2"/>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六）坚持统筹推进各项工作。全面参与文明城市、卫生城市创建工作，在自身经费紧张的情况下，2024年给湖天社区支持了1万元经费；高度重视安全生产，明确一名副主任负责专抓，对医保基金安全运行、业务正常开展、工作人员的交通财产安全、办公大楼的运行安全等做到常安排、常部署、常落实；全面参与平安建设，对社区开展的各项维护社会稳定的活动积极支持，妥善解决医保经办中的矛盾和问题；高度重视法治建设，组织干部职工认真学习政策法规，坚持依法办事，依法保障参保人员的医保权益；严格保密纪律，严格遵守保密规定，增强干部职工的保密意识；做到涉密信息不上网，上网信息不涉密，严格保护参保人员和患者的医保信息；深刻理解统计监督工作的重要性，对医保基金运行、医院和药店的基本情况适时统计、分析，实事求是地向社会公示公开；对医药机构的医保费用进行监测，发现运行中存在的问题和风险，为决策提供依据；切实增强债务防控意识，强化大局意识，控制工作成本，切实落实债务管理责任。</w:t>
      </w:r>
    </w:p>
    <w:p w14:paraId="2AFD3D78">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九、存在的问题及原因分析</w:t>
      </w:r>
    </w:p>
    <w:p w14:paraId="0746E3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b w:val="0"/>
          <w:bCs w:val="0"/>
          <w:w w:val="100"/>
          <w:sz w:val="32"/>
          <w:szCs w:val="32"/>
        </w:rPr>
      </w:pPr>
      <w:r>
        <w:rPr>
          <w:rFonts w:hint="eastAsia" w:ascii="Times New Roman" w:hAnsi="Times New Roman" w:eastAsia="仿宋"/>
          <w:b w:val="0"/>
          <w:bCs w:val="0"/>
          <w:w w:val="100"/>
          <w:sz w:val="32"/>
          <w:szCs w:val="32"/>
        </w:rPr>
        <w:t>1.</w:t>
      </w:r>
      <w:r>
        <w:rPr>
          <w:rFonts w:ascii="Times New Roman" w:hAnsi="Times New Roman" w:eastAsia="仿宋"/>
          <w:b w:val="0"/>
          <w:bCs w:val="0"/>
          <w:w w:val="100"/>
          <w:sz w:val="32"/>
          <w:szCs w:val="32"/>
        </w:rPr>
        <w:t>在预算支出执行方面，存在部分项目资金使用进度较慢的情况。主要原因包括个别项目前期筹备时间较长，流程环节较为复杂，导致实际支出与绩效目标在时间进度上出现偏离；同时，在项目推进过程中，由于对一些不可预见因素预估不足，一定程度上影响了支出的及时性和均衡性。</w:t>
      </w:r>
    </w:p>
    <w:p w14:paraId="1776DB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b w:val="0"/>
          <w:bCs w:val="0"/>
          <w:w w:val="100"/>
          <w:sz w:val="32"/>
          <w:szCs w:val="32"/>
        </w:rPr>
      </w:pPr>
      <w:r>
        <w:rPr>
          <w:rFonts w:hint="eastAsia" w:ascii="Times New Roman" w:hAnsi="Times New Roman" w:eastAsia="仿宋"/>
          <w:b w:val="0"/>
          <w:bCs w:val="0"/>
          <w:w w:val="100"/>
          <w:sz w:val="32"/>
          <w:szCs w:val="32"/>
        </w:rPr>
        <w:t>2.</w:t>
      </w:r>
      <w:r>
        <w:rPr>
          <w:rFonts w:ascii="Times New Roman" w:hAnsi="Times New Roman" w:eastAsia="仿宋"/>
          <w:b w:val="0"/>
          <w:bCs w:val="0"/>
          <w:w w:val="100"/>
          <w:sz w:val="32"/>
          <w:szCs w:val="32"/>
        </w:rPr>
        <w:t>部分服务事项的网上办理深度不够；医疗资源分配不均衡，部分边远地区群众享受医疗服务不便；财政压力较大，需持续寻求提高经费使用效益的方法。</w:t>
      </w:r>
      <w:r>
        <w:rPr>
          <w:rFonts w:hint="eastAsia" w:ascii="Times New Roman" w:hAnsi="Times New Roman" w:eastAsia="仿宋"/>
          <w:b w:val="0"/>
          <w:bCs w:val="0"/>
          <w:w w:val="100"/>
          <w:sz w:val="32"/>
          <w:szCs w:val="32"/>
        </w:rPr>
        <w:t>主要原因是技术支撑不足、基础设施薄弱和地区发展差异等。</w:t>
      </w:r>
    </w:p>
    <w:p w14:paraId="7804D990">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十、下一步改进措施</w:t>
      </w:r>
    </w:p>
    <w:p w14:paraId="00A571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pacing w:val="0"/>
          <w:sz w:val="32"/>
          <w:szCs w:val="32"/>
        </w:rPr>
      </w:pPr>
      <w:r>
        <w:rPr>
          <w:rFonts w:ascii="Times New Roman" w:hAnsi="Times New Roman" w:eastAsia="仿宋"/>
          <w:b w:val="0"/>
          <w:bCs w:val="0"/>
          <w:w w:val="100"/>
          <w:sz w:val="32"/>
          <w:szCs w:val="32"/>
        </w:rPr>
        <w:t>首先，进一步加强项目的前期规划和准备工作，优化流程，提高项目实施效率。强化对不可预见因素的预判和应对能力，制定更具灵活性的预案。建立更加完善的支出进度跟踪和监督机制，定期对预算执行情况进行评估和调整。加强与相关部门的沟通协调，确保项目顺利推进和资金合理使用。持续提升工作人员的绩效意识和业务能力，为更好地实现绩效目标提供有力保障。</w:t>
      </w:r>
    </w:p>
    <w:p w14:paraId="2239462F">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十一、绩效自评结果拟应用和公开情况</w:t>
      </w:r>
    </w:p>
    <w:p w14:paraId="0B8C45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b w:val="0"/>
          <w:bCs w:val="0"/>
          <w:w w:val="100"/>
          <w:sz w:val="32"/>
          <w:szCs w:val="32"/>
          <w:lang w:val="en-US" w:eastAsia="zh-CN"/>
        </w:rPr>
      </w:pPr>
      <w:r>
        <w:rPr>
          <w:rFonts w:hint="eastAsia" w:ascii="Times New Roman" w:hAnsi="Times New Roman" w:eastAsia="仿宋"/>
          <w:b w:val="0"/>
          <w:bCs w:val="0"/>
          <w:w w:val="100"/>
          <w:sz w:val="32"/>
          <w:szCs w:val="32"/>
          <w:lang w:val="en-US" w:eastAsia="zh-CN"/>
        </w:rPr>
        <w:t>在怀化市医疗保障局官网公开</w:t>
      </w:r>
    </w:p>
    <w:p w14:paraId="756F7913">
      <w:pPr>
        <w:keepNext w:val="0"/>
        <w:keepLines w:val="0"/>
        <w:pageBreakBefore w:val="0"/>
        <w:widowControl/>
        <w:numPr>
          <w:ilvl w:val="0"/>
          <w:numId w:val="9"/>
        </w:numPr>
        <w:kinsoku w:val="0"/>
        <w:wordWrap/>
        <w:overflowPunct/>
        <w:topLinePunct w:val="0"/>
        <w:autoSpaceDE w:val="0"/>
        <w:autoSpaceDN w:val="0"/>
        <w:bidi w:val="0"/>
        <w:adjustRightInd w:val="0"/>
        <w:snapToGrid w:val="0"/>
        <w:spacing w:line="620" w:lineRule="exact"/>
        <w:ind w:left="0" w:right="0" w:firstLine="640" w:firstLineChars="200"/>
        <w:jc w:val="both"/>
        <w:textAlignment w:val="baseline"/>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其他需要说明的情况</w:t>
      </w:r>
    </w:p>
    <w:p w14:paraId="28FD32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b w:val="0"/>
          <w:bCs w:val="0"/>
          <w:w w:val="100"/>
          <w:sz w:val="32"/>
          <w:szCs w:val="32"/>
          <w:lang w:val="en-US" w:eastAsia="zh-CN"/>
        </w:rPr>
      </w:pPr>
      <w:r>
        <w:rPr>
          <w:rFonts w:hint="eastAsia" w:ascii="Times New Roman" w:hAnsi="Times New Roman" w:eastAsia="仿宋"/>
          <w:b w:val="0"/>
          <w:bCs w:val="0"/>
          <w:w w:val="100"/>
          <w:sz w:val="32"/>
          <w:szCs w:val="32"/>
          <w:lang w:val="en-US" w:eastAsia="zh-CN"/>
        </w:rPr>
        <w:t>无</w:t>
      </w:r>
    </w:p>
    <w:p w14:paraId="1A1A0FF1">
      <w:pPr>
        <w:pStyle w:val="13"/>
        <w:numPr>
          <w:ilvl w:val="0"/>
          <w:numId w:val="0"/>
        </w:numPr>
        <w:spacing w:line="360" w:lineRule="auto"/>
        <w:jc w:val="both"/>
        <w:rPr>
          <w:rFonts w:ascii="Times New Roman" w:hAnsi="Times New Roman" w:eastAsia="方正小标宋_GBK" w:cs="Times New Roman"/>
          <w:sz w:val="52"/>
          <w:szCs w:val="52"/>
        </w:rPr>
      </w:pPr>
    </w:p>
    <w:p w14:paraId="2F48ADD5">
      <w:pPr>
        <w:rPr>
          <w:rFonts w:ascii="Times New Roman" w:hAnsi="Times New Roman" w:cs="Times New Roman"/>
          <w:sz w:val="72"/>
          <w:szCs w:val="72"/>
        </w:rPr>
      </w:pPr>
    </w:p>
    <w:p w14:paraId="3498DC7C">
      <w:pPr>
        <w:pStyle w:val="13"/>
        <w:jc w:val="center"/>
        <w:rPr>
          <w:rFonts w:ascii="Times New Roman" w:hAnsi="Times New Roman" w:cs="Times New Roman"/>
          <w:sz w:val="72"/>
          <w:szCs w:val="72"/>
        </w:rPr>
      </w:pPr>
    </w:p>
    <w:p w14:paraId="11DF3BA1">
      <w:pPr>
        <w:pStyle w:val="13"/>
        <w:jc w:val="center"/>
        <w:rPr>
          <w:rFonts w:ascii="Times New Roman" w:hAnsi="Times New Roman" w:cs="Times New Roman"/>
          <w:sz w:val="72"/>
          <w:szCs w:val="72"/>
        </w:rPr>
      </w:pPr>
    </w:p>
    <w:p w14:paraId="1FCD116B">
      <w:pPr>
        <w:pStyle w:val="13"/>
        <w:jc w:val="center"/>
        <w:rPr>
          <w:rFonts w:ascii="Times New Roman" w:hAnsi="Times New Roman" w:cs="Times New Roman"/>
          <w:sz w:val="72"/>
          <w:szCs w:val="72"/>
        </w:rPr>
      </w:pPr>
    </w:p>
    <w:p w14:paraId="79864641">
      <w:pPr>
        <w:pStyle w:val="13"/>
        <w:jc w:val="center"/>
        <w:rPr>
          <w:rFonts w:ascii="Times New Roman" w:hAnsi="Times New Roman" w:cs="Times New Roman"/>
          <w:sz w:val="72"/>
          <w:szCs w:val="72"/>
        </w:rPr>
      </w:pPr>
    </w:p>
    <w:p w14:paraId="0E14AA02">
      <w:pPr>
        <w:pStyle w:val="13"/>
        <w:jc w:val="center"/>
        <w:rPr>
          <w:rFonts w:ascii="Times New Roman" w:hAnsi="Times New Roman" w:cs="Times New Roman"/>
          <w:sz w:val="72"/>
          <w:szCs w:val="72"/>
        </w:rPr>
      </w:pPr>
    </w:p>
    <w:p w14:paraId="5EFB4734">
      <w:pPr>
        <w:pStyle w:val="13"/>
        <w:jc w:val="center"/>
        <w:rPr>
          <w:rFonts w:ascii="Times New Roman" w:hAnsi="Times New Roman" w:cs="Times New Roman"/>
          <w:sz w:val="72"/>
          <w:szCs w:val="72"/>
        </w:rPr>
      </w:pPr>
    </w:p>
    <w:p w14:paraId="2477B355">
      <w:pPr>
        <w:pStyle w:val="2"/>
        <w:spacing w:before="94" w:line="222" w:lineRule="auto"/>
        <w:ind w:left="114"/>
        <w:rPr>
          <w:rFonts w:hint="eastAsia" w:ascii="黑体" w:hAnsi="黑体" w:eastAsia="黑体" w:cs="黑体"/>
          <w:spacing w:val="27"/>
          <w:sz w:val="32"/>
          <w:szCs w:val="32"/>
          <w:lang w:val="en-US" w:eastAsia="zh-CN"/>
        </w:rPr>
      </w:pPr>
      <w:r>
        <w:rPr>
          <w:rFonts w:hint="eastAsia" w:ascii="黑体" w:hAnsi="黑体" w:eastAsia="黑体" w:cs="黑体"/>
          <w:spacing w:val="27"/>
          <w:sz w:val="32"/>
          <w:szCs w:val="32"/>
        </w:rPr>
        <w:t>附件</w:t>
      </w:r>
      <w:r>
        <w:rPr>
          <w:rFonts w:hint="eastAsia" w:ascii="黑体" w:hAnsi="黑体" w:eastAsia="黑体" w:cs="黑体"/>
          <w:spacing w:val="27"/>
          <w:sz w:val="32"/>
          <w:szCs w:val="32"/>
          <w:lang w:val="en-US" w:eastAsia="zh-CN"/>
        </w:rPr>
        <w:t>6</w:t>
      </w:r>
    </w:p>
    <w:p w14:paraId="4DDBF452">
      <w:pPr>
        <w:spacing w:before="85" w:line="221" w:lineRule="auto"/>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部门整体支出绩效评价基础数据表</w:t>
      </w:r>
    </w:p>
    <w:p w14:paraId="7298C754">
      <w:pPr>
        <w:spacing w:before="56"/>
      </w:pPr>
    </w:p>
    <w:tbl>
      <w:tblPr>
        <w:tblStyle w:val="19"/>
        <w:tblW w:w="92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8"/>
        <w:gridCol w:w="1179"/>
        <w:gridCol w:w="859"/>
        <w:gridCol w:w="1109"/>
        <w:gridCol w:w="1089"/>
        <w:gridCol w:w="969"/>
        <w:gridCol w:w="884"/>
      </w:tblGrid>
      <w:tr w14:paraId="5CC70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118" w:type="dxa"/>
            <w:vMerge w:val="restart"/>
            <w:tcBorders>
              <w:bottom w:val="nil"/>
            </w:tcBorders>
            <w:vAlign w:val="top"/>
          </w:tcPr>
          <w:p w14:paraId="690E3809">
            <w:pPr>
              <w:spacing w:before="262" w:line="219" w:lineRule="auto"/>
              <w:ind w:left="875"/>
              <w:rPr>
                <w:rFonts w:ascii="宋体" w:hAnsi="宋体" w:eastAsia="宋体" w:cs="宋体"/>
                <w:sz w:val="18"/>
                <w:szCs w:val="18"/>
              </w:rPr>
            </w:pPr>
            <w:r>
              <w:rPr>
                <w:rFonts w:ascii="宋体" w:hAnsi="宋体" w:eastAsia="宋体" w:cs="宋体"/>
                <w:spacing w:val="-1"/>
                <w:sz w:val="18"/>
                <w:szCs w:val="18"/>
              </w:rPr>
              <w:t>财政供养人员情况</w:t>
            </w:r>
          </w:p>
        </w:tc>
        <w:tc>
          <w:tcPr>
            <w:tcW w:w="2038" w:type="dxa"/>
            <w:gridSpan w:val="2"/>
            <w:vAlign w:val="top"/>
          </w:tcPr>
          <w:p w14:paraId="109721A3">
            <w:pPr>
              <w:spacing w:before="103" w:line="219" w:lineRule="auto"/>
              <w:ind w:left="714"/>
              <w:rPr>
                <w:rFonts w:ascii="宋体" w:hAnsi="宋体" w:eastAsia="宋体" w:cs="宋体"/>
                <w:sz w:val="18"/>
                <w:szCs w:val="18"/>
              </w:rPr>
            </w:pPr>
            <w:r>
              <w:rPr>
                <w:rFonts w:ascii="宋体" w:hAnsi="宋体" w:eastAsia="宋体" w:cs="宋体"/>
                <w:spacing w:val="-3"/>
                <w:sz w:val="18"/>
                <w:szCs w:val="18"/>
              </w:rPr>
              <w:t>编制数</w:t>
            </w:r>
          </w:p>
        </w:tc>
        <w:tc>
          <w:tcPr>
            <w:tcW w:w="2198" w:type="dxa"/>
            <w:gridSpan w:val="2"/>
            <w:vAlign w:val="top"/>
          </w:tcPr>
          <w:p w14:paraId="2A081364">
            <w:pPr>
              <w:spacing w:before="103" w:line="219" w:lineRule="auto"/>
              <w:ind w:left="196"/>
              <w:rPr>
                <w:rFonts w:ascii="宋体" w:hAnsi="宋体" w:eastAsia="宋体" w:cs="宋体"/>
                <w:sz w:val="18"/>
                <w:szCs w:val="18"/>
              </w:rPr>
            </w:pPr>
            <w:r>
              <w:rPr>
                <w:rFonts w:ascii="宋体" w:hAnsi="宋体" w:eastAsia="宋体" w:cs="宋体"/>
                <w:spacing w:val="-1"/>
                <w:sz w:val="18"/>
                <w:szCs w:val="18"/>
              </w:rPr>
              <w:t>2024年实际在职人数</w:t>
            </w:r>
          </w:p>
        </w:tc>
        <w:tc>
          <w:tcPr>
            <w:tcW w:w="1853" w:type="dxa"/>
            <w:gridSpan w:val="2"/>
            <w:vAlign w:val="top"/>
          </w:tcPr>
          <w:p w14:paraId="35F76050">
            <w:pPr>
              <w:spacing w:before="103" w:line="219" w:lineRule="auto"/>
              <w:ind w:left="617"/>
              <w:rPr>
                <w:rFonts w:ascii="宋体" w:hAnsi="宋体" w:eastAsia="宋体" w:cs="宋体"/>
                <w:sz w:val="18"/>
                <w:szCs w:val="18"/>
              </w:rPr>
            </w:pPr>
            <w:r>
              <w:rPr>
                <w:rFonts w:ascii="宋体" w:hAnsi="宋体" w:eastAsia="宋体" w:cs="宋体"/>
                <w:spacing w:val="-2"/>
                <w:sz w:val="18"/>
                <w:szCs w:val="18"/>
              </w:rPr>
              <w:t>控制率</w:t>
            </w:r>
          </w:p>
        </w:tc>
      </w:tr>
      <w:tr w14:paraId="600D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118" w:type="dxa"/>
            <w:vMerge w:val="continue"/>
            <w:tcBorders>
              <w:top w:val="nil"/>
            </w:tcBorders>
            <w:vAlign w:val="top"/>
          </w:tcPr>
          <w:p w14:paraId="4028001A">
            <w:pPr>
              <w:pStyle w:val="20"/>
              <w:rPr>
                <w:sz w:val="18"/>
                <w:szCs w:val="18"/>
              </w:rPr>
            </w:pPr>
          </w:p>
        </w:tc>
        <w:tc>
          <w:tcPr>
            <w:tcW w:w="2038" w:type="dxa"/>
            <w:gridSpan w:val="2"/>
            <w:vAlign w:val="center"/>
          </w:tcPr>
          <w:p w14:paraId="67CF3F3A">
            <w:pPr>
              <w:pStyle w:val="20"/>
              <w:jc w:val="center"/>
              <w:rPr>
                <w:rFonts w:hint="default" w:eastAsia="宋体"/>
                <w:sz w:val="18"/>
                <w:szCs w:val="18"/>
                <w:lang w:val="en-US" w:eastAsia="zh-CN"/>
              </w:rPr>
            </w:pPr>
            <w:r>
              <w:rPr>
                <w:rFonts w:hint="eastAsia" w:eastAsia="宋体"/>
                <w:sz w:val="18"/>
                <w:szCs w:val="18"/>
                <w:lang w:val="en-US" w:eastAsia="zh-CN"/>
              </w:rPr>
              <w:t>33</w:t>
            </w:r>
          </w:p>
        </w:tc>
        <w:tc>
          <w:tcPr>
            <w:tcW w:w="2198" w:type="dxa"/>
            <w:gridSpan w:val="2"/>
            <w:vAlign w:val="center"/>
          </w:tcPr>
          <w:p w14:paraId="683D10A5">
            <w:pPr>
              <w:pStyle w:val="20"/>
              <w:jc w:val="center"/>
              <w:rPr>
                <w:rFonts w:hint="default" w:eastAsia="宋体"/>
                <w:sz w:val="18"/>
                <w:szCs w:val="18"/>
                <w:lang w:val="en-US" w:eastAsia="zh-CN"/>
              </w:rPr>
            </w:pPr>
            <w:r>
              <w:rPr>
                <w:rFonts w:hint="eastAsia" w:eastAsia="宋体"/>
                <w:sz w:val="18"/>
                <w:szCs w:val="18"/>
                <w:lang w:val="en-US" w:eastAsia="zh-CN"/>
              </w:rPr>
              <w:t>31</w:t>
            </w:r>
          </w:p>
        </w:tc>
        <w:tc>
          <w:tcPr>
            <w:tcW w:w="1853" w:type="dxa"/>
            <w:gridSpan w:val="2"/>
            <w:vAlign w:val="center"/>
          </w:tcPr>
          <w:p w14:paraId="722E6266">
            <w:pPr>
              <w:pStyle w:val="20"/>
              <w:jc w:val="center"/>
              <w:rPr>
                <w:rFonts w:hint="default" w:eastAsia="宋体"/>
                <w:sz w:val="18"/>
                <w:szCs w:val="18"/>
                <w:lang w:val="en-US" w:eastAsia="zh-CN"/>
              </w:rPr>
            </w:pPr>
            <w:r>
              <w:rPr>
                <w:rFonts w:hint="eastAsia" w:eastAsia="宋体"/>
                <w:sz w:val="18"/>
                <w:szCs w:val="18"/>
                <w:lang w:val="en-US" w:eastAsia="zh-CN"/>
              </w:rPr>
              <w:t>93.94%</w:t>
            </w:r>
          </w:p>
        </w:tc>
      </w:tr>
      <w:tr w14:paraId="7E46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18" w:type="dxa"/>
            <w:vAlign w:val="top"/>
          </w:tcPr>
          <w:p w14:paraId="0643C55A">
            <w:pPr>
              <w:spacing w:before="108" w:line="220" w:lineRule="auto"/>
              <w:ind w:left="1074"/>
              <w:rPr>
                <w:rFonts w:ascii="宋体" w:hAnsi="宋体" w:eastAsia="宋体" w:cs="宋体"/>
                <w:sz w:val="18"/>
                <w:szCs w:val="18"/>
              </w:rPr>
            </w:pPr>
            <w:r>
              <w:rPr>
                <w:rFonts w:ascii="宋体" w:hAnsi="宋体" w:eastAsia="宋体" w:cs="宋体"/>
                <w:spacing w:val="-2"/>
                <w:sz w:val="18"/>
                <w:szCs w:val="18"/>
              </w:rPr>
              <w:t>经费控制情况</w:t>
            </w:r>
          </w:p>
        </w:tc>
        <w:tc>
          <w:tcPr>
            <w:tcW w:w="2038" w:type="dxa"/>
            <w:gridSpan w:val="2"/>
            <w:vAlign w:val="center"/>
          </w:tcPr>
          <w:p w14:paraId="7C1C9819">
            <w:pPr>
              <w:spacing w:before="108" w:line="219" w:lineRule="auto"/>
              <w:ind w:left="414"/>
              <w:jc w:val="center"/>
              <w:rPr>
                <w:rFonts w:ascii="宋体" w:hAnsi="宋体" w:eastAsia="宋体" w:cs="宋体"/>
                <w:sz w:val="18"/>
                <w:szCs w:val="18"/>
              </w:rPr>
            </w:pPr>
            <w:r>
              <w:rPr>
                <w:rFonts w:ascii="宋体" w:hAnsi="宋体" w:eastAsia="宋体" w:cs="宋体"/>
                <w:spacing w:val="-2"/>
                <w:sz w:val="18"/>
                <w:szCs w:val="18"/>
              </w:rPr>
              <w:t>2023年决算数</w:t>
            </w:r>
          </w:p>
        </w:tc>
        <w:tc>
          <w:tcPr>
            <w:tcW w:w="2198" w:type="dxa"/>
            <w:gridSpan w:val="2"/>
            <w:vAlign w:val="center"/>
          </w:tcPr>
          <w:p w14:paraId="5CA244A6">
            <w:pPr>
              <w:spacing w:before="108" w:line="219" w:lineRule="auto"/>
              <w:ind w:left="496"/>
              <w:jc w:val="center"/>
              <w:rPr>
                <w:rFonts w:ascii="宋体" w:hAnsi="宋体" w:eastAsia="宋体" w:cs="宋体"/>
                <w:sz w:val="18"/>
                <w:szCs w:val="18"/>
              </w:rPr>
            </w:pPr>
            <w:r>
              <w:rPr>
                <w:rFonts w:ascii="宋体" w:hAnsi="宋体" w:eastAsia="宋体" w:cs="宋体"/>
                <w:spacing w:val="-2"/>
                <w:sz w:val="18"/>
                <w:szCs w:val="18"/>
              </w:rPr>
              <w:t>2024年预算数</w:t>
            </w:r>
          </w:p>
        </w:tc>
        <w:tc>
          <w:tcPr>
            <w:tcW w:w="1853" w:type="dxa"/>
            <w:gridSpan w:val="2"/>
            <w:vAlign w:val="center"/>
          </w:tcPr>
          <w:p w14:paraId="2C70FFD1">
            <w:pPr>
              <w:spacing w:before="108" w:line="219" w:lineRule="auto"/>
              <w:ind w:left="317"/>
              <w:jc w:val="center"/>
              <w:rPr>
                <w:rFonts w:ascii="宋体" w:hAnsi="宋体" w:eastAsia="宋体" w:cs="宋体"/>
                <w:sz w:val="18"/>
                <w:szCs w:val="18"/>
              </w:rPr>
            </w:pPr>
            <w:r>
              <w:rPr>
                <w:rFonts w:ascii="宋体" w:hAnsi="宋体" w:eastAsia="宋体" w:cs="宋体"/>
                <w:spacing w:val="-2"/>
                <w:sz w:val="18"/>
                <w:szCs w:val="18"/>
              </w:rPr>
              <w:t>2024年决算数</w:t>
            </w:r>
          </w:p>
        </w:tc>
      </w:tr>
      <w:tr w14:paraId="1EFEF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18" w:type="dxa"/>
            <w:vAlign w:val="top"/>
          </w:tcPr>
          <w:p w14:paraId="25048EE8">
            <w:pPr>
              <w:spacing w:before="99" w:line="220" w:lineRule="auto"/>
              <w:ind w:left="114"/>
              <w:rPr>
                <w:rFonts w:ascii="宋体" w:hAnsi="宋体" w:eastAsia="宋体" w:cs="宋体"/>
                <w:sz w:val="18"/>
                <w:szCs w:val="18"/>
              </w:rPr>
            </w:pPr>
            <w:r>
              <w:rPr>
                <w:rFonts w:ascii="宋体" w:hAnsi="宋体" w:eastAsia="宋体" w:cs="宋体"/>
                <w:spacing w:val="3"/>
                <w:sz w:val="18"/>
                <w:szCs w:val="18"/>
              </w:rPr>
              <w:t>三公经费</w:t>
            </w:r>
          </w:p>
        </w:tc>
        <w:tc>
          <w:tcPr>
            <w:tcW w:w="2038" w:type="dxa"/>
            <w:gridSpan w:val="2"/>
            <w:vAlign w:val="center"/>
          </w:tcPr>
          <w:p w14:paraId="2165FA31">
            <w:pPr>
              <w:pStyle w:val="20"/>
              <w:jc w:val="center"/>
              <w:rPr>
                <w:sz w:val="18"/>
                <w:szCs w:val="18"/>
              </w:rPr>
            </w:pPr>
            <w:r>
              <w:rPr>
                <w:rFonts w:hint="default" w:ascii="Times New Roman" w:hAnsi="Times New Roman" w:eastAsia="仿宋_GB2312" w:cs="Times New Roman"/>
                <w:color w:val="000000"/>
                <w:w w:val="100"/>
                <w:kern w:val="0"/>
                <w:sz w:val="18"/>
                <w:szCs w:val="18"/>
              </w:rPr>
              <w:t>2</w:t>
            </w:r>
            <w:r>
              <w:rPr>
                <w:rFonts w:hint="default" w:ascii="宋体" w:hAnsi="宋体" w:eastAsia="宋体" w:cs="宋体"/>
                <w:snapToGrid w:val="0"/>
                <w:color w:val="000000"/>
                <w:kern w:val="0"/>
                <w:sz w:val="18"/>
                <w:szCs w:val="18"/>
                <w:lang w:val="en-US" w:eastAsia="en-US" w:bidi="ar-SA"/>
              </w:rPr>
              <w:t>9495.00</w:t>
            </w:r>
          </w:p>
        </w:tc>
        <w:tc>
          <w:tcPr>
            <w:tcW w:w="2198" w:type="dxa"/>
            <w:gridSpan w:val="2"/>
            <w:vAlign w:val="center"/>
          </w:tcPr>
          <w:p w14:paraId="2DC59357">
            <w:pPr>
              <w:pStyle w:val="20"/>
              <w:jc w:val="center"/>
              <w:rPr>
                <w:rFonts w:hint="default" w:eastAsia="宋体"/>
                <w:sz w:val="18"/>
                <w:szCs w:val="18"/>
                <w:lang w:val="en-US" w:eastAsia="zh-CN"/>
              </w:rPr>
            </w:pPr>
            <w:r>
              <w:rPr>
                <w:rFonts w:hint="eastAsia" w:eastAsia="宋体"/>
                <w:sz w:val="18"/>
                <w:szCs w:val="18"/>
                <w:lang w:val="en-US" w:eastAsia="zh-CN"/>
              </w:rPr>
              <w:t>56000</w:t>
            </w:r>
          </w:p>
        </w:tc>
        <w:tc>
          <w:tcPr>
            <w:tcW w:w="1853" w:type="dxa"/>
            <w:gridSpan w:val="2"/>
            <w:vAlign w:val="center"/>
          </w:tcPr>
          <w:p w14:paraId="62BE5ED9">
            <w:pPr>
              <w:pStyle w:val="20"/>
              <w:jc w:val="center"/>
              <w:rPr>
                <w:rFonts w:hint="default" w:eastAsia="宋体"/>
                <w:sz w:val="18"/>
                <w:szCs w:val="18"/>
                <w:lang w:val="en-US" w:eastAsia="zh-CN"/>
              </w:rPr>
            </w:pPr>
            <w:r>
              <w:rPr>
                <w:rFonts w:hint="eastAsia" w:eastAsia="宋体"/>
                <w:sz w:val="18"/>
                <w:szCs w:val="18"/>
                <w:lang w:val="en-US" w:eastAsia="zh-CN"/>
              </w:rPr>
              <w:t>51129</w:t>
            </w:r>
          </w:p>
        </w:tc>
      </w:tr>
      <w:tr w14:paraId="6C68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118" w:type="dxa"/>
            <w:vAlign w:val="top"/>
          </w:tcPr>
          <w:p w14:paraId="38A3A9F8">
            <w:pPr>
              <w:spacing w:before="99" w:line="219" w:lineRule="auto"/>
              <w:ind w:left="424"/>
              <w:rPr>
                <w:rFonts w:ascii="宋体" w:hAnsi="宋体" w:eastAsia="宋体" w:cs="宋体"/>
                <w:sz w:val="18"/>
                <w:szCs w:val="18"/>
              </w:rPr>
            </w:pPr>
            <w:r>
              <w:rPr>
                <w:rFonts w:ascii="宋体" w:hAnsi="宋体" w:eastAsia="宋体" w:cs="宋体"/>
                <w:sz w:val="18"/>
                <w:szCs w:val="18"/>
              </w:rPr>
              <w:t>1、公务用车购置和维护经费</w:t>
            </w:r>
          </w:p>
        </w:tc>
        <w:tc>
          <w:tcPr>
            <w:tcW w:w="2038" w:type="dxa"/>
            <w:gridSpan w:val="2"/>
            <w:vAlign w:val="center"/>
          </w:tcPr>
          <w:p w14:paraId="1C56B049">
            <w:pPr>
              <w:pStyle w:val="20"/>
              <w:jc w:val="center"/>
              <w:rPr>
                <w:sz w:val="18"/>
                <w:szCs w:val="18"/>
              </w:rPr>
            </w:pPr>
          </w:p>
        </w:tc>
        <w:tc>
          <w:tcPr>
            <w:tcW w:w="2198" w:type="dxa"/>
            <w:gridSpan w:val="2"/>
            <w:vAlign w:val="center"/>
          </w:tcPr>
          <w:p w14:paraId="76C225EB">
            <w:pPr>
              <w:pStyle w:val="20"/>
              <w:jc w:val="center"/>
              <w:rPr>
                <w:sz w:val="18"/>
                <w:szCs w:val="18"/>
              </w:rPr>
            </w:pPr>
          </w:p>
        </w:tc>
        <w:tc>
          <w:tcPr>
            <w:tcW w:w="1853" w:type="dxa"/>
            <w:gridSpan w:val="2"/>
            <w:vAlign w:val="center"/>
          </w:tcPr>
          <w:p w14:paraId="081FE587">
            <w:pPr>
              <w:pStyle w:val="20"/>
              <w:jc w:val="center"/>
              <w:rPr>
                <w:sz w:val="18"/>
                <w:szCs w:val="18"/>
              </w:rPr>
            </w:pPr>
          </w:p>
        </w:tc>
      </w:tr>
      <w:tr w14:paraId="01BE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118" w:type="dxa"/>
            <w:vAlign w:val="top"/>
          </w:tcPr>
          <w:p w14:paraId="4B3D6F6B">
            <w:pPr>
              <w:spacing w:before="109" w:line="219" w:lineRule="auto"/>
              <w:ind w:left="974"/>
              <w:rPr>
                <w:rFonts w:ascii="宋体" w:hAnsi="宋体" w:eastAsia="宋体" w:cs="宋体"/>
                <w:sz w:val="18"/>
                <w:szCs w:val="18"/>
              </w:rPr>
            </w:pPr>
            <w:r>
              <w:rPr>
                <w:rFonts w:ascii="宋体" w:hAnsi="宋体" w:eastAsia="宋体" w:cs="宋体"/>
                <w:spacing w:val="-2"/>
                <w:sz w:val="18"/>
                <w:szCs w:val="18"/>
              </w:rPr>
              <w:t>其中：公车购置</w:t>
            </w:r>
          </w:p>
        </w:tc>
        <w:tc>
          <w:tcPr>
            <w:tcW w:w="2038" w:type="dxa"/>
            <w:gridSpan w:val="2"/>
            <w:vAlign w:val="center"/>
          </w:tcPr>
          <w:p w14:paraId="39FBCE1B">
            <w:pPr>
              <w:pStyle w:val="20"/>
              <w:jc w:val="center"/>
              <w:rPr>
                <w:sz w:val="18"/>
                <w:szCs w:val="18"/>
              </w:rPr>
            </w:pPr>
          </w:p>
        </w:tc>
        <w:tc>
          <w:tcPr>
            <w:tcW w:w="2198" w:type="dxa"/>
            <w:gridSpan w:val="2"/>
            <w:vAlign w:val="center"/>
          </w:tcPr>
          <w:p w14:paraId="5E42ECE1">
            <w:pPr>
              <w:pStyle w:val="20"/>
              <w:jc w:val="center"/>
              <w:rPr>
                <w:sz w:val="18"/>
                <w:szCs w:val="18"/>
              </w:rPr>
            </w:pPr>
          </w:p>
        </w:tc>
        <w:tc>
          <w:tcPr>
            <w:tcW w:w="1853" w:type="dxa"/>
            <w:gridSpan w:val="2"/>
            <w:vAlign w:val="center"/>
          </w:tcPr>
          <w:p w14:paraId="74DA2585">
            <w:pPr>
              <w:pStyle w:val="20"/>
              <w:jc w:val="center"/>
              <w:rPr>
                <w:sz w:val="18"/>
                <w:szCs w:val="18"/>
              </w:rPr>
            </w:pPr>
          </w:p>
        </w:tc>
      </w:tr>
      <w:tr w14:paraId="3F79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18" w:type="dxa"/>
            <w:vAlign w:val="top"/>
          </w:tcPr>
          <w:p w14:paraId="345BDAE6">
            <w:pPr>
              <w:spacing w:before="99" w:line="219" w:lineRule="auto"/>
              <w:ind w:left="1074"/>
              <w:rPr>
                <w:rFonts w:ascii="宋体" w:hAnsi="宋体" w:eastAsia="宋体" w:cs="宋体"/>
                <w:sz w:val="18"/>
                <w:szCs w:val="18"/>
              </w:rPr>
            </w:pPr>
            <w:r>
              <w:rPr>
                <w:rFonts w:ascii="宋体" w:hAnsi="宋体" w:eastAsia="宋体" w:cs="宋体"/>
                <w:spacing w:val="2"/>
                <w:sz w:val="18"/>
                <w:szCs w:val="18"/>
              </w:rPr>
              <w:t>公车运行维护</w:t>
            </w:r>
          </w:p>
        </w:tc>
        <w:tc>
          <w:tcPr>
            <w:tcW w:w="2038" w:type="dxa"/>
            <w:gridSpan w:val="2"/>
            <w:vAlign w:val="center"/>
          </w:tcPr>
          <w:p w14:paraId="384EE672">
            <w:pPr>
              <w:pStyle w:val="20"/>
              <w:jc w:val="center"/>
              <w:rPr>
                <w:rFonts w:hint="eastAsia" w:eastAsia="宋体"/>
                <w:sz w:val="18"/>
                <w:szCs w:val="18"/>
                <w:lang w:val="en-US" w:eastAsia="zh-CN"/>
              </w:rPr>
            </w:pPr>
            <w:r>
              <w:rPr>
                <w:rFonts w:hint="eastAsia" w:eastAsia="宋体"/>
                <w:sz w:val="18"/>
                <w:szCs w:val="18"/>
                <w:lang w:val="en-US" w:eastAsia="zh-CN"/>
              </w:rPr>
              <w:t>0</w:t>
            </w:r>
          </w:p>
        </w:tc>
        <w:tc>
          <w:tcPr>
            <w:tcW w:w="2198" w:type="dxa"/>
            <w:gridSpan w:val="2"/>
            <w:vAlign w:val="center"/>
          </w:tcPr>
          <w:p w14:paraId="64424D96">
            <w:pPr>
              <w:pStyle w:val="20"/>
              <w:jc w:val="center"/>
              <w:rPr>
                <w:rFonts w:hint="default" w:eastAsia="宋体"/>
                <w:sz w:val="18"/>
                <w:szCs w:val="18"/>
                <w:lang w:val="en-US" w:eastAsia="zh-CN"/>
              </w:rPr>
            </w:pPr>
            <w:r>
              <w:rPr>
                <w:rFonts w:hint="eastAsia" w:eastAsia="宋体"/>
                <w:sz w:val="18"/>
                <w:szCs w:val="18"/>
                <w:lang w:val="en-US" w:eastAsia="zh-CN"/>
              </w:rPr>
              <w:t>26000</w:t>
            </w:r>
          </w:p>
        </w:tc>
        <w:tc>
          <w:tcPr>
            <w:tcW w:w="1853" w:type="dxa"/>
            <w:gridSpan w:val="2"/>
            <w:vAlign w:val="center"/>
          </w:tcPr>
          <w:p w14:paraId="286E0860">
            <w:pPr>
              <w:pStyle w:val="20"/>
              <w:jc w:val="center"/>
              <w:rPr>
                <w:rFonts w:hint="default" w:eastAsia="宋体"/>
                <w:sz w:val="18"/>
                <w:szCs w:val="18"/>
                <w:lang w:val="en-US" w:eastAsia="zh-CN"/>
              </w:rPr>
            </w:pPr>
            <w:r>
              <w:rPr>
                <w:rFonts w:hint="eastAsia" w:eastAsia="宋体"/>
                <w:sz w:val="18"/>
                <w:szCs w:val="18"/>
                <w:lang w:val="en-US" w:eastAsia="zh-CN"/>
              </w:rPr>
              <w:t>44000</w:t>
            </w:r>
          </w:p>
        </w:tc>
      </w:tr>
      <w:tr w14:paraId="128D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18" w:type="dxa"/>
            <w:vAlign w:val="top"/>
          </w:tcPr>
          <w:p w14:paraId="071D5B30">
            <w:pPr>
              <w:spacing w:before="100" w:line="220" w:lineRule="auto"/>
              <w:ind w:left="424"/>
              <w:rPr>
                <w:rFonts w:ascii="宋体" w:hAnsi="宋体" w:eastAsia="宋体" w:cs="宋体"/>
                <w:sz w:val="18"/>
                <w:szCs w:val="18"/>
              </w:rPr>
            </w:pPr>
            <w:r>
              <w:rPr>
                <w:rFonts w:ascii="宋体" w:hAnsi="宋体" w:eastAsia="宋体" w:cs="宋体"/>
                <w:spacing w:val="2"/>
                <w:sz w:val="18"/>
                <w:szCs w:val="18"/>
              </w:rPr>
              <w:t>2、出国经费</w:t>
            </w:r>
          </w:p>
        </w:tc>
        <w:tc>
          <w:tcPr>
            <w:tcW w:w="2038" w:type="dxa"/>
            <w:gridSpan w:val="2"/>
            <w:vAlign w:val="center"/>
          </w:tcPr>
          <w:p w14:paraId="2214AE84">
            <w:pPr>
              <w:pStyle w:val="20"/>
              <w:jc w:val="center"/>
              <w:rPr>
                <w:sz w:val="18"/>
                <w:szCs w:val="18"/>
              </w:rPr>
            </w:pPr>
          </w:p>
        </w:tc>
        <w:tc>
          <w:tcPr>
            <w:tcW w:w="2198" w:type="dxa"/>
            <w:gridSpan w:val="2"/>
            <w:vAlign w:val="center"/>
          </w:tcPr>
          <w:p w14:paraId="700256F9">
            <w:pPr>
              <w:pStyle w:val="20"/>
              <w:jc w:val="center"/>
              <w:rPr>
                <w:sz w:val="18"/>
                <w:szCs w:val="18"/>
              </w:rPr>
            </w:pPr>
          </w:p>
        </w:tc>
        <w:tc>
          <w:tcPr>
            <w:tcW w:w="1853" w:type="dxa"/>
            <w:gridSpan w:val="2"/>
            <w:vAlign w:val="center"/>
          </w:tcPr>
          <w:p w14:paraId="5A977531">
            <w:pPr>
              <w:pStyle w:val="20"/>
              <w:jc w:val="center"/>
              <w:rPr>
                <w:sz w:val="18"/>
                <w:szCs w:val="18"/>
              </w:rPr>
            </w:pPr>
          </w:p>
        </w:tc>
      </w:tr>
      <w:tr w14:paraId="276D2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18" w:type="dxa"/>
            <w:vAlign w:val="top"/>
          </w:tcPr>
          <w:p w14:paraId="435371A9">
            <w:pPr>
              <w:spacing w:before="101" w:line="219" w:lineRule="auto"/>
              <w:ind w:left="414"/>
              <w:rPr>
                <w:rFonts w:ascii="宋体" w:hAnsi="宋体" w:eastAsia="宋体" w:cs="宋体"/>
                <w:sz w:val="18"/>
                <w:szCs w:val="18"/>
              </w:rPr>
            </w:pPr>
            <w:r>
              <w:rPr>
                <w:rFonts w:ascii="宋体" w:hAnsi="宋体" w:eastAsia="宋体" w:cs="宋体"/>
                <w:spacing w:val="1"/>
                <w:sz w:val="18"/>
                <w:szCs w:val="18"/>
              </w:rPr>
              <w:t>3、公务接待</w:t>
            </w:r>
          </w:p>
        </w:tc>
        <w:tc>
          <w:tcPr>
            <w:tcW w:w="2038" w:type="dxa"/>
            <w:gridSpan w:val="2"/>
            <w:vAlign w:val="center"/>
          </w:tcPr>
          <w:p w14:paraId="6351B496">
            <w:pPr>
              <w:pStyle w:val="20"/>
              <w:jc w:val="center"/>
              <w:rPr>
                <w:rFonts w:hint="default" w:eastAsia="宋体"/>
                <w:sz w:val="18"/>
                <w:szCs w:val="18"/>
                <w:lang w:val="en-US" w:eastAsia="zh-CN"/>
              </w:rPr>
            </w:pPr>
            <w:r>
              <w:rPr>
                <w:rFonts w:hint="eastAsia" w:eastAsia="宋体"/>
                <w:sz w:val="18"/>
                <w:szCs w:val="18"/>
                <w:lang w:val="en-US" w:eastAsia="zh-CN"/>
              </w:rPr>
              <w:t>29495</w:t>
            </w:r>
          </w:p>
        </w:tc>
        <w:tc>
          <w:tcPr>
            <w:tcW w:w="2198" w:type="dxa"/>
            <w:gridSpan w:val="2"/>
            <w:vAlign w:val="center"/>
          </w:tcPr>
          <w:p w14:paraId="2526017F">
            <w:pPr>
              <w:pStyle w:val="20"/>
              <w:jc w:val="center"/>
              <w:rPr>
                <w:rFonts w:hint="default" w:eastAsia="宋体"/>
                <w:sz w:val="18"/>
                <w:szCs w:val="18"/>
                <w:lang w:val="en-US" w:eastAsia="zh-CN"/>
              </w:rPr>
            </w:pPr>
            <w:r>
              <w:rPr>
                <w:rFonts w:hint="eastAsia" w:eastAsia="宋体"/>
                <w:sz w:val="18"/>
                <w:szCs w:val="18"/>
                <w:lang w:val="en-US" w:eastAsia="zh-CN"/>
              </w:rPr>
              <w:t>30000</w:t>
            </w:r>
          </w:p>
        </w:tc>
        <w:tc>
          <w:tcPr>
            <w:tcW w:w="1853" w:type="dxa"/>
            <w:gridSpan w:val="2"/>
            <w:vAlign w:val="center"/>
          </w:tcPr>
          <w:p w14:paraId="49072480">
            <w:pPr>
              <w:pStyle w:val="20"/>
              <w:jc w:val="center"/>
              <w:rPr>
                <w:rFonts w:hint="default" w:eastAsia="宋体"/>
                <w:sz w:val="18"/>
                <w:szCs w:val="18"/>
                <w:lang w:val="en-US" w:eastAsia="zh-CN"/>
              </w:rPr>
            </w:pPr>
            <w:r>
              <w:rPr>
                <w:rFonts w:hint="eastAsia" w:eastAsia="宋体"/>
                <w:sz w:val="18"/>
                <w:szCs w:val="18"/>
                <w:lang w:val="en-US" w:eastAsia="zh-CN"/>
              </w:rPr>
              <w:t>7129</w:t>
            </w:r>
          </w:p>
        </w:tc>
      </w:tr>
      <w:tr w14:paraId="4E588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18" w:type="dxa"/>
            <w:vAlign w:val="top"/>
          </w:tcPr>
          <w:p w14:paraId="6A4D2587">
            <w:pPr>
              <w:spacing w:before="101" w:line="220" w:lineRule="auto"/>
              <w:ind w:left="114"/>
              <w:rPr>
                <w:rFonts w:ascii="宋体" w:hAnsi="宋体" w:eastAsia="宋体" w:cs="宋体"/>
                <w:sz w:val="18"/>
                <w:szCs w:val="18"/>
              </w:rPr>
            </w:pPr>
            <w:r>
              <w:rPr>
                <w:rFonts w:ascii="宋体" w:hAnsi="宋体" w:eastAsia="宋体" w:cs="宋体"/>
                <w:spacing w:val="-1"/>
                <w:sz w:val="18"/>
                <w:szCs w:val="18"/>
              </w:rPr>
              <w:t>项目支出：</w:t>
            </w:r>
          </w:p>
        </w:tc>
        <w:tc>
          <w:tcPr>
            <w:tcW w:w="2038" w:type="dxa"/>
            <w:gridSpan w:val="2"/>
            <w:vAlign w:val="center"/>
          </w:tcPr>
          <w:p w14:paraId="14C4B470">
            <w:pPr>
              <w:pStyle w:val="20"/>
              <w:jc w:val="center"/>
              <w:rPr>
                <w:sz w:val="18"/>
                <w:szCs w:val="18"/>
              </w:rPr>
            </w:pPr>
          </w:p>
        </w:tc>
        <w:tc>
          <w:tcPr>
            <w:tcW w:w="2198" w:type="dxa"/>
            <w:gridSpan w:val="2"/>
            <w:vAlign w:val="center"/>
          </w:tcPr>
          <w:p w14:paraId="2E8CECD8">
            <w:pPr>
              <w:pStyle w:val="20"/>
              <w:jc w:val="center"/>
              <w:rPr>
                <w:sz w:val="18"/>
                <w:szCs w:val="18"/>
              </w:rPr>
            </w:pPr>
          </w:p>
        </w:tc>
        <w:tc>
          <w:tcPr>
            <w:tcW w:w="1853" w:type="dxa"/>
            <w:gridSpan w:val="2"/>
            <w:vAlign w:val="center"/>
          </w:tcPr>
          <w:p w14:paraId="65B3E683">
            <w:pPr>
              <w:pStyle w:val="20"/>
              <w:jc w:val="center"/>
              <w:rPr>
                <w:sz w:val="18"/>
                <w:szCs w:val="18"/>
              </w:rPr>
            </w:pPr>
          </w:p>
        </w:tc>
      </w:tr>
      <w:tr w14:paraId="0207D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118" w:type="dxa"/>
            <w:vAlign w:val="top"/>
          </w:tcPr>
          <w:p w14:paraId="22BAE7E0">
            <w:pPr>
              <w:spacing w:before="101" w:line="219" w:lineRule="auto"/>
              <w:ind w:left="525"/>
              <w:rPr>
                <w:rFonts w:ascii="宋体" w:hAnsi="宋体" w:eastAsia="宋体" w:cs="宋体"/>
                <w:sz w:val="18"/>
                <w:szCs w:val="18"/>
              </w:rPr>
            </w:pPr>
            <w:r>
              <w:rPr>
                <w:rFonts w:ascii="宋体" w:hAnsi="宋体" w:eastAsia="宋体" w:cs="宋体"/>
                <w:spacing w:val="1"/>
                <w:sz w:val="18"/>
                <w:szCs w:val="18"/>
              </w:rPr>
              <w:t>1、业务工作经费</w:t>
            </w:r>
          </w:p>
        </w:tc>
        <w:tc>
          <w:tcPr>
            <w:tcW w:w="2038" w:type="dxa"/>
            <w:gridSpan w:val="2"/>
            <w:vAlign w:val="center"/>
          </w:tcPr>
          <w:p w14:paraId="6E3EB7DE">
            <w:pPr>
              <w:pStyle w:val="20"/>
              <w:jc w:val="center"/>
              <w:rPr>
                <w:sz w:val="18"/>
                <w:szCs w:val="18"/>
              </w:rPr>
            </w:pPr>
          </w:p>
        </w:tc>
        <w:tc>
          <w:tcPr>
            <w:tcW w:w="2198" w:type="dxa"/>
            <w:gridSpan w:val="2"/>
            <w:vAlign w:val="center"/>
          </w:tcPr>
          <w:p w14:paraId="2FF8143B">
            <w:pPr>
              <w:pStyle w:val="20"/>
              <w:jc w:val="center"/>
              <w:rPr>
                <w:sz w:val="18"/>
                <w:szCs w:val="18"/>
              </w:rPr>
            </w:pPr>
          </w:p>
        </w:tc>
        <w:tc>
          <w:tcPr>
            <w:tcW w:w="1853" w:type="dxa"/>
            <w:gridSpan w:val="2"/>
            <w:vAlign w:val="center"/>
          </w:tcPr>
          <w:p w14:paraId="3BE87BF7">
            <w:pPr>
              <w:pStyle w:val="20"/>
              <w:jc w:val="center"/>
              <w:rPr>
                <w:sz w:val="18"/>
                <w:szCs w:val="18"/>
              </w:rPr>
            </w:pPr>
          </w:p>
        </w:tc>
      </w:tr>
      <w:tr w14:paraId="57DF3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18" w:type="dxa"/>
            <w:vAlign w:val="top"/>
          </w:tcPr>
          <w:p w14:paraId="63B1A37D">
            <w:pPr>
              <w:spacing w:before="102" w:line="220" w:lineRule="auto"/>
              <w:ind w:left="515"/>
              <w:rPr>
                <w:rFonts w:ascii="宋体" w:hAnsi="宋体" w:eastAsia="宋体" w:cs="宋体"/>
                <w:sz w:val="18"/>
                <w:szCs w:val="18"/>
              </w:rPr>
            </w:pPr>
            <w:r>
              <w:rPr>
                <w:rFonts w:ascii="宋体" w:hAnsi="宋体" w:eastAsia="宋体" w:cs="宋体"/>
                <w:spacing w:val="1"/>
                <w:sz w:val="18"/>
                <w:szCs w:val="18"/>
              </w:rPr>
              <w:t>2、运行维护经费</w:t>
            </w:r>
          </w:p>
        </w:tc>
        <w:tc>
          <w:tcPr>
            <w:tcW w:w="2038" w:type="dxa"/>
            <w:gridSpan w:val="2"/>
            <w:vAlign w:val="center"/>
          </w:tcPr>
          <w:p w14:paraId="1FF6F175">
            <w:pPr>
              <w:pStyle w:val="20"/>
              <w:jc w:val="center"/>
              <w:rPr>
                <w:sz w:val="18"/>
                <w:szCs w:val="18"/>
              </w:rPr>
            </w:pPr>
          </w:p>
        </w:tc>
        <w:tc>
          <w:tcPr>
            <w:tcW w:w="2198" w:type="dxa"/>
            <w:gridSpan w:val="2"/>
            <w:vAlign w:val="center"/>
          </w:tcPr>
          <w:p w14:paraId="29166830">
            <w:pPr>
              <w:pStyle w:val="20"/>
              <w:jc w:val="center"/>
              <w:rPr>
                <w:rFonts w:hint="default" w:eastAsia="宋体"/>
                <w:sz w:val="18"/>
                <w:szCs w:val="18"/>
                <w:lang w:val="en-US" w:eastAsia="zh-CN"/>
              </w:rPr>
            </w:pPr>
            <w:r>
              <w:rPr>
                <w:rFonts w:hint="eastAsia" w:eastAsia="宋体"/>
                <w:sz w:val="18"/>
                <w:szCs w:val="18"/>
                <w:lang w:val="en-US" w:eastAsia="zh-CN"/>
              </w:rPr>
              <w:t xml:space="preserve">   </w:t>
            </w:r>
          </w:p>
        </w:tc>
        <w:tc>
          <w:tcPr>
            <w:tcW w:w="1853" w:type="dxa"/>
            <w:gridSpan w:val="2"/>
            <w:vAlign w:val="center"/>
          </w:tcPr>
          <w:p w14:paraId="55BEA59A">
            <w:pPr>
              <w:pStyle w:val="20"/>
              <w:jc w:val="center"/>
              <w:rPr>
                <w:sz w:val="18"/>
                <w:szCs w:val="18"/>
              </w:rPr>
            </w:pPr>
          </w:p>
        </w:tc>
      </w:tr>
      <w:tr w14:paraId="47F16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118" w:type="dxa"/>
            <w:vAlign w:val="top"/>
          </w:tcPr>
          <w:p w14:paraId="36934507">
            <w:pPr>
              <w:spacing w:before="81" w:line="219" w:lineRule="auto"/>
              <w:ind w:left="505"/>
              <w:rPr>
                <w:rFonts w:ascii="宋体" w:hAnsi="宋体" w:eastAsia="宋体" w:cs="宋体"/>
                <w:sz w:val="18"/>
                <w:szCs w:val="18"/>
              </w:rPr>
            </w:pPr>
            <w:r>
              <w:rPr>
                <w:rFonts w:ascii="宋体" w:hAnsi="宋体" w:eastAsia="宋体" w:cs="宋体"/>
                <w:spacing w:val="1"/>
                <w:sz w:val="18"/>
                <w:szCs w:val="18"/>
              </w:rPr>
              <w:t>3、本级专项资金</w:t>
            </w:r>
          </w:p>
          <w:p w14:paraId="5EF8259A">
            <w:pPr>
              <w:spacing w:before="83" w:line="191" w:lineRule="auto"/>
              <w:ind w:left="974"/>
              <w:rPr>
                <w:rFonts w:ascii="宋体" w:hAnsi="宋体" w:eastAsia="宋体" w:cs="宋体"/>
                <w:sz w:val="18"/>
                <w:szCs w:val="18"/>
              </w:rPr>
            </w:pPr>
            <w:r>
              <w:rPr>
                <w:rFonts w:ascii="宋体" w:hAnsi="宋体" w:eastAsia="宋体" w:cs="宋体"/>
                <w:spacing w:val="5"/>
                <w:sz w:val="18"/>
                <w:szCs w:val="18"/>
              </w:rPr>
              <w:t>(一个专项一行)</w:t>
            </w:r>
          </w:p>
        </w:tc>
        <w:tc>
          <w:tcPr>
            <w:tcW w:w="2038" w:type="dxa"/>
            <w:gridSpan w:val="2"/>
            <w:vAlign w:val="center"/>
          </w:tcPr>
          <w:p w14:paraId="5B946057">
            <w:pPr>
              <w:pStyle w:val="20"/>
              <w:jc w:val="center"/>
              <w:rPr>
                <w:sz w:val="18"/>
                <w:szCs w:val="18"/>
              </w:rPr>
            </w:pPr>
          </w:p>
        </w:tc>
        <w:tc>
          <w:tcPr>
            <w:tcW w:w="2198" w:type="dxa"/>
            <w:gridSpan w:val="2"/>
            <w:vAlign w:val="center"/>
          </w:tcPr>
          <w:p w14:paraId="7CAB9DD9">
            <w:pPr>
              <w:pStyle w:val="20"/>
              <w:jc w:val="center"/>
              <w:rPr>
                <w:sz w:val="18"/>
                <w:szCs w:val="18"/>
              </w:rPr>
            </w:pPr>
          </w:p>
        </w:tc>
        <w:tc>
          <w:tcPr>
            <w:tcW w:w="1853" w:type="dxa"/>
            <w:gridSpan w:val="2"/>
            <w:vAlign w:val="center"/>
          </w:tcPr>
          <w:p w14:paraId="536AC30E">
            <w:pPr>
              <w:pStyle w:val="20"/>
              <w:jc w:val="center"/>
              <w:rPr>
                <w:sz w:val="18"/>
                <w:szCs w:val="18"/>
              </w:rPr>
            </w:pPr>
          </w:p>
        </w:tc>
      </w:tr>
      <w:tr w14:paraId="4A10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118" w:type="dxa"/>
            <w:vAlign w:val="top"/>
          </w:tcPr>
          <w:p w14:paraId="5557B2CB">
            <w:pPr>
              <w:spacing w:before="83" w:line="191" w:lineRule="auto"/>
              <w:jc w:val="left"/>
              <w:rPr>
                <w:rFonts w:ascii="宋体" w:hAnsi="宋体" w:eastAsia="宋体" w:cs="宋体"/>
                <w:spacing w:val="5"/>
                <w:sz w:val="18"/>
                <w:szCs w:val="18"/>
              </w:rPr>
            </w:pPr>
            <w:r>
              <w:rPr>
                <w:rFonts w:hint="eastAsia" w:ascii="宋体" w:hAnsi="宋体" w:eastAsia="宋体" w:cs="宋体"/>
                <w:spacing w:val="5"/>
                <w:sz w:val="18"/>
                <w:szCs w:val="18"/>
              </w:rPr>
              <w:t>医疗生育保险基金参保登记、医保关系转移、医保待遇支付待遇支付等工作经费</w:t>
            </w:r>
          </w:p>
        </w:tc>
        <w:tc>
          <w:tcPr>
            <w:tcW w:w="2038" w:type="dxa"/>
            <w:gridSpan w:val="2"/>
            <w:vAlign w:val="center"/>
          </w:tcPr>
          <w:p w14:paraId="1A039753">
            <w:pPr>
              <w:pStyle w:val="20"/>
              <w:jc w:val="center"/>
              <w:rPr>
                <w:sz w:val="18"/>
                <w:szCs w:val="18"/>
              </w:rPr>
            </w:pPr>
            <w:r>
              <w:rPr>
                <w:rFonts w:hint="eastAsia"/>
                <w:sz w:val="18"/>
                <w:szCs w:val="18"/>
              </w:rPr>
              <w:t>395201.80</w:t>
            </w:r>
          </w:p>
        </w:tc>
        <w:tc>
          <w:tcPr>
            <w:tcW w:w="2198" w:type="dxa"/>
            <w:gridSpan w:val="2"/>
            <w:vAlign w:val="center"/>
          </w:tcPr>
          <w:p w14:paraId="62B5119D">
            <w:pPr>
              <w:pStyle w:val="20"/>
              <w:jc w:val="center"/>
              <w:rPr>
                <w:rFonts w:hint="default" w:eastAsia="宋体"/>
                <w:sz w:val="18"/>
                <w:szCs w:val="18"/>
                <w:lang w:val="en-US" w:eastAsia="zh-CN"/>
              </w:rPr>
            </w:pPr>
            <w:r>
              <w:rPr>
                <w:rFonts w:hint="eastAsia" w:eastAsia="宋体"/>
                <w:sz w:val="18"/>
                <w:szCs w:val="18"/>
                <w:lang w:val="en-US" w:eastAsia="zh-CN"/>
              </w:rPr>
              <w:t>400000</w:t>
            </w:r>
          </w:p>
        </w:tc>
        <w:tc>
          <w:tcPr>
            <w:tcW w:w="1853" w:type="dxa"/>
            <w:gridSpan w:val="2"/>
            <w:vAlign w:val="center"/>
          </w:tcPr>
          <w:p w14:paraId="5829BA4F">
            <w:pPr>
              <w:pStyle w:val="20"/>
              <w:jc w:val="center"/>
              <w:rPr>
                <w:sz w:val="18"/>
                <w:szCs w:val="18"/>
              </w:rPr>
            </w:pPr>
            <w:r>
              <w:rPr>
                <w:rFonts w:hint="eastAsia"/>
                <w:sz w:val="18"/>
                <w:szCs w:val="18"/>
              </w:rPr>
              <w:t>395129</w:t>
            </w:r>
          </w:p>
        </w:tc>
      </w:tr>
      <w:tr w14:paraId="5D4D5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118" w:type="dxa"/>
            <w:vAlign w:val="top"/>
          </w:tcPr>
          <w:p w14:paraId="5B9DE9D4">
            <w:pPr>
              <w:spacing w:before="83" w:line="191" w:lineRule="auto"/>
              <w:rPr>
                <w:rFonts w:ascii="宋体" w:hAnsi="宋体" w:eastAsia="宋体" w:cs="宋体"/>
                <w:spacing w:val="5"/>
                <w:sz w:val="18"/>
                <w:szCs w:val="18"/>
              </w:rPr>
            </w:pPr>
            <w:r>
              <w:rPr>
                <w:rFonts w:hint="eastAsia" w:ascii="宋体" w:hAnsi="宋体" w:eastAsia="宋体" w:cs="宋体"/>
                <w:spacing w:val="5"/>
                <w:sz w:val="18"/>
                <w:szCs w:val="18"/>
              </w:rPr>
              <w:t>大病互助保险管理经费</w:t>
            </w:r>
          </w:p>
        </w:tc>
        <w:tc>
          <w:tcPr>
            <w:tcW w:w="2038" w:type="dxa"/>
            <w:gridSpan w:val="2"/>
            <w:vAlign w:val="center"/>
          </w:tcPr>
          <w:p w14:paraId="6E36DDD4">
            <w:pPr>
              <w:pStyle w:val="20"/>
              <w:jc w:val="center"/>
              <w:rPr>
                <w:rFonts w:hint="default" w:eastAsia="宋体"/>
                <w:sz w:val="18"/>
                <w:szCs w:val="18"/>
                <w:lang w:val="en-US" w:eastAsia="zh-CN"/>
              </w:rPr>
            </w:pPr>
            <w:r>
              <w:rPr>
                <w:rFonts w:hint="eastAsia" w:eastAsia="宋体"/>
                <w:sz w:val="18"/>
                <w:szCs w:val="18"/>
                <w:lang w:val="en-US" w:eastAsia="zh-CN"/>
              </w:rPr>
              <w:t>125000</w:t>
            </w:r>
          </w:p>
        </w:tc>
        <w:tc>
          <w:tcPr>
            <w:tcW w:w="2198" w:type="dxa"/>
            <w:gridSpan w:val="2"/>
            <w:vAlign w:val="center"/>
          </w:tcPr>
          <w:p w14:paraId="52E8E318">
            <w:pPr>
              <w:pStyle w:val="20"/>
              <w:jc w:val="center"/>
              <w:rPr>
                <w:rFonts w:hint="default" w:eastAsia="宋体"/>
                <w:sz w:val="18"/>
                <w:szCs w:val="18"/>
                <w:lang w:val="en-US" w:eastAsia="zh-CN"/>
              </w:rPr>
            </w:pPr>
            <w:r>
              <w:rPr>
                <w:rFonts w:hint="eastAsia" w:eastAsia="宋体"/>
                <w:sz w:val="18"/>
                <w:szCs w:val="18"/>
                <w:lang w:val="en-US" w:eastAsia="zh-CN"/>
              </w:rPr>
              <w:t>125000</w:t>
            </w:r>
          </w:p>
        </w:tc>
        <w:tc>
          <w:tcPr>
            <w:tcW w:w="1853" w:type="dxa"/>
            <w:gridSpan w:val="2"/>
            <w:vAlign w:val="center"/>
          </w:tcPr>
          <w:p w14:paraId="78AEED39">
            <w:pPr>
              <w:pStyle w:val="20"/>
              <w:jc w:val="center"/>
              <w:rPr>
                <w:rFonts w:hint="default" w:eastAsia="宋体"/>
                <w:sz w:val="18"/>
                <w:szCs w:val="18"/>
                <w:lang w:val="en-US" w:eastAsia="zh-CN"/>
              </w:rPr>
            </w:pPr>
            <w:r>
              <w:rPr>
                <w:rFonts w:hint="eastAsia" w:eastAsia="宋体"/>
                <w:sz w:val="18"/>
                <w:szCs w:val="18"/>
                <w:lang w:val="en-US" w:eastAsia="zh-CN"/>
              </w:rPr>
              <w:t>125000</w:t>
            </w:r>
          </w:p>
        </w:tc>
      </w:tr>
      <w:tr w14:paraId="6E2CF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118" w:type="dxa"/>
            <w:vAlign w:val="top"/>
          </w:tcPr>
          <w:p w14:paraId="647180DF">
            <w:pPr>
              <w:spacing w:before="83" w:line="191" w:lineRule="auto"/>
              <w:rPr>
                <w:rFonts w:ascii="宋体" w:hAnsi="宋体" w:eastAsia="宋体" w:cs="宋体"/>
                <w:spacing w:val="5"/>
                <w:sz w:val="18"/>
                <w:szCs w:val="18"/>
              </w:rPr>
            </w:pPr>
            <w:r>
              <w:rPr>
                <w:rFonts w:hint="eastAsia" w:ascii="宋体" w:hAnsi="宋体" w:eastAsia="宋体" w:cs="宋体"/>
                <w:spacing w:val="5"/>
                <w:sz w:val="18"/>
                <w:szCs w:val="18"/>
              </w:rPr>
              <w:t>医保信息系统维护</w:t>
            </w:r>
          </w:p>
        </w:tc>
        <w:tc>
          <w:tcPr>
            <w:tcW w:w="2038" w:type="dxa"/>
            <w:gridSpan w:val="2"/>
            <w:vAlign w:val="center"/>
          </w:tcPr>
          <w:p w14:paraId="3214857A">
            <w:pPr>
              <w:pStyle w:val="20"/>
              <w:jc w:val="center"/>
              <w:rPr>
                <w:rFonts w:hint="default" w:eastAsia="宋体"/>
                <w:sz w:val="18"/>
                <w:szCs w:val="18"/>
                <w:lang w:val="en-US" w:eastAsia="zh-CN"/>
              </w:rPr>
            </w:pPr>
            <w:r>
              <w:rPr>
                <w:rFonts w:hint="eastAsia" w:eastAsia="宋体"/>
                <w:sz w:val="18"/>
                <w:szCs w:val="18"/>
                <w:lang w:val="en-US" w:eastAsia="zh-CN"/>
              </w:rPr>
              <w:t>100000</w:t>
            </w:r>
          </w:p>
        </w:tc>
        <w:tc>
          <w:tcPr>
            <w:tcW w:w="2198" w:type="dxa"/>
            <w:gridSpan w:val="2"/>
            <w:vAlign w:val="center"/>
          </w:tcPr>
          <w:p w14:paraId="6227B277">
            <w:pPr>
              <w:pStyle w:val="20"/>
              <w:jc w:val="center"/>
              <w:rPr>
                <w:rFonts w:hint="default" w:eastAsia="宋体"/>
                <w:sz w:val="18"/>
                <w:szCs w:val="18"/>
                <w:lang w:val="en-US" w:eastAsia="zh-CN"/>
              </w:rPr>
            </w:pPr>
            <w:r>
              <w:rPr>
                <w:rFonts w:hint="eastAsia" w:eastAsia="宋体"/>
                <w:sz w:val="18"/>
                <w:szCs w:val="18"/>
                <w:lang w:val="en-US" w:eastAsia="zh-CN"/>
              </w:rPr>
              <w:t>100000</w:t>
            </w:r>
          </w:p>
        </w:tc>
        <w:tc>
          <w:tcPr>
            <w:tcW w:w="1853" w:type="dxa"/>
            <w:gridSpan w:val="2"/>
            <w:vAlign w:val="center"/>
          </w:tcPr>
          <w:p w14:paraId="760D743A">
            <w:pPr>
              <w:pStyle w:val="20"/>
              <w:jc w:val="center"/>
              <w:rPr>
                <w:rFonts w:hint="default" w:eastAsia="宋体"/>
                <w:sz w:val="18"/>
                <w:szCs w:val="18"/>
                <w:lang w:val="en-US" w:eastAsia="zh-CN"/>
              </w:rPr>
            </w:pPr>
            <w:r>
              <w:rPr>
                <w:rFonts w:hint="eastAsia" w:eastAsia="宋体"/>
                <w:sz w:val="18"/>
                <w:szCs w:val="18"/>
                <w:lang w:val="en-US" w:eastAsia="zh-CN"/>
              </w:rPr>
              <w:t>100000</w:t>
            </w:r>
          </w:p>
        </w:tc>
      </w:tr>
      <w:tr w14:paraId="65941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118" w:type="dxa"/>
            <w:vAlign w:val="top"/>
          </w:tcPr>
          <w:p w14:paraId="293312B6">
            <w:pPr>
              <w:spacing w:before="83" w:line="191" w:lineRule="auto"/>
              <w:rPr>
                <w:rFonts w:ascii="宋体" w:hAnsi="宋体" w:eastAsia="宋体" w:cs="宋体"/>
                <w:spacing w:val="5"/>
                <w:sz w:val="18"/>
                <w:szCs w:val="18"/>
              </w:rPr>
            </w:pPr>
            <w:r>
              <w:rPr>
                <w:rFonts w:hint="eastAsia" w:ascii="宋体" w:hAnsi="宋体" w:eastAsia="宋体" w:cs="宋体"/>
                <w:spacing w:val="5"/>
                <w:sz w:val="18"/>
                <w:szCs w:val="18"/>
              </w:rPr>
              <w:t>慢特病评审项目经费</w:t>
            </w:r>
          </w:p>
        </w:tc>
        <w:tc>
          <w:tcPr>
            <w:tcW w:w="2038" w:type="dxa"/>
            <w:gridSpan w:val="2"/>
            <w:vAlign w:val="center"/>
          </w:tcPr>
          <w:p w14:paraId="37794823">
            <w:pPr>
              <w:pStyle w:val="20"/>
              <w:jc w:val="center"/>
              <w:rPr>
                <w:rFonts w:hint="default" w:eastAsia="宋体"/>
                <w:sz w:val="18"/>
                <w:szCs w:val="18"/>
                <w:lang w:val="en-US" w:eastAsia="zh-CN"/>
              </w:rPr>
            </w:pPr>
            <w:r>
              <w:rPr>
                <w:rFonts w:hint="eastAsia" w:eastAsia="宋体"/>
                <w:sz w:val="18"/>
                <w:szCs w:val="18"/>
                <w:lang w:val="en-US" w:eastAsia="zh-CN"/>
              </w:rPr>
              <w:t>100000</w:t>
            </w:r>
          </w:p>
        </w:tc>
        <w:tc>
          <w:tcPr>
            <w:tcW w:w="2198" w:type="dxa"/>
            <w:gridSpan w:val="2"/>
            <w:vAlign w:val="center"/>
          </w:tcPr>
          <w:p w14:paraId="4309456D">
            <w:pPr>
              <w:pStyle w:val="20"/>
              <w:jc w:val="center"/>
              <w:rPr>
                <w:rFonts w:hint="default" w:eastAsia="宋体"/>
                <w:sz w:val="18"/>
                <w:szCs w:val="18"/>
                <w:lang w:val="en-US" w:eastAsia="zh-CN"/>
              </w:rPr>
            </w:pPr>
            <w:r>
              <w:rPr>
                <w:rFonts w:hint="eastAsia" w:eastAsia="宋体"/>
                <w:sz w:val="18"/>
                <w:szCs w:val="18"/>
                <w:lang w:val="en-US" w:eastAsia="zh-CN"/>
              </w:rPr>
              <w:t>100000</w:t>
            </w:r>
          </w:p>
        </w:tc>
        <w:tc>
          <w:tcPr>
            <w:tcW w:w="1853" w:type="dxa"/>
            <w:gridSpan w:val="2"/>
            <w:vAlign w:val="center"/>
          </w:tcPr>
          <w:p w14:paraId="54A7B5CC">
            <w:pPr>
              <w:pStyle w:val="20"/>
              <w:jc w:val="center"/>
              <w:rPr>
                <w:rFonts w:hint="default" w:eastAsia="宋体"/>
                <w:sz w:val="18"/>
                <w:szCs w:val="18"/>
                <w:lang w:val="en-US" w:eastAsia="zh-CN"/>
              </w:rPr>
            </w:pPr>
            <w:r>
              <w:rPr>
                <w:rFonts w:hint="eastAsia" w:eastAsia="宋体"/>
                <w:sz w:val="18"/>
                <w:szCs w:val="18"/>
                <w:lang w:val="en-US" w:eastAsia="zh-CN"/>
              </w:rPr>
              <w:t>100000</w:t>
            </w:r>
          </w:p>
        </w:tc>
      </w:tr>
      <w:tr w14:paraId="39C40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3118" w:type="dxa"/>
            <w:vAlign w:val="top"/>
          </w:tcPr>
          <w:p w14:paraId="67CE1AB5">
            <w:pPr>
              <w:spacing w:before="83" w:line="191" w:lineRule="auto"/>
              <w:rPr>
                <w:rFonts w:ascii="宋体" w:hAnsi="宋体" w:eastAsia="宋体" w:cs="宋体"/>
                <w:spacing w:val="5"/>
                <w:sz w:val="18"/>
                <w:szCs w:val="18"/>
              </w:rPr>
            </w:pPr>
            <w:r>
              <w:rPr>
                <w:rFonts w:hint="eastAsia" w:ascii="宋体" w:hAnsi="宋体" w:eastAsia="宋体" w:cs="宋体"/>
                <w:spacing w:val="5"/>
                <w:sz w:val="18"/>
                <w:szCs w:val="18"/>
              </w:rPr>
              <w:t>医疗服务与保障能力提升</w:t>
            </w:r>
          </w:p>
        </w:tc>
        <w:tc>
          <w:tcPr>
            <w:tcW w:w="2038" w:type="dxa"/>
            <w:gridSpan w:val="2"/>
            <w:vAlign w:val="center"/>
          </w:tcPr>
          <w:p w14:paraId="56BAFE88">
            <w:pPr>
              <w:pStyle w:val="20"/>
              <w:jc w:val="center"/>
              <w:rPr>
                <w:rFonts w:hint="default" w:eastAsia="宋体"/>
                <w:sz w:val="18"/>
                <w:szCs w:val="18"/>
                <w:lang w:val="en-US" w:eastAsia="zh-CN"/>
              </w:rPr>
            </w:pPr>
            <w:r>
              <w:rPr>
                <w:rFonts w:hint="eastAsia" w:eastAsia="宋体"/>
                <w:sz w:val="18"/>
                <w:szCs w:val="18"/>
                <w:lang w:val="en-US" w:eastAsia="zh-CN"/>
              </w:rPr>
              <w:t>750000</w:t>
            </w:r>
          </w:p>
        </w:tc>
        <w:tc>
          <w:tcPr>
            <w:tcW w:w="2198" w:type="dxa"/>
            <w:gridSpan w:val="2"/>
            <w:vAlign w:val="center"/>
          </w:tcPr>
          <w:p w14:paraId="18B161D5">
            <w:pPr>
              <w:pStyle w:val="20"/>
              <w:jc w:val="center"/>
              <w:rPr>
                <w:sz w:val="18"/>
                <w:szCs w:val="18"/>
              </w:rPr>
            </w:pPr>
          </w:p>
        </w:tc>
        <w:tc>
          <w:tcPr>
            <w:tcW w:w="1853" w:type="dxa"/>
            <w:gridSpan w:val="2"/>
            <w:vAlign w:val="center"/>
          </w:tcPr>
          <w:p w14:paraId="2E5FEC6E">
            <w:pPr>
              <w:pStyle w:val="20"/>
              <w:jc w:val="center"/>
              <w:rPr>
                <w:rFonts w:hint="default" w:eastAsia="宋体"/>
                <w:sz w:val="18"/>
                <w:szCs w:val="18"/>
                <w:lang w:val="en-US" w:eastAsia="zh-CN"/>
              </w:rPr>
            </w:pPr>
            <w:r>
              <w:rPr>
                <w:rFonts w:hint="eastAsia" w:eastAsia="宋体"/>
                <w:sz w:val="18"/>
                <w:szCs w:val="18"/>
                <w:lang w:val="en-US" w:eastAsia="zh-CN"/>
              </w:rPr>
              <w:t>800000</w:t>
            </w:r>
          </w:p>
        </w:tc>
      </w:tr>
      <w:tr w14:paraId="6B974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18" w:type="dxa"/>
            <w:vAlign w:val="top"/>
          </w:tcPr>
          <w:p w14:paraId="3FF2E9BB">
            <w:pPr>
              <w:spacing w:before="103" w:line="219" w:lineRule="auto"/>
              <w:ind w:left="624"/>
              <w:rPr>
                <w:rFonts w:ascii="宋体" w:hAnsi="宋体" w:eastAsia="宋体" w:cs="宋体"/>
                <w:sz w:val="18"/>
                <w:szCs w:val="18"/>
              </w:rPr>
            </w:pPr>
            <w:r>
              <w:rPr>
                <w:rFonts w:ascii="宋体" w:hAnsi="宋体" w:eastAsia="宋体" w:cs="宋体"/>
                <w:spacing w:val="-1"/>
                <w:sz w:val="18"/>
                <w:szCs w:val="18"/>
              </w:rPr>
              <w:t>4、其他事业类发展资金</w:t>
            </w:r>
          </w:p>
        </w:tc>
        <w:tc>
          <w:tcPr>
            <w:tcW w:w="2038" w:type="dxa"/>
            <w:gridSpan w:val="2"/>
            <w:vAlign w:val="center"/>
          </w:tcPr>
          <w:p w14:paraId="5F1154C0">
            <w:pPr>
              <w:pStyle w:val="20"/>
              <w:jc w:val="center"/>
              <w:rPr>
                <w:sz w:val="18"/>
                <w:szCs w:val="18"/>
              </w:rPr>
            </w:pPr>
          </w:p>
        </w:tc>
        <w:tc>
          <w:tcPr>
            <w:tcW w:w="2198" w:type="dxa"/>
            <w:gridSpan w:val="2"/>
            <w:vAlign w:val="center"/>
          </w:tcPr>
          <w:p w14:paraId="773D419F">
            <w:pPr>
              <w:pStyle w:val="20"/>
              <w:jc w:val="center"/>
              <w:rPr>
                <w:sz w:val="18"/>
                <w:szCs w:val="18"/>
              </w:rPr>
            </w:pPr>
          </w:p>
        </w:tc>
        <w:tc>
          <w:tcPr>
            <w:tcW w:w="1853" w:type="dxa"/>
            <w:gridSpan w:val="2"/>
            <w:vAlign w:val="center"/>
          </w:tcPr>
          <w:p w14:paraId="70ECF6B4">
            <w:pPr>
              <w:pStyle w:val="20"/>
              <w:jc w:val="center"/>
              <w:rPr>
                <w:sz w:val="18"/>
                <w:szCs w:val="18"/>
              </w:rPr>
            </w:pPr>
          </w:p>
        </w:tc>
      </w:tr>
      <w:tr w14:paraId="503AB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18" w:type="dxa"/>
            <w:vAlign w:val="top"/>
          </w:tcPr>
          <w:p w14:paraId="32A2D39A">
            <w:pPr>
              <w:spacing w:before="105" w:line="220" w:lineRule="auto"/>
              <w:ind w:left="114"/>
              <w:rPr>
                <w:rFonts w:ascii="宋体" w:hAnsi="宋体" w:eastAsia="宋体" w:cs="宋体"/>
                <w:sz w:val="18"/>
                <w:szCs w:val="18"/>
              </w:rPr>
            </w:pPr>
            <w:r>
              <w:rPr>
                <w:rFonts w:ascii="宋体" w:hAnsi="宋体" w:eastAsia="宋体" w:cs="宋体"/>
                <w:spacing w:val="3"/>
                <w:sz w:val="18"/>
                <w:szCs w:val="18"/>
              </w:rPr>
              <w:t>公用经费</w:t>
            </w:r>
          </w:p>
        </w:tc>
        <w:tc>
          <w:tcPr>
            <w:tcW w:w="2038" w:type="dxa"/>
            <w:gridSpan w:val="2"/>
            <w:vAlign w:val="center"/>
          </w:tcPr>
          <w:p w14:paraId="5D4FD758">
            <w:pPr>
              <w:pStyle w:val="20"/>
              <w:jc w:val="center"/>
              <w:rPr>
                <w:sz w:val="18"/>
                <w:szCs w:val="18"/>
              </w:rPr>
            </w:pPr>
            <w:r>
              <w:rPr>
                <w:rFonts w:hint="default" w:ascii="Times New Roman" w:hAnsi="Times New Roman" w:eastAsia="仿宋_GB2312" w:cs="Times New Roman"/>
                <w:color w:val="000000"/>
                <w:w w:val="100"/>
                <w:kern w:val="0"/>
                <w:sz w:val="18"/>
                <w:szCs w:val="18"/>
              </w:rPr>
              <w:t>628945.42</w:t>
            </w:r>
          </w:p>
        </w:tc>
        <w:tc>
          <w:tcPr>
            <w:tcW w:w="2198" w:type="dxa"/>
            <w:gridSpan w:val="2"/>
            <w:vAlign w:val="center"/>
          </w:tcPr>
          <w:p w14:paraId="59F36ECA">
            <w:pPr>
              <w:pStyle w:val="20"/>
              <w:jc w:val="center"/>
              <w:rPr>
                <w:sz w:val="18"/>
                <w:szCs w:val="18"/>
              </w:rPr>
            </w:pPr>
          </w:p>
        </w:tc>
        <w:tc>
          <w:tcPr>
            <w:tcW w:w="1853" w:type="dxa"/>
            <w:gridSpan w:val="2"/>
            <w:vAlign w:val="center"/>
          </w:tcPr>
          <w:p w14:paraId="2978DF71">
            <w:pPr>
              <w:pStyle w:val="20"/>
              <w:jc w:val="center"/>
              <w:rPr>
                <w:sz w:val="18"/>
                <w:szCs w:val="18"/>
              </w:rPr>
            </w:pPr>
            <w:r>
              <w:rPr>
                <w:rFonts w:hint="eastAsia"/>
                <w:sz w:val="18"/>
                <w:szCs w:val="18"/>
              </w:rPr>
              <w:t>467902.92</w:t>
            </w:r>
          </w:p>
        </w:tc>
      </w:tr>
      <w:tr w14:paraId="14E1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18" w:type="dxa"/>
            <w:vAlign w:val="top"/>
          </w:tcPr>
          <w:p w14:paraId="7DBA7382">
            <w:pPr>
              <w:spacing w:before="105" w:line="219" w:lineRule="auto"/>
              <w:ind w:left="515"/>
              <w:rPr>
                <w:rFonts w:ascii="宋体" w:hAnsi="宋体" w:eastAsia="宋体" w:cs="宋体"/>
                <w:sz w:val="18"/>
                <w:szCs w:val="18"/>
              </w:rPr>
            </w:pPr>
            <w:r>
              <w:rPr>
                <w:rFonts w:ascii="宋体" w:hAnsi="宋体" w:eastAsia="宋体" w:cs="宋体"/>
                <w:spacing w:val="2"/>
                <w:sz w:val="18"/>
                <w:szCs w:val="18"/>
              </w:rPr>
              <w:t>其中：办公费</w:t>
            </w:r>
          </w:p>
        </w:tc>
        <w:tc>
          <w:tcPr>
            <w:tcW w:w="2038" w:type="dxa"/>
            <w:gridSpan w:val="2"/>
            <w:vAlign w:val="center"/>
          </w:tcPr>
          <w:p w14:paraId="363A5BDC">
            <w:pPr>
              <w:pStyle w:val="20"/>
              <w:jc w:val="center"/>
              <w:rPr>
                <w:sz w:val="18"/>
                <w:szCs w:val="18"/>
              </w:rPr>
            </w:pPr>
            <w:r>
              <w:rPr>
                <w:rFonts w:hint="default" w:ascii="Times New Roman" w:hAnsi="Times New Roman" w:eastAsia="仿宋_GB2312" w:cs="Times New Roman"/>
                <w:color w:val="000000"/>
                <w:w w:val="100"/>
                <w:kern w:val="0"/>
                <w:sz w:val="18"/>
                <w:szCs w:val="18"/>
              </w:rPr>
              <w:t>60084.95</w:t>
            </w:r>
          </w:p>
        </w:tc>
        <w:tc>
          <w:tcPr>
            <w:tcW w:w="2198" w:type="dxa"/>
            <w:gridSpan w:val="2"/>
            <w:vAlign w:val="center"/>
          </w:tcPr>
          <w:p w14:paraId="3C4F4290">
            <w:pPr>
              <w:pStyle w:val="20"/>
              <w:jc w:val="center"/>
              <w:rPr>
                <w:sz w:val="18"/>
                <w:szCs w:val="18"/>
              </w:rPr>
            </w:pPr>
          </w:p>
        </w:tc>
        <w:tc>
          <w:tcPr>
            <w:tcW w:w="1853" w:type="dxa"/>
            <w:gridSpan w:val="2"/>
            <w:vAlign w:val="center"/>
          </w:tcPr>
          <w:p w14:paraId="28BD8325">
            <w:pPr>
              <w:pStyle w:val="20"/>
              <w:jc w:val="center"/>
              <w:rPr>
                <w:rFonts w:hint="default" w:eastAsia="宋体"/>
                <w:sz w:val="18"/>
                <w:szCs w:val="18"/>
                <w:lang w:val="en-US" w:eastAsia="zh-CN"/>
              </w:rPr>
            </w:pPr>
            <w:r>
              <w:rPr>
                <w:rFonts w:hint="eastAsia" w:eastAsia="宋体"/>
                <w:sz w:val="18"/>
                <w:szCs w:val="18"/>
                <w:lang w:val="en-US" w:eastAsia="zh-CN"/>
              </w:rPr>
              <w:t>11847.14</w:t>
            </w:r>
          </w:p>
        </w:tc>
      </w:tr>
      <w:tr w14:paraId="3DDA9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118" w:type="dxa"/>
            <w:vAlign w:val="top"/>
          </w:tcPr>
          <w:p w14:paraId="47EDEEFF">
            <w:pPr>
              <w:spacing w:before="105" w:line="219" w:lineRule="auto"/>
              <w:ind w:firstLine="910" w:firstLineChars="500"/>
              <w:rPr>
                <w:rFonts w:ascii="宋体" w:hAnsi="宋体" w:eastAsia="宋体" w:cs="宋体"/>
                <w:sz w:val="18"/>
                <w:szCs w:val="18"/>
              </w:rPr>
            </w:pPr>
            <w:r>
              <w:rPr>
                <w:rFonts w:ascii="宋体" w:hAnsi="宋体" w:eastAsia="宋体" w:cs="宋体"/>
                <w:spacing w:val="1"/>
                <w:sz w:val="18"/>
                <w:szCs w:val="18"/>
              </w:rPr>
              <w:t>水费、电费、差旅费</w:t>
            </w:r>
          </w:p>
        </w:tc>
        <w:tc>
          <w:tcPr>
            <w:tcW w:w="2038" w:type="dxa"/>
            <w:gridSpan w:val="2"/>
            <w:vAlign w:val="center"/>
          </w:tcPr>
          <w:p w14:paraId="68EFFA9E">
            <w:pPr>
              <w:pStyle w:val="20"/>
              <w:jc w:val="center"/>
              <w:rPr>
                <w:sz w:val="18"/>
                <w:szCs w:val="18"/>
              </w:rPr>
            </w:pPr>
            <w:r>
              <w:rPr>
                <w:rFonts w:hint="default" w:ascii="Times New Roman" w:hAnsi="Times New Roman" w:eastAsia="仿宋_GB2312" w:cs="Times New Roman"/>
                <w:color w:val="000000"/>
                <w:w w:val="100"/>
                <w:kern w:val="0"/>
                <w:sz w:val="18"/>
                <w:szCs w:val="18"/>
              </w:rPr>
              <w:t>5760.47</w:t>
            </w:r>
          </w:p>
        </w:tc>
        <w:tc>
          <w:tcPr>
            <w:tcW w:w="2198" w:type="dxa"/>
            <w:gridSpan w:val="2"/>
            <w:vAlign w:val="center"/>
          </w:tcPr>
          <w:p w14:paraId="7FB96E6A">
            <w:pPr>
              <w:pStyle w:val="20"/>
              <w:jc w:val="center"/>
              <w:rPr>
                <w:sz w:val="18"/>
                <w:szCs w:val="18"/>
              </w:rPr>
            </w:pPr>
          </w:p>
        </w:tc>
        <w:tc>
          <w:tcPr>
            <w:tcW w:w="1853" w:type="dxa"/>
            <w:gridSpan w:val="2"/>
            <w:vAlign w:val="center"/>
          </w:tcPr>
          <w:p w14:paraId="05CCBF11">
            <w:pPr>
              <w:pStyle w:val="20"/>
              <w:jc w:val="center"/>
              <w:rPr>
                <w:rFonts w:hint="default" w:eastAsia="宋体"/>
                <w:sz w:val="18"/>
                <w:szCs w:val="18"/>
                <w:lang w:val="en-US" w:eastAsia="zh-CN"/>
              </w:rPr>
            </w:pPr>
            <w:r>
              <w:rPr>
                <w:rFonts w:hint="eastAsia" w:eastAsia="宋体"/>
                <w:sz w:val="18"/>
                <w:szCs w:val="18"/>
                <w:lang w:val="en-US" w:eastAsia="zh-CN"/>
              </w:rPr>
              <w:t>3780</w:t>
            </w:r>
          </w:p>
        </w:tc>
      </w:tr>
      <w:tr w14:paraId="763D6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118" w:type="dxa"/>
            <w:vAlign w:val="top"/>
          </w:tcPr>
          <w:p w14:paraId="12DAC0D9">
            <w:pPr>
              <w:spacing w:before="74" w:line="219" w:lineRule="auto"/>
              <w:ind w:left="974"/>
              <w:rPr>
                <w:rFonts w:ascii="宋体" w:hAnsi="宋体" w:eastAsia="宋体" w:cs="宋体"/>
                <w:sz w:val="18"/>
                <w:szCs w:val="18"/>
              </w:rPr>
            </w:pPr>
            <w:r>
              <w:rPr>
                <w:rFonts w:ascii="宋体" w:hAnsi="宋体" w:eastAsia="宋体" w:cs="宋体"/>
                <w:spacing w:val="-1"/>
                <w:sz w:val="18"/>
                <w:szCs w:val="18"/>
              </w:rPr>
              <w:t>会议费、培训费</w:t>
            </w:r>
          </w:p>
        </w:tc>
        <w:tc>
          <w:tcPr>
            <w:tcW w:w="2038" w:type="dxa"/>
            <w:gridSpan w:val="2"/>
            <w:vAlign w:val="center"/>
          </w:tcPr>
          <w:p w14:paraId="39C46967">
            <w:pPr>
              <w:pStyle w:val="20"/>
              <w:jc w:val="center"/>
              <w:rPr>
                <w:sz w:val="18"/>
                <w:szCs w:val="18"/>
              </w:rPr>
            </w:pPr>
          </w:p>
        </w:tc>
        <w:tc>
          <w:tcPr>
            <w:tcW w:w="2198" w:type="dxa"/>
            <w:gridSpan w:val="2"/>
            <w:vAlign w:val="center"/>
          </w:tcPr>
          <w:p w14:paraId="589FDC44">
            <w:pPr>
              <w:pStyle w:val="20"/>
              <w:jc w:val="center"/>
              <w:rPr>
                <w:sz w:val="18"/>
                <w:szCs w:val="18"/>
              </w:rPr>
            </w:pPr>
          </w:p>
        </w:tc>
        <w:tc>
          <w:tcPr>
            <w:tcW w:w="1853" w:type="dxa"/>
            <w:gridSpan w:val="2"/>
            <w:vAlign w:val="center"/>
          </w:tcPr>
          <w:p w14:paraId="0134A906">
            <w:pPr>
              <w:pStyle w:val="20"/>
              <w:jc w:val="center"/>
              <w:rPr>
                <w:sz w:val="18"/>
                <w:szCs w:val="18"/>
              </w:rPr>
            </w:pPr>
          </w:p>
        </w:tc>
      </w:tr>
      <w:tr w14:paraId="37417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118" w:type="dxa"/>
            <w:vAlign w:val="top"/>
          </w:tcPr>
          <w:p w14:paraId="23791D0C">
            <w:pPr>
              <w:spacing w:before="104" w:line="219" w:lineRule="auto"/>
              <w:ind w:left="114"/>
              <w:rPr>
                <w:rFonts w:ascii="宋体" w:hAnsi="宋体" w:eastAsia="宋体" w:cs="宋体"/>
                <w:sz w:val="18"/>
                <w:szCs w:val="18"/>
              </w:rPr>
            </w:pPr>
            <w:r>
              <w:rPr>
                <w:rFonts w:ascii="宋体" w:hAnsi="宋体" w:eastAsia="宋体" w:cs="宋体"/>
                <w:spacing w:val="-1"/>
                <w:sz w:val="18"/>
                <w:szCs w:val="18"/>
              </w:rPr>
              <w:t>政府采购金额</w:t>
            </w:r>
          </w:p>
        </w:tc>
        <w:tc>
          <w:tcPr>
            <w:tcW w:w="2038" w:type="dxa"/>
            <w:gridSpan w:val="2"/>
            <w:vAlign w:val="center"/>
          </w:tcPr>
          <w:p w14:paraId="1EC0B529">
            <w:pPr>
              <w:spacing w:before="203" w:line="41" w:lineRule="exact"/>
              <w:jc w:val="center"/>
              <w:rPr>
                <w:rFonts w:ascii="宋体" w:hAnsi="宋体" w:eastAsia="宋体" w:cs="宋体"/>
                <w:sz w:val="18"/>
                <w:szCs w:val="18"/>
              </w:rPr>
            </w:pPr>
            <w:r>
              <w:rPr>
                <w:rFonts w:hint="default" w:ascii="Times New Roman" w:hAnsi="Times New Roman" w:eastAsia="仿宋_GB2312" w:cs="Times New Roman"/>
                <w:color w:val="000000"/>
                <w:w w:val="100"/>
                <w:kern w:val="0"/>
                <w:sz w:val="18"/>
                <w:szCs w:val="18"/>
              </w:rPr>
              <w:t>17999.00</w:t>
            </w:r>
          </w:p>
        </w:tc>
        <w:tc>
          <w:tcPr>
            <w:tcW w:w="2198" w:type="dxa"/>
            <w:gridSpan w:val="2"/>
            <w:vAlign w:val="center"/>
          </w:tcPr>
          <w:p w14:paraId="415BB242">
            <w:pPr>
              <w:pStyle w:val="20"/>
              <w:jc w:val="center"/>
              <w:rPr>
                <w:sz w:val="18"/>
                <w:szCs w:val="18"/>
              </w:rPr>
            </w:pPr>
          </w:p>
        </w:tc>
        <w:tc>
          <w:tcPr>
            <w:tcW w:w="1853" w:type="dxa"/>
            <w:gridSpan w:val="2"/>
            <w:vAlign w:val="center"/>
          </w:tcPr>
          <w:p w14:paraId="546546FA">
            <w:pPr>
              <w:pStyle w:val="20"/>
              <w:jc w:val="center"/>
              <w:rPr>
                <w:rFonts w:hint="default" w:eastAsia="宋体"/>
                <w:sz w:val="18"/>
                <w:szCs w:val="18"/>
                <w:lang w:val="en-US" w:eastAsia="zh-CN"/>
              </w:rPr>
            </w:pPr>
            <w:r>
              <w:rPr>
                <w:rFonts w:hint="eastAsia" w:eastAsia="宋体"/>
                <w:sz w:val="18"/>
                <w:szCs w:val="18"/>
                <w:lang w:val="en-US" w:eastAsia="zh-CN"/>
              </w:rPr>
              <w:t>98942.85</w:t>
            </w:r>
          </w:p>
        </w:tc>
      </w:tr>
      <w:tr w14:paraId="3E832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118" w:type="dxa"/>
            <w:vAlign w:val="top"/>
          </w:tcPr>
          <w:p w14:paraId="572BB1C7">
            <w:pPr>
              <w:spacing w:before="115" w:line="219" w:lineRule="auto"/>
              <w:ind w:left="114"/>
              <w:rPr>
                <w:rFonts w:ascii="宋体" w:hAnsi="宋体" w:eastAsia="宋体" w:cs="宋体"/>
                <w:sz w:val="18"/>
                <w:szCs w:val="18"/>
              </w:rPr>
            </w:pPr>
            <w:r>
              <w:rPr>
                <w:rFonts w:ascii="宋体" w:hAnsi="宋体" w:eastAsia="宋体" w:cs="宋体"/>
                <w:spacing w:val="1"/>
                <w:sz w:val="18"/>
                <w:szCs w:val="18"/>
              </w:rPr>
              <w:t>部门基本支出预算调整</w:t>
            </w:r>
          </w:p>
        </w:tc>
        <w:tc>
          <w:tcPr>
            <w:tcW w:w="2038" w:type="dxa"/>
            <w:gridSpan w:val="2"/>
            <w:vAlign w:val="center"/>
          </w:tcPr>
          <w:p w14:paraId="51DF5474">
            <w:pPr>
              <w:pStyle w:val="20"/>
              <w:jc w:val="center"/>
              <w:rPr>
                <w:sz w:val="18"/>
                <w:szCs w:val="18"/>
              </w:rPr>
            </w:pPr>
          </w:p>
        </w:tc>
        <w:tc>
          <w:tcPr>
            <w:tcW w:w="2198" w:type="dxa"/>
            <w:gridSpan w:val="2"/>
            <w:vAlign w:val="center"/>
          </w:tcPr>
          <w:p w14:paraId="1FC3E48B">
            <w:pPr>
              <w:pStyle w:val="20"/>
              <w:jc w:val="center"/>
              <w:rPr>
                <w:sz w:val="18"/>
                <w:szCs w:val="18"/>
              </w:rPr>
            </w:pPr>
          </w:p>
        </w:tc>
        <w:tc>
          <w:tcPr>
            <w:tcW w:w="1853" w:type="dxa"/>
            <w:gridSpan w:val="2"/>
            <w:vAlign w:val="center"/>
          </w:tcPr>
          <w:p w14:paraId="090125C6">
            <w:pPr>
              <w:pStyle w:val="20"/>
              <w:jc w:val="center"/>
              <w:rPr>
                <w:sz w:val="18"/>
                <w:szCs w:val="18"/>
              </w:rPr>
            </w:pPr>
          </w:p>
        </w:tc>
      </w:tr>
      <w:tr w14:paraId="230A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3118" w:type="dxa"/>
            <w:vMerge w:val="restart"/>
            <w:tcBorders>
              <w:bottom w:val="nil"/>
            </w:tcBorders>
            <w:vAlign w:val="top"/>
          </w:tcPr>
          <w:p w14:paraId="08BD6427">
            <w:pPr>
              <w:pStyle w:val="20"/>
              <w:spacing w:line="290" w:lineRule="auto"/>
              <w:rPr>
                <w:sz w:val="18"/>
                <w:szCs w:val="18"/>
              </w:rPr>
            </w:pPr>
          </w:p>
          <w:p w14:paraId="13EC7FD6">
            <w:pPr>
              <w:spacing w:before="65" w:line="219" w:lineRule="auto"/>
              <w:ind w:left="875"/>
              <w:rPr>
                <w:rFonts w:ascii="宋体" w:hAnsi="宋体" w:eastAsia="宋体" w:cs="宋体"/>
                <w:sz w:val="18"/>
                <w:szCs w:val="18"/>
              </w:rPr>
            </w:pPr>
            <w:r>
              <w:rPr>
                <w:rFonts w:ascii="宋体" w:hAnsi="宋体" w:eastAsia="宋体" w:cs="宋体"/>
                <w:spacing w:val="-1"/>
                <w:sz w:val="18"/>
                <w:szCs w:val="18"/>
              </w:rPr>
              <w:t>楼堂馆所控制情况</w:t>
            </w:r>
          </w:p>
          <w:p w14:paraId="5AA9D6AA">
            <w:pPr>
              <w:spacing w:before="62" w:line="219" w:lineRule="auto"/>
              <w:ind w:left="875"/>
              <w:rPr>
                <w:rFonts w:ascii="宋体" w:hAnsi="宋体" w:eastAsia="宋体" w:cs="宋体"/>
                <w:sz w:val="18"/>
                <w:szCs w:val="18"/>
              </w:rPr>
            </w:pPr>
            <w:r>
              <w:rPr>
                <w:rFonts w:ascii="宋体" w:hAnsi="宋体" w:eastAsia="宋体" w:cs="宋体"/>
                <w:spacing w:val="3"/>
                <w:sz w:val="18"/>
                <w:szCs w:val="18"/>
              </w:rPr>
              <w:t>(2024年完工情况)</w:t>
            </w:r>
          </w:p>
        </w:tc>
        <w:tc>
          <w:tcPr>
            <w:tcW w:w="1179" w:type="dxa"/>
            <w:vAlign w:val="top"/>
          </w:tcPr>
          <w:p w14:paraId="1FFFCE73">
            <w:pPr>
              <w:spacing w:before="207" w:line="219" w:lineRule="auto"/>
              <w:ind w:left="184"/>
              <w:rPr>
                <w:rFonts w:ascii="宋体" w:hAnsi="宋体" w:eastAsia="宋体" w:cs="宋体"/>
                <w:sz w:val="18"/>
                <w:szCs w:val="18"/>
              </w:rPr>
            </w:pPr>
            <w:r>
              <w:rPr>
                <w:rFonts w:ascii="宋体" w:hAnsi="宋体" w:eastAsia="宋体" w:cs="宋体"/>
                <w:spacing w:val="-2"/>
                <w:sz w:val="18"/>
                <w:szCs w:val="18"/>
              </w:rPr>
              <w:t>批复规模</w:t>
            </w:r>
          </w:p>
          <w:p w14:paraId="324D1279">
            <w:pPr>
              <w:spacing w:before="15" w:line="222" w:lineRule="auto"/>
              <w:ind w:left="333"/>
              <w:rPr>
                <w:rFonts w:ascii="宋体" w:hAnsi="宋体" w:eastAsia="宋体" w:cs="宋体"/>
                <w:sz w:val="18"/>
                <w:szCs w:val="18"/>
              </w:rPr>
            </w:pPr>
            <w:r>
              <w:rPr>
                <w:rFonts w:ascii="宋体" w:hAnsi="宋体" w:eastAsia="宋体" w:cs="宋体"/>
                <w:spacing w:val="-9"/>
                <w:sz w:val="18"/>
                <w:szCs w:val="18"/>
              </w:rPr>
              <w:t>(m²)</w:t>
            </w:r>
          </w:p>
        </w:tc>
        <w:tc>
          <w:tcPr>
            <w:tcW w:w="859" w:type="dxa"/>
            <w:vAlign w:val="top"/>
          </w:tcPr>
          <w:p w14:paraId="287B4798">
            <w:pPr>
              <w:spacing w:before="207" w:line="223" w:lineRule="auto"/>
              <w:ind w:left="74" w:right="30" w:firstLine="50"/>
              <w:rPr>
                <w:rFonts w:ascii="宋体" w:hAnsi="宋体" w:eastAsia="宋体" w:cs="宋体"/>
                <w:sz w:val="18"/>
                <w:szCs w:val="18"/>
              </w:rPr>
            </w:pPr>
            <w:r>
              <w:rPr>
                <w:rFonts w:ascii="宋体" w:hAnsi="宋体" w:eastAsia="宋体" w:cs="宋体"/>
                <w:spacing w:val="2"/>
                <w:sz w:val="18"/>
                <w:szCs w:val="18"/>
              </w:rPr>
              <w:t>实际规</w:t>
            </w:r>
            <w:r>
              <w:rPr>
                <w:rFonts w:ascii="宋体" w:hAnsi="宋体" w:eastAsia="宋体" w:cs="宋体"/>
                <w:spacing w:val="28"/>
                <w:sz w:val="18"/>
                <w:szCs w:val="18"/>
              </w:rPr>
              <w:t>模(m²)</w:t>
            </w:r>
          </w:p>
        </w:tc>
        <w:tc>
          <w:tcPr>
            <w:tcW w:w="1109" w:type="dxa"/>
            <w:vAlign w:val="top"/>
          </w:tcPr>
          <w:p w14:paraId="1AD0C015">
            <w:pPr>
              <w:spacing w:before="206" w:line="224" w:lineRule="auto"/>
              <w:ind w:left="444" w:right="135" w:hanging="299"/>
              <w:rPr>
                <w:rFonts w:ascii="宋体" w:hAnsi="宋体" w:eastAsia="宋体" w:cs="宋体"/>
                <w:sz w:val="18"/>
                <w:szCs w:val="18"/>
              </w:rPr>
            </w:pPr>
            <w:r>
              <w:rPr>
                <w:rFonts w:ascii="宋体" w:hAnsi="宋体" w:eastAsia="宋体" w:cs="宋体"/>
                <w:spacing w:val="4"/>
                <w:sz w:val="18"/>
                <w:szCs w:val="18"/>
              </w:rPr>
              <w:t>规模控制</w:t>
            </w:r>
            <w:r>
              <w:rPr>
                <w:rFonts w:ascii="宋体" w:hAnsi="宋体" w:eastAsia="宋体" w:cs="宋体"/>
                <w:sz w:val="18"/>
                <w:szCs w:val="18"/>
              </w:rPr>
              <w:t>率</w:t>
            </w:r>
          </w:p>
        </w:tc>
        <w:tc>
          <w:tcPr>
            <w:tcW w:w="1089" w:type="dxa"/>
            <w:vAlign w:val="top"/>
          </w:tcPr>
          <w:p w14:paraId="5D9D36D7">
            <w:pPr>
              <w:spacing w:before="197" w:line="219" w:lineRule="auto"/>
              <w:ind w:left="136"/>
              <w:rPr>
                <w:rFonts w:ascii="宋体" w:hAnsi="宋体" w:eastAsia="宋体" w:cs="宋体"/>
                <w:sz w:val="18"/>
                <w:szCs w:val="18"/>
              </w:rPr>
            </w:pPr>
            <w:r>
              <w:rPr>
                <w:rFonts w:ascii="宋体" w:hAnsi="宋体" w:eastAsia="宋体" w:cs="宋体"/>
                <w:spacing w:val="3"/>
                <w:sz w:val="18"/>
                <w:szCs w:val="18"/>
              </w:rPr>
              <w:t>预算投资</w:t>
            </w:r>
          </w:p>
          <w:p w14:paraId="1008A603">
            <w:pPr>
              <w:spacing w:before="13" w:line="220" w:lineRule="auto"/>
              <w:ind w:left="237"/>
              <w:rPr>
                <w:rFonts w:ascii="宋体" w:hAnsi="宋体" w:eastAsia="宋体" w:cs="宋体"/>
                <w:sz w:val="18"/>
                <w:szCs w:val="18"/>
              </w:rPr>
            </w:pPr>
            <w:r>
              <w:rPr>
                <w:rFonts w:ascii="宋体" w:hAnsi="宋体" w:eastAsia="宋体" w:cs="宋体"/>
                <w:spacing w:val="10"/>
                <w:sz w:val="18"/>
                <w:szCs w:val="18"/>
              </w:rPr>
              <w:t>(万元)</w:t>
            </w:r>
          </w:p>
        </w:tc>
        <w:tc>
          <w:tcPr>
            <w:tcW w:w="969" w:type="dxa"/>
            <w:vAlign w:val="top"/>
          </w:tcPr>
          <w:p w14:paraId="35490A72">
            <w:pPr>
              <w:spacing w:before="77" w:line="220" w:lineRule="auto"/>
              <w:ind w:left="177"/>
              <w:rPr>
                <w:rFonts w:ascii="宋体" w:hAnsi="宋体" w:eastAsia="宋体" w:cs="宋体"/>
                <w:sz w:val="18"/>
                <w:szCs w:val="18"/>
              </w:rPr>
            </w:pPr>
            <w:r>
              <w:rPr>
                <w:rFonts w:ascii="宋体" w:hAnsi="宋体" w:eastAsia="宋体" w:cs="宋体"/>
                <w:spacing w:val="2"/>
                <w:sz w:val="18"/>
                <w:szCs w:val="18"/>
              </w:rPr>
              <w:t>实际投</w:t>
            </w:r>
          </w:p>
          <w:p w14:paraId="4757F077">
            <w:pPr>
              <w:spacing w:before="12" w:line="231" w:lineRule="auto"/>
              <w:ind w:left="326" w:right="218" w:hanging="99"/>
              <w:rPr>
                <w:rFonts w:ascii="宋体" w:hAnsi="宋体" w:eastAsia="宋体" w:cs="宋体"/>
                <w:sz w:val="18"/>
                <w:szCs w:val="18"/>
              </w:rPr>
            </w:pPr>
            <w:r>
              <w:rPr>
                <w:rFonts w:ascii="宋体" w:hAnsi="宋体" w:eastAsia="宋体" w:cs="宋体"/>
                <w:spacing w:val="4"/>
                <w:sz w:val="18"/>
                <w:szCs w:val="18"/>
              </w:rPr>
              <w:t>资(万</w:t>
            </w:r>
            <w:r>
              <w:rPr>
                <w:rFonts w:ascii="宋体" w:hAnsi="宋体" w:eastAsia="宋体" w:cs="宋体"/>
                <w:spacing w:val="-5"/>
                <w:sz w:val="18"/>
                <w:szCs w:val="18"/>
              </w:rPr>
              <w:t>元)</w:t>
            </w:r>
          </w:p>
        </w:tc>
        <w:tc>
          <w:tcPr>
            <w:tcW w:w="884" w:type="dxa"/>
            <w:vAlign w:val="top"/>
          </w:tcPr>
          <w:p w14:paraId="1FF564AB">
            <w:pPr>
              <w:spacing w:before="87" w:line="219" w:lineRule="auto"/>
              <w:ind w:left="138"/>
              <w:rPr>
                <w:rFonts w:ascii="宋体" w:hAnsi="宋体" w:eastAsia="宋体" w:cs="宋体"/>
                <w:sz w:val="18"/>
                <w:szCs w:val="18"/>
              </w:rPr>
            </w:pPr>
            <w:r>
              <w:rPr>
                <w:rFonts w:ascii="宋体" w:hAnsi="宋体" w:eastAsia="宋体" w:cs="宋体"/>
                <w:spacing w:val="-3"/>
                <w:sz w:val="18"/>
                <w:szCs w:val="18"/>
              </w:rPr>
              <w:t>投资概</w:t>
            </w:r>
          </w:p>
          <w:p w14:paraId="2889ADF4">
            <w:pPr>
              <w:spacing w:before="2" w:line="219" w:lineRule="auto"/>
              <w:ind w:left="138"/>
              <w:rPr>
                <w:rFonts w:ascii="宋体" w:hAnsi="宋体" w:eastAsia="宋体" w:cs="宋体"/>
                <w:sz w:val="18"/>
                <w:szCs w:val="18"/>
              </w:rPr>
            </w:pPr>
            <w:r>
              <w:rPr>
                <w:rFonts w:ascii="宋体" w:hAnsi="宋体" w:eastAsia="宋体" w:cs="宋体"/>
                <w:spacing w:val="5"/>
                <w:sz w:val="18"/>
                <w:szCs w:val="18"/>
              </w:rPr>
              <w:t>算控制</w:t>
            </w:r>
          </w:p>
          <w:p w14:paraId="23F0D8ED">
            <w:pPr>
              <w:spacing w:before="2" w:line="219" w:lineRule="auto"/>
              <w:ind w:left="339"/>
              <w:rPr>
                <w:rFonts w:ascii="宋体" w:hAnsi="宋体" w:eastAsia="宋体" w:cs="宋体"/>
                <w:sz w:val="18"/>
                <w:szCs w:val="18"/>
              </w:rPr>
            </w:pPr>
            <w:r>
              <w:rPr>
                <w:rFonts w:ascii="宋体" w:hAnsi="宋体" w:eastAsia="宋体" w:cs="宋体"/>
                <w:sz w:val="18"/>
                <w:szCs w:val="18"/>
              </w:rPr>
              <w:t>率</w:t>
            </w:r>
          </w:p>
        </w:tc>
      </w:tr>
      <w:tr w14:paraId="2B98F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118" w:type="dxa"/>
            <w:vMerge w:val="continue"/>
            <w:tcBorders>
              <w:top w:val="nil"/>
            </w:tcBorders>
            <w:vAlign w:val="top"/>
          </w:tcPr>
          <w:p w14:paraId="5BE1DB3C">
            <w:pPr>
              <w:pStyle w:val="20"/>
              <w:rPr>
                <w:sz w:val="18"/>
                <w:szCs w:val="18"/>
              </w:rPr>
            </w:pPr>
          </w:p>
        </w:tc>
        <w:tc>
          <w:tcPr>
            <w:tcW w:w="1179" w:type="dxa"/>
            <w:vAlign w:val="top"/>
          </w:tcPr>
          <w:p w14:paraId="1AF3C8CB">
            <w:pPr>
              <w:pStyle w:val="20"/>
              <w:rPr>
                <w:sz w:val="18"/>
                <w:szCs w:val="18"/>
              </w:rPr>
            </w:pPr>
          </w:p>
        </w:tc>
        <w:tc>
          <w:tcPr>
            <w:tcW w:w="859" w:type="dxa"/>
            <w:vAlign w:val="top"/>
          </w:tcPr>
          <w:p w14:paraId="22D44A9F">
            <w:pPr>
              <w:pStyle w:val="20"/>
              <w:rPr>
                <w:sz w:val="18"/>
                <w:szCs w:val="18"/>
              </w:rPr>
            </w:pPr>
          </w:p>
        </w:tc>
        <w:tc>
          <w:tcPr>
            <w:tcW w:w="1109" w:type="dxa"/>
            <w:vAlign w:val="top"/>
          </w:tcPr>
          <w:p w14:paraId="38182BEE">
            <w:pPr>
              <w:pStyle w:val="20"/>
              <w:rPr>
                <w:sz w:val="18"/>
                <w:szCs w:val="18"/>
              </w:rPr>
            </w:pPr>
          </w:p>
        </w:tc>
        <w:tc>
          <w:tcPr>
            <w:tcW w:w="1089" w:type="dxa"/>
            <w:vAlign w:val="top"/>
          </w:tcPr>
          <w:p w14:paraId="41FFF675">
            <w:pPr>
              <w:pStyle w:val="20"/>
              <w:rPr>
                <w:sz w:val="18"/>
                <w:szCs w:val="18"/>
              </w:rPr>
            </w:pPr>
          </w:p>
        </w:tc>
        <w:tc>
          <w:tcPr>
            <w:tcW w:w="969" w:type="dxa"/>
            <w:vAlign w:val="top"/>
          </w:tcPr>
          <w:p w14:paraId="5337FE60">
            <w:pPr>
              <w:pStyle w:val="20"/>
              <w:rPr>
                <w:sz w:val="18"/>
                <w:szCs w:val="18"/>
              </w:rPr>
            </w:pPr>
          </w:p>
        </w:tc>
        <w:tc>
          <w:tcPr>
            <w:tcW w:w="884" w:type="dxa"/>
            <w:vAlign w:val="top"/>
          </w:tcPr>
          <w:p w14:paraId="712EE9E3">
            <w:pPr>
              <w:pStyle w:val="20"/>
              <w:rPr>
                <w:sz w:val="18"/>
                <w:szCs w:val="18"/>
              </w:rPr>
            </w:pPr>
          </w:p>
        </w:tc>
      </w:tr>
      <w:tr w14:paraId="5E69A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118" w:type="dxa"/>
            <w:vAlign w:val="top"/>
          </w:tcPr>
          <w:p w14:paraId="1B3804B7">
            <w:pPr>
              <w:spacing w:before="138" w:line="219" w:lineRule="auto"/>
              <w:ind w:left="875"/>
              <w:rPr>
                <w:rFonts w:ascii="宋体" w:hAnsi="宋体" w:eastAsia="宋体" w:cs="宋体"/>
                <w:sz w:val="18"/>
                <w:szCs w:val="18"/>
              </w:rPr>
            </w:pPr>
            <w:r>
              <w:rPr>
                <w:rFonts w:ascii="宋体" w:hAnsi="宋体" w:eastAsia="宋体" w:cs="宋体"/>
                <w:spacing w:val="1"/>
                <w:sz w:val="18"/>
                <w:szCs w:val="18"/>
              </w:rPr>
              <w:t>厉行节约保障措施</w:t>
            </w:r>
          </w:p>
        </w:tc>
        <w:tc>
          <w:tcPr>
            <w:tcW w:w="6089" w:type="dxa"/>
            <w:gridSpan w:val="6"/>
            <w:vAlign w:val="top"/>
          </w:tcPr>
          <w:p w14:paraId="2470D054">
            <w:pPr>
              <w:pStyle w:val="20"/>
              <w:rPr>
                <w:sz w:val="18"/>
                <w:szCs w:val="18"/>
              </w:rPr>
            </w:pPr>
            <w:r>
              <w:rPr>
                <w:rFonts w:hint="default" w:ascii="Times New Roman" w:hAnsi="Times New Roman" w:eastAsia="仿宋_GB2312" w:cs="Times New Roman"/>
                <w:color w:val="000000"/>
                <w:w w:val="100"/>
                <w:kern w:val="0"/>
                <w:sz w:val="18"/>
                <w:szCs w:val="18"/>
              </w:rPr>
              <w:t>进一步规范财务报账审批程序、合同协议审批程序、费用结算程序，明确院内物资、项目采购要求、流程，特别是对院内实施的工程项目严格按照财政相关项目评审、公开公平竞价等规定开展，在所有采购和项目实施过程中严格按相关财政要求执行，坚持勤俭节约、非必要不采购和廉洁自律纪律要求。</w:t>
            </w:r>
          </w:p>
        </w:tc>
      </w:tr>
    </w:tbl>
    <w:p w14:paraId="4314E7E1">
      <w:pPr>
        <w:spacing w:before="62" w:line="250" w:lineRule="auto"/>
        <w:ind w:right="400"/>
        <w:rPr>
          <w:rFonts w:ascii="仿宋" w:hAnsi="仿宋" w:eastAsia="仿宋" w:cs="仿宋"/>
          <w:sz w:val="18"/>
          <w:szCs w:val="18"/>
        </w:rPr>
      </w:pPr>
      <w:r>
        <w:rPr>
          <w:rFonts w:ascii="宋体" w:hAnsi="宋体" w:eastAsia="宋体" w:cs="宋体"/>
          <w:sz w:val="18"/>
          <w:szCs w:val="18"/>
        </w:rPr>
        <w:t>说明：</w:t>
      </w:r>
      <w:r>
        <w:rPr>
          <w:rFonts w:hint="eastAsia" w:ascii="宋体" w:hAnsi="宋体" w:eastAsia="宋体" w:cs="宋体"/>
          <w:sz w:val="18"/>
          <w:szCs w:val="18"/>
          <w:lang w:eastAsia="zh-CN"/>
        </w:rPr>
        <w:t>“</w:t>
      </w:r>
      <w:r>
        <w:rPr>
          <w:rFonts w:ascii="宋体" w:hAnsi="宋体" w:eastAsia="宋体" w:cs="宋体"/>
          <w:sz w:val="18"/>
          <w:szCs w:val="18"/>
        </w:rPr>
        <w:t>项目支出</w:t>
      </w:r>
      <w:r>
        <w:rPr>
          <w:rFonts w:hint="eastAsia" w:ascii="宋体" w:hAnsi="宋体" w:eastAsia="宋体" w:cs="宋体"/>
          <w:sz w:val="18"/>
          <w:szCs w:val="18"/>
          <w:lang w:eastAsia="zh-CN"/>
        </w:rPr>
        <w:t>”</w:t>
      </w:r>
      <w:r>
        <w:rPr>
          <w:rFonts w:ascii="宋体" w:hAnsi="宋体" w:eastAsia="宋体" w:cs="宋体"/>
          <w:sz w:val="18"/>
          <w:szCs w:val="18"/>
        </w:rPr>
        <w:t>需要填报基本支出以外的所有项目支出情</w:t>
      </w:r>
      <w:r>
        <w:rPr>
          <w:rFonts w:ascii="宋体" w:hAnsi="宋体" w:eastAsia="宋体" w:cs="宋体"/>
          <w:spacing w:val="-1"/>
          <w:sz w:val="18"/>
          <w:szCs w:val="18"/>
        </w:rPr>
        <w:t>况，“公用经费”填报基本</w:t>
      </w:r>
      <w:r>
        <w:rPr>
          <w:rFonts w:hint="eastAsia" w:ascii="宋体" w:hAnsi="宋体" w:eastAsia="宋体" w:cs="宋体"/>
          <w:sz w:val="18"/>
          <w:szCs w:val="18"/>
          <w:lang w:eastAsia="zh-CN"/>
        </w:rPr>
        <w:t>支出中的一般商品和服务支出。</w:t>
      </w:r>
    </w:p>
    <w:p w14:paraId="34D92AB2">
      <w:pPr>
        <w:spacing w:before="254" w:line="231" w:lineRule="auto"/>
        <w:ind w:left="535"/>
        <w:rPr>
          <w:rFonts w:hint="default" w:eastAsia="仿宋"/>
          <w:lang w:val="en-US" w:eastAsia="zh-CN"/>
        </w:rPr>
      </w:pPr>
      <w:r>
        <w:rPr>
          <w:rFonts w:ascii="仿宋" w:hAnsi="仿宋" w:eastAsia="仿宋" w:cs="仿宋"/>
          <w:spacing w:val="3"/>
          <w:sz w:val="18"/>
          <w:szCs w:val="18"/>
        </w:rPr>
        <w:t>填表人：</w:t>
      </w:r>
      <w:r>
        <w:rPr>
          <w:rFonts w:hint="eastAsia" w:ascii="仿宋" w:hAnsi="仿宋" w:eastAsia="仿宋" w:cs="仿宋"/>
          <w:spacing w:val="3"/>
          <w:sz w:val="18"/>
          <w:szCs w:val="18"/>
          <w:lang w:val="en-US" w:eastAsia="zh-CN"/>
        </w:rPr>
        <w:t xml:space="preserve">易康睿           </w:t>
      </w:r>
      <w:r>
        <w:rPr>
          <w:rFonts w:ascii="仿宋" w:hAnsi="仿宋" w:eastAsia="仿宋" w:cs="仿宋"/>
          <w:spacing w:val="3"/>
          <w:sz w:val="18"/>
          <w:szCs w:val="18"/>
        </w:rPr>
        <w:t>填报日期：</w:t>
      </w:r>
      <w:r>
        <w:rPr>
          <w:rFonts w:hint="eastAsia" w:ascii="仿宋" w:hAnsi="仿宋" w:eastAsia="仿宋" w:cs="仿宋"/>
          <w:spacing w:val="3"/>
          <w:sz w:val="18"/>
          <w:szCs w:val="18"/>
          <w:lang w:val="en-US" w:eastAsia="zh-CN"/>
        </w:rPr>
        <w:t xml:space="preserve">2025年6月9日       </w:t>
      </w:r>
      <w:r>
        <w:rPr>
          <w:rFonts w:ascii="仿宋" w:hAnsi="仿宋" w:eastAsia="仿宋" w:cs="仿宋"/>
          <w:spacing w:val="3"/>
          <w:sz w:val="18"/>
          <w:szCs w:val="18"/>
        </w:rPr>
        <w:t>联系电话：</w:t>
      </w:r>
      <w:r>
        <w:rPr>
          <w:rFonts w:hint="eastAsia" w:ascii="仿宋" w:hAnsi="仿宋" w:eastAsia="仿宋" w:cs="仿宋"/>
          <w:sz w:val="20"/>
          <w:szCs w:val="20"/>
          <w:lang w:val="en-US" w:eastAsia="zh-CN"/>
        </w:rPr>
        <w:t>2717696</w:t>
      </w:r>
    </w:p>
    <w:p w14:paraId="2196E5DA">
      <w:pPr>
        <w:pStyle w:val="2"/>
        <w:spacing w:before="94" w:line="222" w:lineRule="auto"/>
        <w:ind w:left="114"/>
        <w:rPr>
          <w:rFonts w:hint="eastAsia" w:ascii="黑体" w:hAnsi="黑体" w:eastAsia="黑体" w:cs="黑体"/>
          <w:spacing w:val="27"/>
          <w:sz w:val="32"/>
          <w:szCs w:val="32"/>
        </w:rPr>
      </w:pPr>
    </w:p>
    <w:p w14:paraId="1FC09513">
      <w:pPr>
        <w:pStyle w:val="2"/>
        <w:spacing w:before="94" w:line="222" w:lineRule="auto"/>
        <w:ind w:left="114"/>
        <w:rPr>
          <w:rFonts w:hint="eastAsia" w:ascii="黑体" w:hAnsi="黑体" w:eastAsia="黑体" w:cs="黑体"/>
          <w:spacing w:val="27"/>
          <w:sz w:val="32"/>
          <w:szCs w:val="32"/>
        </w:rPr>
      </w:pPr>
    </w:p>
    <w:p w14:paraId="72C304EB">
      <w:pPr>
        <w:pStyle w:val="2"/>
        <w:spacing w:before="94" w:line="222" w:lineRule="auto"/>
        <w:ind w:left="114"/>
        <w:rPr>
          <w:rFonts w:hint="eastAsia" w:ascii="黑体" w:hAnsi="黑体" w:eastAsia="黑体" w:cs="黑体"/>
          <w:spacing w:val="27"/>
          <w:sz w:val="32"/>
          <w:szCs w:val="32"/>
        </w:rPr>
      </w:pPr>
    </w:p>
    <w:p w14:paraId="15BADC25">
      <w:pPr>
        <w:pStyle w:val="2"/>
        <w:spacing w:before="94" w:line="222" w:lineRule="auto"/>
        <w:ind w:left="114"/>
        <w:rPr>
          <w:rFonts w:hint="eastAsia" w:ascii="黑体" w:hAnsi="黑体" w:eastAsia="黑体" w:cs="黑体"/>
          <w:spacing w:val="27"/>
          <w:sz w:val="32"/>
          <w:szCs w:val="32"/>
        </w:rPr>
      </w:pPr>
    </w:p>
    <w:p w14:paraId="3DD4497C">
      <w:pPr>
        <w:pStyle w:val="2"/>
        <w:spacing w:before="94" w:line="222" w:lineRule="auto"/>
        <w:ind w:left="114"/>
        <w:rPr>
          <w:rFonts w:hint="eastAsia" w:ascii="黑体" w:hAnsi="黑体" w:eastAsia="黑体" w:cs="黑体"/>
          <w:spacing w:val="27"/>
          <w:sz w:val="32"/>
          <w:szCs w:val="32"/>
        </w:rPr>
      </w:pPr>
    </w:p>
    <w:p w14:paraId="086879F0">
      <w:pPr>
        <w:pStyle w:val="2"/>
        <w:spacing w:before="94" w:line="222" w:lineRule="auto"/>
        <w:ind w:left="114"/>
        <w:rPr>
          <w:rFonts w:hint="eastAsia" w:ascii="黑体" w:hAnsi="黑体" w:eastAsia="黑体" w:cs="黑体"/>
          <w:spacing w:val="27"/>
          <w:sz w:val="32"/>
          <w:szCs w:val="32"/>
        </w:rPr>
      </w:pPr>
    </w:p>
    <w:p w14:paraId="3D5EE950">
      <w:pPr>
        <w:pStyle w:val="2"/>
        <w:spacing w:before="94" w:line="222" w:lineRule="auto"/>
        <w:ind w:left="114"/>
        <w:rPr>
          <w:rFonts w:hint="eastAsia" w:ascii="黑体" w:hAnsi="黑体" w:eastAsia="黑体" w:cs="黑体"/>
          <w:spacing w:val="27"/>
          <w:sz w:val="32"/>
          <w:szCs w:val="32"/>
        </w:rPr>
      </w:pPr>
    </w:p>
    <w:p w14:paraId="19EC4808">
      <w:pPr>
        <w:pStyle w:val="2"/>
        <w:spacing w:before="94" w:line="222" w:lineRule="auto"/>
        <w:ind w:left="114"/>
        <w:rPr>
          <w:rFonts w:hint="eastAsia" w:ascii="黑体" w:hAnsi="黑体" w:eastAsia="黑体" w:cs="黑体"/>
          <w:spacing w:val="27"/>
          <w:sz w:val="32"/>
          <w:szCs w:val="32"/>
        </w:rPr>
      </w:pPr>
    </w:p>
    <w:p w14:paraId="72B368EF">
      <w:pPr>
        <w:pStyle w:val="2"/>
        <w:spacing w:before="94" w:line="222" w:lineRule="auto"/>
        <w:ind w:left="114"/>
        <w:rPr>
          <w:rFonts w:hint="eastAsia" w:ascii="黑体" w:hAnsi="黑体" w:eastAsia="黑体" w:cs="黑体"/>
          <w:spacing w:val="27"/>
          <w:sz w:val="32"/>
          <w:szCs w:val="32"/>
        </w:rPr>
      </w:pPr>
    </w:p>
    <w:p w14:paraId="6D772FE3">
      <w:pPr>
        <w:pStyle w:val="2"/>
        <w:spacing w:before="94" w:line="222" w:lineRule="auto"/>
        <w:ind w:left="114"/>
        <w:rPr>
          <w:rFonts w:hint="eastAsia" w:ascii="黑体" w:hAnsi="黑体" w:eastAsia="黑体" w:cs="黑体"/>
          <w:spacing w:val="27"/>
          <w:sz w:val="32"/>
          <w:szCs w:val="32"/>
        </w:rPr>
      </w:pPr>
    </w:p>
    <w:p w14:paraId="288AB7C2">
      <w:pPr>
        <w:pStyle w:val="2"/>
        <w:spacing w:before="94" w:line="222" w:lineRule="auto"/>
        <w:ind w:left="114"/>
        <w:rPr>
          <w:rFonts w:hint="eastAsia" w:ascii="黑体" w:hAnsi="黑体" w:eastAsia="黑体" w:cs="黑体"/>
          <w:spacing w:val="27"/>
          <w:sz w:val="32"/>
          <w:szCs w:val="32"/>
        </w:rPr>
      </w:pPr>
    </w:p>
    <w:p w14:paraId="3F9FAE62">
      <w:pPr>
        <w:pStyle w:val="2"/>
        <w:spacing w:before="94" w:line="222" w:lineRule="auto"/>
        <w:ind w:left="114"/>
        <w:rPr>
          <w:rFonts w:hint="eastAsia" w:ascii="黑体" w:hAnsi="黑体" w:eastAsia="黑体" w:cs="黑体"/>
          <w:spacing w:val="27"/>
          <w:sz w:val="32"/>
          <w:szCs w:val="32"/>
        </w:rPr>
      </w:pPr>
    </w:p>
    <w:p w14:paraId="56449389">
      <w:pPr>
        <w:pStyle w:val="2"/>
        <w:spacing w:before="94" w:line="222" w:lineRule="auto"/>
        <w:ind w:left="114"/>
        <w:rPr>
          <w:rFonts w:hint="eastAsia" w:ascii="黑体" w:hAnsi="黑体" w:eastAsia="黑体" w:cs="黑体"/>
          <w:spacing w:val="27"/>
          <w:sz w:val="32"/>
          <w:szCs w:val="32"/>
        </w:rPr>
      </w:pPr>
    </w:p>
    <w:p w14:paraId="2704C41F">
      <w:pPr>
        <w:pStyle w:val="2"/>
        <w:spacing w:before="94" w:line="222" w:lineRule="auto"/>
        <w:ind w:left="114"/>
        <w:rPr>
          <w:rFonts w:hint="eastAsia" w:ascii="黑体" w:hAnsi="黑体" w:eastAsia="黑体" w:cs="黑体"/>
          <w:spacing w:val="27"/>
          <w:sz w:val="32"/>
          <w:szCs w:val="32"/>
        </w:rPr>
      </w:pPr>
    </w:p>
    <w:p w14:paraId="53B3872D">
      <w:pPr>
        <w:pStyle w:val="2"/>
        <w:spacing w:before="94" w:line="222" w:lineRule="auto"/>
        <w:ind w:left="114"/>
        <w:rPr>
          <w:rFonts w:hint="eastAsia" w:ascii="黑体" w:hAnsi="黑体" w:eastAsia="黑体" w:cs="黑体"/>
          <w:spacing w:val="27"/>
          <w:sz w:val="32"/>
          <w:szCs w:val="32"/>
          <w:lang w:val="en-US" w:eastAsia="zh-CN"/>
        </w:rPr>
      </w:pPr>
      <w:r>
        <w:rPr>
          <w:rFonts w:hint="eastAsia" w:ascii="黑体" w:hAnsi="黑体" w:eastAsia="黑体" w:cs="黑体"/>
          <w:spacing w:val="27"/>
          <w:sz w:val="32"/>
          <w:szCs w:val="32"/>
        </w:rPr>
        <w:t>附件</w:t>
      </w:r>
      <w:r>
        <w:rPr>
          <w:rFonts w:hint="eastAsia" w:ascii="黑体" w:hAnsi="黑体" w:eastAsia="黑体" w:cs="黑体"/>
          <w:spacing w:val="27"/>
          <w:sz w:val="32"/>
          <w:szCs w:val="32"/>
          <w:lang w:val="en-US" w:eastAsia="zh-CN"/>
        </w:rPr>
        <w:t>7</w:t>
      </w:r>
    </w:p>
    <w:p w14:paraId="08669C1D">
      <w:pPr>
        <w:spacing w:before="85" w:line="221" w:lineRule="auto"/>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部门整体支出绩效自评表</w:t>
      </w:r>
    </w:p>
    <w:tbl>
      <w:tblPr>
        <w:tblStyle w:val="19"/>
        <w:tblW w:w="97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133"/>
        <w:gridCol w:w="1167"/>
        <w:gridCol w:w="1206"/>
        <w:gridCol w:w="1159"/>
        <w:gridCol w:w="1166"/>
        <w:gridCol w:w="591"/>
        <w:gridCol w:w="1117"/>
        <w:gridCol w:w="904"/>
      </w:tblGrid>
      <w:tr w14:paraId="29C27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300" w:type="dxa"/>
            <w:vAlign w:val="top"/>
          </w:tcPr>
          <w:p w14:paraId="07CF3FF2">
            <w:pPr>
              <w:spacing w:before="23" w:line="214" w:lineRule="auto"/>
              <w:ind w:left="185"/>
              <w:rPr>
                <w:rFonts w:ascii="宋体" w:hAnsi="宋体" w:eastAsia="宋体" w:cs="宋体"/>
                <w:sz w:val="20"/>
                <w:szCs w:val="20"/>
              </w:rPr>
            </w:pPr>
            <w:r>
              <w:rPr>
                <w:rFonts w:ascii="宋体" w:hAnsi="宋体" w:eastAsia="宋体" w:cs="宋体"/>
                <w:spacing w:val="5"/>
                <w:sz w:val="20"/>
                <w:szCs w:val="20"/>
              </w:rPr>
              <w:t>预算部门</w:t>
            </w:r>
          </w:p>
          <w:p w14:paraId="6116D23D">
            <w:pPr>
              <w:spacing w:line="192" w:lineRule="auto"/>
              <w:ind w:left="394"/>
              <w:rPr>
                <w:rFonts w:ascii="宋体" w:hAnsi="宋体" w:eastAsia="宋体" w:cs="宋体"/>
                <w:sz w:val="20"/>
                <w:szCs w:val="20"/>
              </w:rPr>
            </w:pPr>
            <w:r>
              <w:rPr>
                <w:rFonts w:ascii="宋体" w:hAnsi="宋体" w:eastAsia="宋体" w:cs="宋体"/>
                <w:spacing w:val="5"/>
                <w:sz w:val="20"/>
                <w:szCs w:val="20"/>
              </w:rPr>
              <w:t>名称</w:t>
            </w:r>
          </w:p>
        </w:tc>
        <w:tc>
          <w:tcPr>
            <w:tcW w:w="8443" w:type="dxa"/>
            <w:gridSpan w:val="8"/>
            <w:vAlign w:val="center"/>
          </w:tcPr>
          <w:p w14:paraId="7C518B1E">
            <w:pPr>
              <w:pStyle w:val="20"/>
              <w:jc w:val="center"/>
              <w:rPr>
                <w:rFonts w:hint="default" w:eastAsia="宋体"/>
                <w:lang w:val="en-US" w:eastAsia="zh-CN"/>
              </w:rPr>
            </w:pPr>
            <w:r>
              <w:rPr>
                <w:rFonts w:hint="eastAsia" w:eastAsia="宋体"/>
                <w:lang w:val="en-US" w:eastAsia="zh-CN"/>
              </w:rPr>
              <w:t>怀化市医疗保障事务中心</w:t>
            </w:r>
          </w:p>
        </w:tc>
      </w:tr>
      <w:tr w14:paraId="060B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300" w:type="dxa"/>
            <w:vMerge w:val="restart"/>
            <w:tcBorders>
              <w:bottom w:val="nil"/>
            </w:tcBorders>
            <w:vAlign w:val="top"/>
          </w:tcPr>
          <w:p w14:paraId="364987BB">
            <w:pPr>
              <w:pStyle w:val="20"/>
              <w:spacing w:line="241" w:lineRule="auto"/>
            </w:pPr>
          </w:p>
          <w:p w14:paraId="5C78FE99">
            <w:pPr>
              <w:pStyle w:val="20"/>
              <w:spacing w:line="241" w:lineRule="auto"/>
            </w:pPr>
          </w:p>
          <w:p w14:paraId="4CA719C3">
            <w:pPr>
              <w:pStyle w:val="20"/>
              <w:spacing w:line="242" w:lineRule="auto"/>
            </w:pPr>
          </w:p>
          <w:p w14:paraId="7D6E295C">
            <w:pPr>
              <w:pStyle w:val="20"/>
              <w:spacing w:line="242" w:lineRule="auto"/>
            </w:pPr>
          </w:p>
          <w:p w14:paraId="2221C5E7">
            <w:pPr>
              <w:spacing w:before="65" w:line="224" w:lineRule="auto"/>
              <w:ind w:left="285" w:right="245"/>
              <w:jc w:val="both"/>
              <w:rPr>
                <w:rFonts w:ascii="宋体" w:hAnsi="宋体" w:eastAsia="宋体" w:cs="宋体"/>
                <w:sz w:val="20"/>
                <w:szCs w:val="20"/>
              </w:rPr>
            </w:pPr>
            <w:r>
              <w:rPr>
                <w:rFonts w:ascii="宋体" w:hAnsi="宋体" w:eastAsia="宋体" w:cs="宋体"/>
                <w:spacing w:val="-3"/>
                <w:sz w:val="20"/>
                <w:szCs w:val="20"/>
              </w:rPr>
              <w:t>年度预</w:t>
            </w:r>
            <w:r>
              <w:rPr>
                <w:rFonts w:ascii="宋体" w:hAnsi="宋体" w:eastAsia="宋体" w:cs="宋体"/>
                <w:spacing w:val="-4"/>
                <w:sz w:val="20"/>
                <w:szCs w:val="20"/>
              </w:rPr>
              <w:t>算申请</w:t>
            </w:r>
            <w:r>
              <w:rPr>
                <w:rFonts w:ascii="宋体" w:hAnsi="宋体" w:eastAsia="宋体" w:cs="宋体"/>
                <w:spacing w:val="10"/>
                <w:sz w:val="20"/>
                <w:szCs w:val="20"/>
              </w:rPr>
              <w:t>(万元)</w:t>
            </w:r>
          </w:p>
        </w:tc>
        <w:tc>
          <w:tcPr>
            <w:tcW w:w="2300" w:type="dxa"/>
            <w:gridSpan w:val="2"/>
            <w:vAlign w:val="top"/>
          </w:tcPr>
          <w:p w14:paraId="4153124C">
            <w:pPr>
              <w:pStyle w:val="20"/>
            </w:pPr>
          </w:p>
        </w:tc>
        <w:tc>
          <w:tcPr>
            <w:tcW w:w="1206" w:type="dxa"/>
            <w:vAlign w:val="center"/>
          </w:tcPr>
          <w:p w14:paraId="0ACFE4D0">
            <w:pPr>
              <w:spacing w:before="148" w:line="216" w:lineRule="auto"/>
              <w:ind w:right="215"/>
              <w:jc w:val="center"/>
              <w:rPr>
                <w:rFonts w:ascii="宋体" w:hAnsi="宋体" w:eastAsia="宋体" w:cs="宋体"/>
                <w:sz w:val="20"/>
                <w:szCs w:val="20"/>
              </w:rPr>
            </w:pPr>
            <w:r>
              <w:rPr>
                <w:rFonts w:ascii="宋体" w:hAnsi="宋体" w:eastAsia="宋体" w:cs="宋体"/>
                <w:spacing w:val="-5"/>
                <w:sz w:val="20"/>
                <w:szCs w:val="20"/>
              </w:rPr>
              <w:t>年初</w:t>
            </w:r>
            <w:r>
              <w:rPr>
                <w:rFonts w:ascii="宋体" w:hAnsi="宋体" w:eastAsia="宋体" w:cs="宋体"/>
                <w:spacing w:val="-4"/>
                <w:sz w:val="20"/>
                <w:szCs w:val="20"/>
              </w:rPr>
              <w:t>预算数</w:t>
            </w:r>
          </w:p>
        </w:tc>
        <w:tc>
          <w:tcPr>
            <w:tcW w:w="1159" w:type="dxa"/>
            <w:vAlign w:val="center"/>
          </w:tcPr>
          <w:p w14:paraId="74E7316C">
            <w:pPr>
              <w:spacing w:before="259" w:line="219" w:lineRule="auto"/>
              <w:ind w:left="94"/>
              <w:jc w:val="center"/>
              <w:rPr>
                <w:rFonts w:ascii="宋体" w:hAnsi="宋体" w:eastAsia="宋体" w:cs="宋体"/>
                <w:sz w:val="20"/>
                <w:szCs w:val="20"/>
              </w:rPr>
            </w:pPr>
            <w:r>
              <w:rPr>
                <w:rFonts w:ascii="宋体" w:hAnsi="宋体" w:eastAsia="宋体" w:cs="宋体"/>
                <w:spacing w:val="-2"/>
                <w:sz w:val="20"/>
                <w:szCs w:val="20"/>
              </w:rPr>
              <w:t>全年预算数</w:t>
            </w:r>
          </w:p>
        </w:tc>
        <w:tc>
          <w:tcPr>
            <w:tcW w:w="1166" w:type="dxa"/>
            <w:vAlign w:val="center"/>
          </w:tcPr>
          <w:p w14:paraId="237DCC23">
            <w:pPr>
              <w:spacing w:before="158" w:line="224" w:lineRule="auto"/>
              <w:ind w:left="255" w:right="260" w:firstLine="100"/>
              <w:jc w:val="center"/>
              <w:rPr>
                <w:rFonts w:ascii="宋体" w:hAnsi="宋体" w:eastAsia="宋体" w:cs="宋体"/>
                <w:sz w:val="20"/>
                <w:szCs w:val="20"/>
              </w:rPr>
            </w:pPr>
            <w:r>
              <w:rPr>
                <w:rFonts w:ascii="宋体" w:hAnsi="宋体" w:eastAsia="宋体" w:cs="宋体"/>
                <w:spacing w:val="-4"/>
                <w:sz w:val="20"/>
                <w:szCs w:val="20"/>
              </w:rPr>
              <w:t>全年</w:t>
            </w:r>
            <w:r>
              <w:rPr>
                <w:rFonts w:ascii="宋体" w:hAnsi="宋体" w:eastAsia="宋体" w:cs="宋体"/>
                <w:spacing w:val="-3"/>
                <w:sz w:val="20"/>
                <w:szCs w:val="20"/>
              </w:rPr>
              <w:t>执行数</w:t>
            </w:r>
          </w:p>
        </w:tc>
        <w:tc>
          <w:tcPr>
            <w:tcW w:w="591" w:type="dxa"/>
            <w:vAlign w:val="center"/>
          </w:tcPr>
          <w:p w14:paraId="05420642">
            <w:pPr>
              <w:spacing w:before="259" w:line="219" w:lineRule="auto"/>
              <w:ind w:left="147"/>
              <w:jc w:val="center"/>
              <w:rPr>
                <w:rFonts w:ascii="宋体" w:hAnsi="宋体" w:eastAsia="宋体" w:cs="宋体"/>
                <w:sz w:val="20"/>
                <w:szCs w:val="20"/>
              </w:rPr>
            </w:pPr>
            <w:r>
              <w:rPr>
                <w:rFonts w:ascii="宋体" w:hAnsi="宋体" w:eastAsia="宋体" w:cs="宋体"/>
                <w:spacing w:val="-3"/>
                <w:sz w:val="20"/>
                <w:szCs w:val="20"/>
              </w:rPr>
              <w:t>分值</w:t>
            </w:r>
          </w:p>
        </w:tc>
        <w:tc>
          <w:tcPr>
            <w:tcW w:w="1117" w:type="dxa"/>
            <w:textDirection w:val="tbRlV"/>
            <w:vAlign w:val="center"/>
          </w:tcPr>
          <w:p w14:paraId="19505F70">
            <w:pPr>
              <w:spacing w:before="149" w:line="200" w:lineRule="auto"/>
              <w:ind w:left="40"/>
              <w:jc w:val="center"/>
              <w:rPr>
                <w:rFonts w:ascii="宋体" w:hAnsi="宋体" w:eastAsia="宋体" w:cs="宋体"/>
                <w:sz w:val="20"/>
                <w:szCs w:val="20"/>
              </w:rPr>
            </w:pPr>
            <w:r>
              <w:rPr>
                <w:rFonts w:ascii="宋体" w:hAnsi="宋体" w:eastAsia="宋体" w:cs="宋体"/>
                <w:sz w:val="20"/>
                <w:szCs w:val="20"/>
              </w:rPr>
              <w:t>执行率</w:t>
            </w:r>
          </w:p>
        </w:tc>
        <w:tc>
          <w:tcPr>
            <w:tcW w:w="904" w:type="dxa"/>
            <w:vAlign w:val="center"/>
          </w:tcPr>
          <w:p w14:paraId="612ECEAF">
            <w:pPr>
              <w:spacing w:before="259" w:line="219" w:lineRule="auto"/>
              <w:ind w:left="378"/>
              <w:jc w:val="center"/>
              <w:rPr>
                <w:rFonts w:ascii="宋体" w:hAnsi="宋体" w:eastAsia="宋体" w:cs="宋体"/>
                <w:sz w:val="20"/>
                <w:szCs w:val="20"/>
              </w:rPr>
            </w:pPr>
            <w:r>
              <w:rPr>
                <w:rFonts w:ascii="宋体" w:hAnsi="宋体" w:eastAsia="宋体" w:cs="宋体"/>
                <w:spacing w:val="-3"/>
                <w:sz w:val="20"/>
                <w:szCs w:val="20"/>
              </w:rPr>
              <w:t>得分</w:t>
            </w:r>
          </w:p>
        </w:tc>
      </w:tr>
      <w:tr w14:paraId="6154C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00" w:type="dxa"/>
            <w:vMerge w:val="continue"/>
            <w:tcBorders>
              <w:top w:val="nil"/>
              <w:bottom w:val="nil"/>
            </w:tcBorders>
            <w:vAlign w:val="top"/>
          </w:tcPr>
          <w:p w14:paraId="59AA3533">
            <w:pPr>
              <w:pStyle w:val="20"/>
            </w:pPr>
          </w:p>
        </w:tc>
        <w:tc>
          <w:tcPr>
            <w:tcW w:w="2300" w:type="dxa"/>
            <w:gridSpan w:val="2"/>
            <w:vAlign w:val="top"/>
          </w:tcPr>
          <w:p w14:paraId="651D8A52">
            <w:pPr>
              <w:spacing w:before="70" w:line="219" w:lineRule="auto"/>
              <w:ind w:left="600"/>
              <w:rPr>
                <w:rFonts w:ascii="宋体" w:hAnsi="宋体" w:eastAsia="宋体" w:cs="宋体"/>
                <w:sz w:val="20"/>
                <w:szCs w:val="20"/>
              </w:rPr>
            </w:pPr>
            <w:r>
              <w:rPr>
                <w:rFonts w:ascii="宋体" w:hAnsi="宋体" w:eastAsia="宋体" w:cs="宋体"/>
                <w:spacing w:val="-2"/>
                <w:sz w:val="20"/>
                <w:szCs w:val="20"/>
              </w:rPr>
              <w:t>年度资金总额</w:t>
            </w:r>
          </w:p>
        </w:tc>
        <w:tc>
          <w:tcPr>
            <w:tcW w:w="1206" w:type="dxa"/>
            <w:vAlign w:val="center"/>
          </w:tcPr>
          <w:p w14:paraId="0B20ABA5">
            <w:pPr>
              <w:pStyle w:val="20"/>
              <w:jc w:val="center"/>
            </w:pPr>
            <w:r>
              <w:rPr>
                <w:rFonts w:hint="eastAsia"/>
              </w:rPr>
              <w:t>518.35</w:t>
            </w:r>
          </w:p>
        </w:tc>
        <w:tc>
          <w:tcPr>
            <w:tcW w:w="1159" w:type="dxa"/>
            <w:vAlign w:val="center"/>
          </w:tcPr>
          <w:p w14:paraId="1199304C">
            <w:pPr>
              <w:pStyle w:val="20"/>
              <w:jc w:val="center"/>
              <w:rPr>
                <w:rFonts w:hint="default" w:eastAsia="宋体"/>
                <w:lang w:val="en-US" w:eastAsia="zh-CN"/>
              </w:rPr>
            </w:pPr>
            <w:r>
              <w:rPr>
                <w:rFonts w:hint="eastAsia" w:eastAsia="宋体"/>
                <w:lang w:val="en-US" w:eastAsia="zh-CN"/>
              </w:rPr>
              <w:t>617.39</w:t>
            </w:r>
          </w:p>
        </w:tc>
        <w:tc>
          <w:tcPr>
            <w:tcW w:w="1166" w:type="dxa"/>
            <w:vAlign w:val="center"/>
          </w:tcPr>
          <w:p w14:paraId="572CD5EB">
            <w:pPr>
              <w:pStyle w:val="20"/>
              <w:jc w:val="center"/>
              <w:rPr>
                <w:rFonts w:hint="default" w:eastAsia="宋体"/>
                <w:lang w:val="en-US" w:eastAsia="zh-CN"/>
              </w:rPr>
            </w:pPr>
            <w:r>
              <w:rPr>
                <w:rFonts w:hint="eastAsia" w:eastAsia="宋体"/>
                <w:lang w:val="en-US" w:eastAsia="zh-CN"/>
              </w:rPr>
              <w:t>616.9</w:t>
            </w:r>
          </w:p>
        </w:tc>
        <w:tc>
          <w:tcPr>
            <w:tcW w:w="591" w:type="dxa"/>
            <w:vAlign w:val="center"/>
          </w:tcPr>
          <w:p w14:paraId="6859B1B0">
            <w:pPr>
              <w:spacing w:before="90" w:line="220" w:lineRule="auto"/>
              <w:ind w:left="247"/>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10</w:t>
            </w:r>
          </w:p>
        </w:tc>
        <w:tc>
          <w:tcPr>
            <w:tcW w:w="1117" w:type="dxa"/>
            <w:vAlign w:val="center"/>
          </w:tcPr>
          <w:p w14:paraId="1C1B5E96">
            <w:pPr>
              <w:pStyle w:val="20"/>
              <w:jc w:val="center"/>
              <w:rPr>
                <w:rFonts w:hint="default"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119.</w:t>
            </w:r>
            <w:r>
              <w:rPr>
                <w:rFonts w:hint="eastAsia" w:eastAsia="宋体" w:cs="Arial"/>
                <w:snapToGrid w:val="0"/>
                <w:color w:val="000000"/>
                <w:kern w:val="0"/>
                <w:sz w:val="21"/>
                <w:szCs w:val="21"/>
                <w:lang w:val="en-US" w:eastAsia="zh-CN" w:bidi="ar-SA"/>
              </w:rPr>
              <w:t>01</w:t>
            </w:r>
            <w:r>
              <w:rPr>
                <w:rFonts w:hint="eastAsia" w:ascii="Arial" w:hAnsi="Arial" w:eastAsia="宋体" w:cs="Arial"/>
                <w:snapToGrid w:val="0"/>
                <w:color w:val="000000"/>
                <w:kern w:val="0"/>
                <w:sz w:val="21"/>
                <w:szCs w:val="21"/>
                <w:lang w:val="en-US" w:eastAsia="zh-CN" w:bidi="ar-SA"/>
              </w:rPr>
              <w:t>%</w:t>
            </w:r>
          </w:p>
        </w:tc>
        <w:tc>
          <w:tcPr>
            <w:tcW w:w="904" w:type="dxa"/>
            <w:vAlign w:val="center"/>
          </w:tcPr>
          <w:p w14:paraId="72486AB3">
            <w:pPr>
              <w:pStyle w:val="20"/>
              <w:jc w:val="center"/>
              <w:rPr>
                <w:rFonts w:hint="default" w:eastAsia="宋体"/>
                <w:lang w:val="en-US" w:eastAsia="zh-CN"/>
              </w:rPr>
            </w:pPr>
            <w:r>
              <w:rPr>
                <w:rFonts w:hint="eastAsia" w:eastAsia="宋体"/>
                <w:lang w:val="en-US" w:eastAsia="zh-CN"/>
              </w:rPr>
              <w:t>10</w:t>
            </w:r>
          </w:p>
        </w:tc>
      </w:tr>
      <w:tr w14:paraId="5DA28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1300" w:type="dxa"/>
            <w:vMerge w:val="continue"/>
            <w:tcBorders>
              <w:top w:val="nil"/>
              <w:bottom w:val="nil"/>
            </w:tcBorders>
            <w:vAlign w:val="top"/>
          </w:tcPr>
          <w:p w14:paraId="47E8F73C">
            <w:pPr>
              <w:pStyle w:val="20"/>
            </w:pPr>
          </w:p>
        </w:tc>
        <w:tc>
          <w:tcPr>
            <w:tcW w:w="4665" w:type="dxa"/>
            <w:gridSpan w:val="4"/>
            <w:vAlign w:val="top"/>
          </w:tcPr>
          <w:p w14:paraId="7F57E69E">
            <w:pPr>
              <w:spacing w:before="71" w:line="219" w:lineRule="auto"/>
              <w:ind w:left="300"/>
              <w:rPr>
                <w:rFonts w:hint="default" w:ascii="宋体" w:hAnsi="宋体" w:eastAsia="宋体" w:cs="宋体"/>
                <w:sz w:val="20"/>
                <w:szCs w:val="20"/>
                <w:lang w:val="en-US" w:eastAsia="zh-CN"/>
              </w:rPr>
            </w:pPr>
            <w:r>
              <w:rPr>
                <w:rFonts w:ascii="宋体" w:hAnsi="宋体" w:eastAsia="宋体" w:cs="宋体"/>
                <w:sz w:val="20"/>
                <w:szCs w:val="20"/>
              </w:rPr>
              <w:t>按收入性质分：</w:t>
            </w:r>
            <w:r>
              <w:rPr>
                <w:rFonts w:hint="eastAsia" w:ascii="宋体" w:hAnsi="宋体" w:eastAsia="宋体" w:cs="宋体"/>
                <w:sz w:val="20"/>
                <w:szCs w:val="20"/>
                <w:lang w:val="en-US" w:eastAsia="zh-CN"/>
              </w:rPr>
              <w:t>617.39</w:t>
            </w:r>
          </w:p>
        </w:tc>
        <w:tc>
          <w:tcPr>
            <w:tcW w:w="3778" w:type="dxa"/>
            <w:gridSpan w:val="4"/>
            <w:vAlign w:val="top"/>
          </w:tcPr>
          <w:p w14:paraId="7FB7A32D">
            <w:pPr>
              <w:spacing w:before="71" w:line="219" w:lineRule="auto"/>
              <w:ind w:left="106"/>
              <w:rPr>
                <w:rFonts w:hint="default" w:ascii="宋体" w:hAnsi="宋体" w:eastAsia="宋体" w:cs="宋体"/>
                <w:sz w:val="20"/>
                <w:szCs w:val="20"/>
                <w:lang w:val="en-US" w:eastAsia="zh-CN"/>
              </w:rPr>
            </w:pPr>
            <w:r>
              <w:rPr>
                <w:rFonts w:ascii="宋体" w:hAnsi="宋体" w:eastAsia="宋体" w:cs="宋体"/>
                <w:spacing w:val="-1"/>
                <w:sz w:val="20"/>
                <w:szCs w:val="20"/>
              </w:rPr>
              <w:t>按支出性质分：</w:t>
            </w:r>
            <w:r>
              <w:rPr>
                <w:rFonts w:hint="eastAsia" w:ascii="宋体" w:hAnsi="宋体" w:eastAsia="宋体" w:cs="宋体"/>
                <w:spacing w:val="-1"/>
                <w:sz w:val="20"/>
                <w:szCs w:val="20"/>
                <w:lang w:val="en-US" w:eastAsia="zh-CN"/>
              </w:rPr>
              <w:t>616.9</w:t>
            </w:r>
          </w:p>
        </w:tc>
      </w:tr>
      <w:tr w14:paraId="2828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00" w:type="dxa"/>
            <w:vMerge w:val="continue"/>
            <w:tcBorders>
              <w:top w:val="nil"/>
              <w:bottom w:val="nil"/>
            </w:tcBorders>
            <w:vAlign w:val="top"/>
          </w:tcPr>
          <w:p w14:paraId="01F786FA">
            <w:pPr>
              <w:pStyle w:val="20"/>
            </w:pPr>
          </w:p>
        </w:tc>
        <w:tc>
          <w:tcPr>
            <w:tcW w:w="4665" w:type="dxa"/>
            <w:gridSpan w:val="4"/>
            <w:vAlign w:val="top"/>
          </w:tcPr>
          <w:p w14:paraId="066BACC7">
            <w:pPr>
              <w:spacing w:before="72" w:line="219" w:lineRule="auto"/>
              <w:ind w:left="300"/>
              <w:rPr>
                <w:rFonts w:hint="default" w:ascii="宋体" w:hAnsi="宋体" w:eastAsia="宋体" w:cs="宋体"/>
                <w:sz w:val="20"/>
                <w:szCs w:val="20"/>
                <w:lang w:val="en-US" w:eastAsia="zh-CN"/>
              </w:rPr>
            </w:pPr>
            <w:r>
              <w:rPr>
                <w:rFonts w:ascii="宋体" w:hAnsi="宋体" w:eastAsia="宋体" w:cs="宋体"/>
                <w:spacing w:val="-3"/>
                <w:sz w:val="20"/>
                <w:szCs w:val="20"/>
              </w:rPr>
              <w:t>其中：一般公共预算：</w:t>
            </w:r>
            <w:r>
              <w:rPr>
                <w:rFonts w:hint="eastAsia" w:ascii="宋体" w:hAnsi="宋体" w:eastAsia="宋体" w:cs="宋体"/>
                <w:spacing w:val="-3"/>
                <w:sz w:val="20"/>
                <w:szCs w:val="20"/>
                <w:lang w:val="en-US" w:eastAsia="zh-CN"/>
              </w:rPr>
              <w:t>617.39</w:t>
            </w:r>
          </w:p>
        </w:tc>
        <w:tc>
          <w:tcPr>
            <w:tcW w:w="3778" w:type="dxa"/>
            <w:gridSpan w:val="4"/>
            <w:vAlign w:val="top"/>
          </w:tcPr>
          <w:p w14:paraId="62637004">
            <w:pPr>
              <w:spacing w:before="71" w:line="219" w:lineRule="auto"/>
              <w:ind w:left="106"/>
              <w:rPr>
                <w:rFonts w:hint="default" w:ascii="宋体" w:hAnsi="宋体" w:eastAsia="宋体" w:cs="宋体"/>
                <w:sz w:val="20"/>
                <w:szCs w:val="20"/>
                <w:lang w:val="en-US" w:eastAsia="zh-CN"/>
              </w:rPr>
            </w:pPr>
            <w:r>
              <w:rPr>
                <w:rFonts w:ascii="宋体" w:hAnsi="宋体" w:eastAsia="宋体" w:cs="宋体"/>
                <w:sz w:val="20"/>
                <w:szCs w:val="20"/>
              </w:rPr>
              <w:t>其中：基本支出：</w:t>
            </w:r>
            <w:r>
              <w:rPr>
                <w:rFonts w:hint="eastAsia" w:ascii="宋体" w:hAnsi="宋体" w:eastAsia="宋体" w:cs="宋体"/>
                <w:sz w:val="20"/>
                <w:szCs w:val="20"/>
                <w:lang w:val="en-US" w:eastAsia="zh-CN"/>
              </w:rPr>
              <w:t>464.89</w:t>
            </w:r>
          </w:p>
        </w:tc>
      </w:tr>
      <w:tr w14:paraId="37AD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300" w:type="dxa"/>
            <w:vMerge w:val="continue"/>
            <w:tcBorders>
              <w:top w:val="nil"/>
              <w:bottom w:val="nil"/>
            </w:tcBorders>
            <w:vAlign w:val="top"/>
          </w:tcPr>
          <w:p w14:paraId="0C1E5952">
            <w:pPr>
              <w:pStyle w:val="20"/>
            </w:pPr>
          </w:p>
        </w:tc>
        <w:tc>
          <w:tcPr>
            <w:tcW w:w="4665" w:type="dxa"/>
            <w:gridSpan w:val="4"/>
            <w:vAlign w:val="top"/>
          </w:tcPr>
          <w:p w14:paraId="5DC6BF1B">
            <w:pPr>
              <w:spacing w:before="71" w:line="219" w:lineRule="auto"/>
              <w:ind w:left="920"/>
              <w:rPr>
                <w:rFonts w:ascii="宋体" w:hAnsi="宋体" w:eastAsia="宋体" w:cs="宋体"/>
                <w:sz w:val="20"/>
                <w:szCs w:val="20"/>
              </w:rPr>
            </w:pPr>
            <w:r>
              <w:rPr>
                <w:rFonts w:ascii="宋体" w:hAnsi="宋体" w:eastAsia="宋体" w:cs="宋体"/>
                <w:sz w:val="20"/>
                <w:szCs w:val="20"/>
              </w:rPr>
              <w:t>政府性基金拨款：</w:t>
            </w:r>
          </w:p>
        </w:tc>
        <w:tc>
          <w:tcPr>
            <w:tcW w:w="3778" w:type="dxa"/>
            <w:gridSpan w:val="4"/>
            <w:vAlign w:val="top"/>
          </w:tcPr>
          <w:p w14:paraId="5A358B8B">
            <w:pPr>
              <w:spacing w:before="72" w:line="220" w:lineRule="auto"/>
              <w:ind w:left="716"/>
              <w:rPr>
                <w:rFonts w:hint="default" w:ascii="宋体" w:hAnsi="宋体" w:eastAsia="宋体" w:cs="宋体"/>
                <w:sz w:val="20"/>
                <w:szCs w:val="20"/>
                <w:lang w:val="en-US" w:eastAsia="zh-CN"/>
              </w:rPr>
            </w:pPr>
            <w:r>
              <w:rPr>
                <w:rFonts w:ascii="宋体" w:hAnsi="宋体" w:eastAsia="宋体" w:cs="宋体"/>
                <w:spacing w:val="-1"/>
                <w:sz w:val="20"/>
                <w:szCs w:val="20"/>
              </w:rPr>
              <w:t>项目支出：</w:t>
            </w:r>
            <w:r>
              <w:rPr>
                <w:rFonts w:hint="eastAsia" w:ascii="宋体" w:hAnsi="宋体" w:eastAsia="宋体" w:cs="宋体"/>
                <w:spacing w:val="-1"/>
                <w:sz w:val="20"/>
                <w:szCs w:val="20"/>
                <w:lang w:val="en-US" w:eastAsia="zh-CN"/>
              </w:rPr>
              <w:t>152.01</w:t>
            </w:r>
          </w:p>
        </w:tc>
      </w:tr>
      <w:tr w14:paraId="66CB9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1300" w:type="dxa"/>
            <w:vMerge w:val="continue"/>
            <w:tcBorders>
              <w:top w:val="nil"/>
              <w:bottom w:val="nil"/>
            </w:tcBorders>
            <w:vAlign w:val="top"/>
          </w:tcPr>
          <w:p w14:paraId="046326C9">
            <w:pPr>
              <w:pStyle w:val="20"/>
            </w:pPr>
          </w:p>
        </w:tc>
        <w:tc>
          <w:tcPr>
            <w:tcW w:w="4665" w:type="dxa"/>
            <w:gridSpan w:val="4"/>
            <w:vAlign w:val="top"/>
          </w:tcPr>
          <w:p w14:paraId="76A3D933">
            <w:pPr>
              <w:spacing w:before="72" w:line="219" w:lineRule="auto"/>
              <w:ind w:left="300"/>
              <w:rPr>
                <w:rFonts w:ascii="宋体" w:hAnsi="宋体" w:eastAsia="宋体" w:cs="宋体"/>
                <w:sz w:val="20"/>
                <w:szCs w:val="20"/>
              </w:rPr>
            </w:pPr>
            <w:r>
              <w:rPr>
                <w:rFonts w:ascii="宋体" w:hAnsi="宋体" w:eastAsia="宋体" w:cs="宋体"/>
                <w:spacing w:val="-1"/>
                <w:sz w:val="20"/>
                <w:szCs w:val="20"/>
              </w:rPr>
              <w:t>纳入专户管理的非税收入拨款：</w:t>
            </w:r>
          </w:p>
        </w:tc>
        <w:tc>
          <w:tcPr>
            <w:tcW w:w="3778" w:type="dxa"/>
            <w:gridSpan w:val="4"/>
            <w:vAlign w:val="top"/>
          </w:tcPr>
          <w:p w14:paraId="6F45862F">
            <w:pPr>
              <w:pStyle w:val="20"/>
            </w:pPr>
          </w:p>
        </w:tc>
      </w:tr>
      <w:tr w14:paraId="32CD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300" w:type="dxa"/>
            <w:vMerge w:val="continue"/>
            <w:tcBorders>
              <w:top w:val="nil"/>
            </w:tcBorders>
            <w:vAlign w:val="top"/>
          </w:tcPr>
          <w:p w14:paraId="794EA8AF">
            <w:pPr>
              <w:pStyle w:val="20"/>
            </w:pPr>
          </w:p>
        </w:tc>
        <w:tc>
          <w:tcPr>
            <w:tcW w:w="4665" w:type="dxa"/>
            <w:gridSpan w:val="4"/>
            <w:vAlign w:val="top"/>
          </w:tcPr>
          <w:p w14:paraId="0918D018">
            <w:pPr>
              <w:spacing w:before="43" w:line="209" w:lineRule="auto"/>
              <w:ind w:left="1500"/>
              <w:rPr>
                <w:rFonts w:ascii="宋体" w:hAnsi="宋体" w:eastAsia="宋体" w:cs="宋体"/>
                <w:sz w:val="20"/>
                <w:szCs w:val="20"/>
              </w:rPr>
            </w:pPr>
            <w:r>
              <w:rPr>
                <w:rFonts w:ascii="宋体" w:hAnsi="宋体" w:eastAsia="宋体" w:cs="宋体"/>
                <w:spacing w:val="-1"/>
                <w:sz w:val="20"/>
                <w:szCs w:val="20"/>
              </w:rPr>
              <w:t>其他资金：</w:t>
            </w:r>
          </w:p>
        </w:tc>
        <w:tc>
          <w:tcPr>
            <w:tcW w:w="3778" w:type="dxa"/>
            <w:gridSpan w:val="4"/>
            <w:vAlign w:val="top"/>
          </w:tcPr>
          <w:p w14:paraId="5D65E862">
            <w:pPr>
              <w:pStyle w:val="20"/>
            </w:pPr>
          </w:p>
        </w:tc>
      </w:tr>
      <w:tr w14:paraId="5D980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300" w:type="dxa"/>
            <w:vMerge w:val="restart"/>
            <w:tcBorders>
              <w:bottom w:val="nil"/>
            </w:tcBorders>
            <w:vAlign w:val="top"/>
          </w:tcPr>
          <w:p w14:paraId="42A909E1">
            <w:pPr>
              <w:spacing w:before="33" w:line="219" w:lineRule="auto"/>
              <w:ind w:left="185"/>
              <w:rPr>
                <w:rFonts w:ascii="宋体" w:hAnsi="宋体" w:eastAsia="宋体" w:cs="宋体"/>
                <w:sz w:val="20"/>
                <w:szCs w:val="20"/>
              </w:rPr>
            </w:pPr>
            <w:r>
              <w:rPr>
                <w:rFonts w:ascii="宋体" w:hAnsi="宋体" w:eastAsia="宋体" w:cs="宋体"/>
                <w:spacing w:val="-2"/>
                <w:sz w:val="20"/>
                <w:szCs w:val="20"/>
              </w:rPr>
              <w:t>年度总体</w:t>
            </w:r>
          </w:p>
          <w:p w14:paraId="10C797C9">
            <w:pPr>
              <w:spacing w:before="3" w:line="190" w:lineRule="auto"/>
              <w:ind w:left="384"/>
              <w:rPr>
                <w:rFonts w:ascii="宋体" w:hAnsi="宋体" w:eastAsia="宋体" w:cs="宋体"/>
                <w:sz w:val="20"/>
                <w:szCs w:val="20"/>
              </w:rPr>
            </w:pPr>
            <w:r>
              <w:rPr>
                <w:rFonts w:ascii="宋体" w:hAnsi="宋体" w:eastAsia="宋体" w:cs="宋体"/>
                <w:spacing w:val="8"/>
                <w:sz w:val="20"/>
                <w:szCs w:val="20"/>
              </w:rPr>
              <w:t>目标</w:t>
            </w:r>
          </w:p>
        </w:tc>
        <w:tc>
          <w:tcPr>
            <w:tcW w:w="4665" w:type="dxa"/>
            <w:gridSpan w:val="4"/>
            <w:vAlign w:val="top"/>
          </w:tcPr>
          <w:p w14:paraId="62CD30FC">
            <w:pPr>
              <w:spacing w:before="23" w:line="181" w:lineRule="auto"/>
              <w:ind w:left="1890"/>
              <w:rPr>
                <w:rFonts w:ascii="宋体" w:hAnsi="宋体" w:eastAsia="宋体" w:cs="宋体"/>
                <w:sz w:val="20"/>
                <w:szCs w:val="20"/>
              </w:rPr>
            </w:pPr>
            <w:r>
              <w:rPr>
                <w:rFonts w:ascii="宋体" w:hAnsi="宋体" w:eastAsia="宋体" w:cs="宋体"/>
                <w:spacing w:val="-2"/>
                <w:sz w:val="20"/>
                <w:szCs w:val="20"/>
              </w:rPr>
              <w:t>预期目标</w:t>
            </w:r>
          </w:p>
        </w:tc>
        <w:tc>
          <w:tcPr>
            <w:tcW w:w="3778" w:type="dxa"/>
            <w:gridSpan w:val="4"/>
            <w:vAlign w:val="top"/>
          </w:tcPr>
          <w:p w14:paraId="15D4F825">
            <w:pPr>
              <w:spacing w:before="22" w:line="182" w:lineRule="auto"/>
              <w:ind w:left="1165"/>
              <w:rPr>
                <w:rFonts w:ascii="宋体" w:hAnsi="宋体" w:eastAsia="宋体" w:cs="宋体"/>
                <w:sz w:val="20"/>
                <w:szCs w:val="20"/>
              </w:rPr>
            </w:pPr>
            <w:r>
              <w:rPr>
                <w:rFonts w:ascii="宋体" w:hAnsi="宋体" w:eastAsia="宋体" w:cs="宋体"/>
                <w:spacing w:val="1"/>
                <w:sz w:val="20"/>
                <w:szCs w:val="20"/>
              </w:rPr>
              <w:t>实际完成情况</w:t>
            </w:r>
          </w:p>
        </w:tc>
      </w:tr>
      <w:tr w14:paraId="7971A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3" w:hRule="atLeast"/>
          <w:jc w:val="center"/>
        </w:trPr>
        <w:tc>
          <w:tcPr>
            <w:tcW w:w="1300" w:type="dxa"/>
            <w:vMerge w:val="continue"/>
            <w:tcBorders>
              <w:top w:val="nil"/>
            </w:tcBorders>
            <w:vAlign w:val="top"/>
          </w:tcPr>
          <w:p w14:paraId="33685113">
            <w:pPr>
              <w:pStyle w:val="20"/>
            </w:pPr>
          </w:p>
        </w:tc>
        <w:tc>
          <w:tcPr>
            <w:tcW w:w="4665" w:type="dxa"/>
            <w:gridSpan w:val="4"/>
            <w:vAlign w:val="top"/>
          </w:tcPr>
          <w:p w14:paraId="231DFE61">
            <w:pPr>
              <w:pStyle w:val="20"/>
              <w:spacing w:line="240" w:lineRule="exact"/>
              <w:rPr>
                <w:sz w:val="20"/>
              </w:rPr>
            </w:pPr>
            <w:r>
              <w:rPr>
                <w:rFonts w:hint="eastAsia"/>
                <w:sz w:val="20"/>
              </w:rPr>
              <w:t>（一）围绕中心，推动医保领域各项重点工作深入开展，全力推进国家信息平台上线，持续完善DIP实际付费；（二）聚焦民生，深入开展“我为群众办实事”实践活动，用党史学习教育成效推动实际工作，不断提升医保公共服务质量和水平；（三）强化监管，全力保障医保基金安全平稳运行，积极开展医保基金集中整治，全面完成经办管理风险排查，构建完善经办内控监督体系。</w:t>
            </w:r>
          </w:p>
        </w:tc>
        <w:tc>
          <w:tcPr>
            <w:tcW w:w="3778" w:type="dxa"/>
            <w:gridSpan w:val="4"/>
            <w:vAlign w:val="top"/>
          </w:tcPr>
          <w:p w14:paraId="15713795">
            <w:pPr>
              <w:pStyle w:val="20"/>
              <w:spacing w:line="240" w:lineRule="exact"/>
              <w:rPr>
                <w:rFonts w:hint="eastAsia" w:ascii="Times New Roman" w:hAnsi="Times New Roman" w:eastAsia="仿宋_GB2312" w:cs="Times New Roman"/>
                <w:color w:val="000000"/>
                <w:w w:val="100"/>
                <w:kern w:val="0"/>
                <w:sz w:val="18"/>
                <w:szCs w:val="18"/>
              </w:rPr>
            </w:pPr>
            <w:r>
              <w:rPr>
                <w:rFonts w:hint="default" w:ascii="Times New Roman" w:hAnsi="Times New Roman" w:eastAsia="仿宋_GB2312" w:cs="Times New Roman"/>
                <w:color w:val="000000"/>
                <w:w w:val="100"/>
                <w:kern w:val="0"/>
                <w:sz w:val="18"/>
                <w:szCs w:val="18"/>
              </w:rPr>
              <w:t>202</w:t>
            </w:r>
            <w:r>
              <w:rPr>
                <w:rFonts w:hint="eastAsia" w:ascii="Times New Roman" w:hAnsi="Times New Roman" w:eastAsia="仿宋_GB2312" w:cs="Times New Roman"/>
                <w:color w:val="000000"/>
                <w:w w:val="100"/>
                <w:kern w:val="0"/>
                <w:sz w:val="18"/>
                <w:szCs w:val="18"/>
                <w:lang w:val="en-US" w:eastAsia="zh-CN"/>
              </w:rPr>
              <w:t>4</w:t>
            </w:r>
            <w:r>
              <w:rPr>
                <w:rFonts w:hint="default" w:ascii="Times New Roman" w:hAnsi="Times New Roman" w:eastAsia="仿宋_GB2312" w:cs="Times New Roman"/>
                <w:color w:val="000000"/>
                <w:w w:val="100"/>
                <w:kern w:val="0"/>
                <w:sz w:val="18"/>
                <w:szCs w:val="18"/>
              </w:rPr>
              <w:t>年</w:t>
            </w:r>
            <w:r>
              <w:rPr>
                <w:rFonts w:hint="eastAsia" w:ascii="Times New Roman" w:hAnsi="Times New Roman" w:eastAsia="仿宋_GB2312" w:cs="Times New Roman"/>
                <w:color w:val="000000"/>
                <w:w w:val="100"/>
                <w:kern w:val="0"/>
                <w:sz w:val="18"/>
                <w:szCs w:val="18"/>
              </w:rPr>
              <w:t>，我</w:t>
            </w:r>
            <w:r>
              <w:rPr>
                <w:rFonts w:hint="default" w:ascii="Times New Roman" w:hAnsi="Times New Roman" w:eastAsia="仿宋_GB2312" w:cs="Times New Roman"/>
                <w:color w:val="000000"/>
                <w:w w:val="100"/>
                <w:kern w:val="0"/>
                <w:sz w:val="18"/>
                <w:szCs w:val="18"/>
              </w:rPr>
              <w:t>中心圆满完成了各项工作任务与总体目标，为全市人民的医疗保障事业作出了积极贡献</w:t>
            </w:r>
            <w:r>
              <w:rPr>
                <w:rFonts w:hint="eastAsia" w:ascii="Times New Roman" w:hAnsi="Times New Roman" w:eastAsia="仿宋_GB2312" w:cs="Times New Roman"/>
                <w:color w:val="000000"/>
                <w:w w:val="100"/>
                <w:kern w:val="0"/>
                <w:sz w:val="18"/>
                <w:szCs w:val="18"/>
              </w:rPr>
              <w:t>，主要是：</w:t>
            </w:r>
          </w:p>
          <w:p w14:paraId="7E7945E5">
            <w:pPr>
              <w:pStyle w:val="20"/>
              <w:spacing w:line="240" w:lineRule="exact"/>
              <w:rPr>
                <w:rFonts w:hint="eastAsia" w:ascii="Times New Roman" w:hAnsi="Times New Roman" w:eastAsia="仿宋_GB2312" w:cs="Times New Roman"/>
                <w:color w:val="000000"/>
                <w:w w:val="100"/>
                <w:kern w:val="0"/>
                <w:sz w:val="18"/>
                <w:szCs w:val="18"/>
              </w:rPr>
            </w:pPr>
            <w:r>
              <w:rPr>
                <w:rFonts w:hint="eastAsia" w:ascii="Times New Roman" w:hAnsi="Times New Roman" w:eastAsia="仿宋_GB2312" w:cs="Times New Roman"/>
                <w:color w:val="000000"/>
                <w:w w:val="100"/>
                <w:kern w:val="0"/>
                <w:sz w:val="18"/>
                <w:szCs w:val="18"/>
              </w:rPr>
              <w:t>（一）正着力推动医保领域各项重点工作深入开展，持续推进国家信息平台上线，持续完善DIP实际付费，现已完成DIP住院费用结算</w:t>
            </w:r>
            <w:r>
              <w:rPr>
                <w:rFonts w:hint="eastAsia" w:ascii="Times New Roman" w:hAnsi="Times New Roman" w:eastAsia="仿宋_GB2312" w:cs="Times New Roman"/>
                <w:color w:val="000000"/>
                <w:w w:val="100"/>
                <w:kern w:val="0"/>
                <w:sz w:val="18"/>
                <w:szCs w:val="18"/>
                <w:lang w:val="en-US" w:eastAsia="zh-CN"/>
              </w:rPr>
              <w:t>两</w:t>
            </w:r>
            <w:r>
              <w:rPr>
                <w:rFonts w:hint="eastAsia" w:ascii="Times New Roman" w:hAnsi="Times New Roman" w:eastAsia="仿宋_GB2312" w:cs="Times New Roman"/>
                <w:color w:val="000000"/>
                <w:w w:val="100"/>
                <w:kern w:val="0"/>
                <w:sz w:val="18"/>
                <w:szCs w:val="18"/>
              </w:rPr>
              <w:t>次；（二）聚焦民生，深入开展“我为群众办实事”实践活动，对全市医保经办机构“高效办成一件事”及内控制度等工作落实情况开展</w:t>
            </w:r>
          </w:p>
          <w:p w14:paraId="2E8EA56A">
            <w:pPr>
              <w:pStyle w:val="20"/>
              <w:spacing w:line="240" w:lineRule="exact"/>
              <w:rPr>
                <w:rFonts w:hint="eastAsia" w:ascii="Times New Roman" w:hAnsi="Times New Roman" w:eastAsia="仿宋_GB2312" w:cs="Times New Roman"/>
                <w:color w:val="000000"/>
                <w:w w:val="100"/>
                <w:kern w:val="0"/>
                <w:sz w:val="18"/>
                <w:szCs w:val="18"/>
              </w:rPr>
            </w:pPr>
            <w:r>
              <w:rPr>
                <w:rFonts w:hint="eastAsia" w:ascii="Times New Roman" w:hAnsi="Times New Roman" w:eastAsia="仿宋_GB2312" w:cs="Times New Roman"/>
                <w:color w:val="000000"/>
                <w:w w:val="100"/>
                <w:kern w:val="0"/>
                <w:sz w:val="18"/>
                <w:szCs w:val="18"/>
              </w:rPr>
              <w:t>调研，不断提升医保公共服务质量和水平；（三）对于医保基金支付按要求进行双岗双审，保障每一笔结算款准确及时支付，全力保障医保基金安全平稳运行，积极开展医保基金集中整治，进行经办管理风险排查，构建完善经办内控监督体系。</w:t>
            </w:r>
          </w:p>
        </w:tc>
      </w:tr>
      <w:tr w14:paraId="14A3F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jc w:val="center"/>
        </w:trPr>
        <w:tc>
          <w:tcPr>
            <w:tcW w:w="1300" w:type="dxa"/>
            <w:vMerge w:val="restart"/>
            <w:tcBorders>
              <w:bottom w:val="nil"/>
            </w:tcBorders>
            <w:textDirection w:val="tbRlV"/>
            <w:vAlign w:val="top"/>
          </w:tcPr>
          <w:p w14:paraId="03CBF672">
            <w:pPr>
              <w:pStyle w:val="20"/>
              <w:spacing w:line="415" w:lineRule="auto"/>
            </w:pPr>
          </w:p>
          <w:p w14:paraId="1CD676B4">
            <w:pPr>
              <w:spacing w:before="67" w:line="202" w:lineRule="auto"/>
              <w:ind w:left="2845"/>
              <w:rPr>
                <w:rFonts w:ascii="宋体" w:hAnsi="宋体" w:eastAsia="宋体" w:cs="宋体"/>
                <w:sz w:val="20"/>
                <w:szCs w:val="20"/>
              </w:rPr>
            </w:pPr>
            <w:r>
              <w:rPr>
                <w:rFonts w:ascii="宋体" w:hAnsi="宋体" w:eastAsia="宋体" w:cs="宋体"/>
                <w:sz w:val="20"/>
                <w:szCs w:val="20"/>
              </w:rPr>
              <w:t>绩效指标</w:t>
            </w:r>
          </w:p>
        </w:tc>
        <w:tc>
          <w:tcPr>
            <w:tcW w:w="1133" w:type="dxa"/>
            <w:vAlign w:val="center"/>
          </w:tcPr>
          <w:p w14:paraId="6FD2054B">
            <w:pPr>
              <w:spacing w:before="263" w:line="220" w:lineRule="auto"/>
              <w:ind w:left="181"/>
              <w:jc w:val="center"/>
              <w:rPr>
                <w:rFonts w:ascii="宋体" w:hAnsi="宋体" w:eastAsia="宋体" w:cs="宋体"/>
                <w:sz w:val="20"/>
                <w:szCs w:val="20"/>
              </w:rPr>
            </w:pPr>
            <w:r>
              <w:rPr>
                <w:rFonts w:ascii="宋体" w:hAnsi="宋体" w:eastAsia="宋体" w:cs="宋体"/>
                <w:spacing w:val="-3"/>
                <w:sz w:val="20"/>
                <w:szCs w:val="20"/>
              </w:rPr>
              <w:t>一级指标</w:t>
            </w:r>
          </w:p>
        </w:tc>
        <w:tc>
          <w:tcPr>
            <w:tcW w:w="1167" w:type="dxa"/>
            <w:vAlign w:val="center"/>
          </w:tcPr>
          <w:p w14:paraId="337A82F8">
            <w:pPr>
              <w:spacing w:before="263" w:line="220" w:lineRule="auto"/>
              <w:ind w:left="152"/>
              <w:jc w:val="center"/>
              <w:rPr>
                <w:rFonts w:ascii="宋体" w:hAnsi="宋体" w:eastAsia="宋体" w:cs="宋体"/>
                <w:sz w:val="20"/>
                <w:szCs w:val="20"/>
              </w:rPr>
            </w:pPr>
            <w:r>
              <w:rPr>
                <w:rFonts w:ascii="宋体" w:hAnsi="宋体" w:eastAsia="宋体" w:cs="宋体"/>
                <w:spacing w:val="-3"/>
                <w:sz w:val="20"/>
                <w:szCs w:val="20"/>
              </w:rPr>
              <w:t>二级指标</w:t>
            </w:r>
          </w:p>
        </w:tc>
        <w:tc>
          <w:tcPr>
            <w:tcW w:w="1206" w:type="dxa"/>
            <w:vAlign w:val="center"/>
          </w:tcPr>
          <w:p w14:paraId="0308B419">
            <w:pPr>
              <w:spacing w:before="263" w:line="220" w:lineRule="auto"/>
              <w:ind w:left="82"/>
              <w:jc w:val="center"/>
              <w:rPr>
                <w:rFonts w:ascii="宋体" w:hAnsi="宋体" w:eastAsia="宋体" w:cs="宋体"/>
                <w:sz w:val="20"/>
                <w:szCs w:val="20"/>
              </w:rPr>
            </w:pPr>
            <w:r>
              <w:rPr>
                <w:rFonts w:ascii="宋体" w:hAnsi="宋体" w:eastAsia="宋体" w:cs="宋体"/>
                <w:spacing w:val="-2"/>
                <w:sz w:val="20"/>
                <w:szCs w:val="20"/>
              </w:rPr>
              <w:t>三级指标</w:t>
            </w:r>
          </w:p>
        </w:tc>
        <w:tc>
          <w:tcPr>
            <w:tcW w:w="1159" w:type="dxa"/>
            <w:vAlign w:val="center"/>
          </w:tcPr>
          <w:p w14:paraId="6D320C74">
            <w:pPr>
              <w:spacing w:before="142" w:line="224" w:lineRule="auto"/>
              <w:ind w:right="304"/>
              <w:jc w:val="center"/>
              <w:rPr>
                <w:rFonts w:ascii="宋体" w:hAnsi="宋体" w:eastAsia="宋体" w:cs="宋体"/>
                <w:sz w:val="20"/>
                <w:szCs w:val="20"/>
              </w:rPr>
            </w:pPr>
            <w:r>
              <w:rPr>
                <w:rFonts w:ascii="宋体" w:hAnsi="宋体" w:eastAsia="宋体" w:cs="宋体"/>
                <w:spacing w:val="5"/>
                <w:sz w:val="20"/>
                <w:szCs w:val="20"/>
              </w:rPr>
              <w:t>年度</w:t>
            </w:r>
            <w:r>
              <w:rPr>
                <w:rFonts w:ascii="宋体" w:hAnsi="宋体" w:eastAsia="宋体" w:cs="宋体"/>
                <w:spacing w:val="-4"/>
                <w:sz w:val="20"/>
                <w:szCs w:val="20"/>
              </w:rPr>
              <w:t>指标值</w:t>
            </w:r>
          </w:p>
        </w:tc>
        <w:tc>
          <w:tcPr>
            <w:tcW w:w="1166" w:type="dxa"/>
            <w:vAlign w:val="center"/>
          </w:tcPr>
          <w:p w14:paraId="57308450">
            <w:pPr>
              <w:spacing w:before="164" w:line="206" w:lineRule="auto"/>
              <w:ind w:right="262"/>
              <w:jc w:val="center"/>
              <w:rPr>
                <w:rFonts w:ascii="宋体" w:hAnsi="宋体" w:eastAsia="宋体" w:cs="宋体"/>
                <w:sz w:val="20"/>
                <w:szCs w:val="20"/>
              </w:rPr>
            </w:pPr>
            <w:r>
              <w:rPr>
                <w:rFonts w:ascii="宋体" w:hAnsi="宋体" w:eastAsia="宋体" w:cs="宋体"/>
                <w:spacing w:val="4"/>
                <w:sz w:val="20"/>
                <w:szCs w:val="20"/>
              </w:rPr>
              <w:t>实际</w:t>
            </w:r>
            <w:r>
              <w:rPr>
                <w:rFonts w:ascii="宋体" w:hAnsi="宋体" w:eastAsia="宋体" w:cs="宋体"/>
                <w:spacing w:val="-4"/>
                <w:sz w:val="20"/>
                <w:szCs w:val="20"/>
              </w:rPr>
              <w:t>完成值</w:t>
            </w:r>
          </w:p>
        </w:tc>
        <w:tc>
          <w:tcPr>
            <w:tcW w:w="591" w:type="dxa"/>
            <w:vAlign w:val="center"/>
          </w:tcPr>
          <w:p w14:paraId="5181D80A">
            <w:pPr>
              <w:spacing w:before="263" w:line="219" w:lineRule="auto"/>
              <w:ind w:left="147"/>
              <w:jc w:val="center"/>
              <w:rPr>
                <w:rFonts w:ascii="宋体" w:hAnsi="宋体" w:eastAsia="宋体" w:cs="宋体"/>
                <w:sz w:val="20"/>
                <w:szCs w:val="20"/>
              </w:rPr>
            </w:pPr>
            <w:r>
              <w:rPr>
                <w:rFonts w:ascii="宋体" w:hAnsi="宋体" w:eastAsia="宋体" w:cs="宋体"/>
                <w:spacing w:val="-3"/>
                <w:sz w:val="20"/>
                <w:szCs w:val="20"/>
              </w:rPr>
              <w:t>分值</w:t>
            </w:r>
          </w:p>
        </w:tc>
        <w:tc>
          <w:tcPr>
            <w:tcW w:w="1117" w:type="dxa"/>
            <w:textDirection w:val="tbRlV"/>
            <w:vAlign w:val="center"/>
          </w:tcPr>
          <w:p w14:paraId="269DB6E7">
            <w:pPr>
              <w:spacing w:before="148" w:line="200" w:lineRule="auto"/>
              <w:ind w:left="104"/>
              <w:jc w:val="center"/>
              <w:rPr>
                <w:rFonts w:ascii="宋体" w:hAnsi="宋体" w:eastAsia="宋体" w:cs="宋体"/>
                <w:sz w:val="20"/>
                <w:szCs w:val="20"/>
              </w:rPr>
            </w:pPr>
            <w:r>
              <w:rPr>
                <w:rFonts w:ascii="宋体" w:hAnsi="宋体" w:eastAsia="宋体" w:cs="宋体"/>
                <w:sz w:val="20"/>
                <w:szCs w:val="20"/>
              </w:rPr>
              <w:t>得分</w:t>
            </w:r>
          </w:p>
        </w:tc>
        <w:tc>
          <w:tcPr>
            <w:tcW w:w="904" w:type="dxa"/>
            <w:vAlign w:val="center"/>
          </w:tcPr>
          <w:p w14:paraId="1ECDA045">
            <w:pPr>
              <w:spacing w:before="23" w:line="219" w:lineRule="auto"/>
              <w:ind w:left="179"/>
              <w:jc w:val="center"/>
              <w:rPr>
                <w:rFonts w:ascii="宋体" w:hAnsi="宋体" w:eastAsia="宋体" w:cs="宋体"/>
                <w:sz w:val="20"/>
                <w:szCs w:val="20"/>
              </w:rPr>
            </w:pPr>
            <w:r>
              <w:rPr>
                <w:rFonts w:ascii="宋体" w:hAnsi="宋体" w:eastAsia="宋体" w:cs="宋体"/>
                <w:spacing w:val="5"/>
                <w:sz w:val="20"/>
                <w:szCs w:val="20"/>
              </w:rPr>
              <w:t>偏差原因</w:t>
            </w:r>
            <w:r>
              <w:rPr>
                <w:rFonts w:ascii="宋体" w:hAnsi="宋体" w:eastAsia="宋体" w:cs="宋体"/>
                <w:spacing w:val="3"/>
                <w:sz w:val="20"/>
                <w:szCs w:val="20"/>
              </w:rPr>
              <w:t>分析及</w:t>
            </w:r>
            <w:r>
              <w:rPr>
                <w:rFonts w:ascii="宋体" w:hAnsi="宋体" w:eastAsia="宋体" w:cs="宋体"/>
                <w:spacing w:val="2"/>
                <w:sz w:val="20"/>
                <w:szCs w:val="20"/>
              </w:rPr>
              <w:t>改进措施</w:t>
            </w:r>
          </w:p>
        </w:tc>
      </w:tr>
      <w:tr w14:paraId="2CD9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300" w:type="dxa"/>
            <w:vMerge w:val="continue"/>
            <w:tcBorders>
              <w:top w:val="nil"/>
              <w:bottom w:val="nil"/>
            </w:tcBorders>
            <w:textDirection w:val="tbRlV"/>
            <w:vAlign w:val="top"/>
          </w:tcPr>
          <w:p w14:paraId="21EDAFFE">
            <w:pPr>
              <w:pStyle w:val="20"/>
            </w:pPr>
          </w:p>
        </w:tc>
        <w:tc>
          <w:tcPr>
            <w:tcW w:w="1133" w:type="dxa"/>
            <w:vMerge w:val="restart"/>
            <w:tcBorders>
              <w:bottom w:val="nil"/>
            </w:tcBorders>
            <w:vAlign w:val="top"/>
          </w:tcPr>
          <w:p w14:paraId="4383DB0A">
            <w:pPr>
              <w:pStyle w:val="20"/>
              <w:spacing w:line="302" w:lineRule="auto"/>
            </w:pPr>
          </w:p>
          <w:p w14:paraId="5E9B48F0">
            <w:pPr>
              <w:pStyle w:val="20"/>
              <w:spacing w:line="302" w:lineRule="auto"/>
            </w:pPr>
          </w:p>
          <w:p w14:paraId="41962ECF">
            <w:pPr>
              <w:spacing w:before="65" w:line="219" w:lineRule="auto"/>
              <w:ind w:left="181"/>
              <w:rPr>
                <w:rFonts w:ascii="宋体" w:hAnsi="宋体" w:eastAsia="宋体" w:cs="宋体"/>
                <w:sz w:val="20"/>
                <w:szCs w:val="20"/>
              </w:rPr>
            </w:pPr>
            <w:r>
              <w:rPr>
                <w:rFonts w:ascii="宋体" w:hAnsi="宋体" w:eastAsia="宋体" w:cs="宋体"/>
                <w:spacing w:val="-2"/>
                <w:sz w:val="20"/>
                <w:szCs w:val="20"/>
              </w:rPr>
              <w:t>成本指标</w:t>
            </w:r>
          </w:p>
        </w:tc>
        <w:tc>
          <w:tcPr>
            <w:tcW w:w="1167" w:type="dxa"/>
            <w:vMerge w:val="restart"/>
            <w:tcBorders>
              <w:bottom w:val="nil"/>
            </w:tcBorders>
            <w:vAlign w:val="top"/>
          </w:tcPr>
          <w:p w14:paraId="25A70FA6">
            <w:pPr>
              <w:spacing w:before="33" w:line="219" w:lineRule="auto"/>
              <w:ind w:left="152"/>
              <w:rPr>
                <w:rFonts w:ascii="宋体" w:hAnsi="宋体" w:eastAsia="宋体" w:cs="宋体"/>
                <w:sz w:val="20"/>
                <w:szCs w:val="20"/>
              </w:rPr>
            </w:pPr>
            <w:r>
              <w:rPr>
                <w:rFonts w:ascii="宋体" w:hAnsi="宋体" w:eastAsia="宋体" w:cs="宋体"/>
                <w:spacing w:val="-2"/>
                <w:sz w:val="20"/>
                <w:szCs w:val="20"/>
              </w:rPr>
              <w:t>经济成本</w:t>
            </w:r>
          </w:p>
          <w:p w14:paraId="79108DB8">
            <w:pPr>
              <w:spacing w:before="4" w:line="189" w:lineRule="auto"/>
              <w:ind w:left="351"/>
              <w:rPr>
                <w:rFonts w:ascii="宋体" w:hAnsi="宋体" w:eastAsia="宋体" w:cs="宋体"/>
                <w:sz w:val="20"/>
                <w:szCs w:val="20"/>
              </w:rPr>
            </w:pPr>
            <w:r>
              <w:rPr>
                <w:rFonts w:ascii="宋体" w:hAnsi="宋体" w:eastAsia="宋体" w:cs="宋体"/>
                <w:spacing w:val="-3"/>
                <w:sz w:val="20"/>
                <w:szCs w:val="20"/>
              </w:rPr>
              <w:t>指标</w:t>
            </w:r>
          </w:p>
        </w:tc>
        <w:tc>
          <w:tcPr>
            <w:tcW w:w="1206" w:type="dxa"/>
            <w:vAlign w:val="center"/>
          </w:tcPr>
          <w:p w14:paraId="645B60EF">
            <w:pPr>
              <w:pStyle w:val="20"/>
              <w:spacing w:line="22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基本支出控制</w:t>
            </w:r>
          </w:p>
        </w:tc>
        <w:tc>
          <w:tcPr>
            <w:tcW w:w="1159" w:type="dxa"/>
            <w:vAlign w:val="center"/>
          </w:tcPr>
          <w:p w14:paraId="592A3CEC">
            <w:pPr>
              <w:pStyle w:val="20"/>
              <w:spacing w:line="22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w:t>
            </w:r>
            <w:r>
              <w:rPr>
                <w:rFonts w:hint="eastAsia" w:ascii="宋体" w:hAnsi="宋体" w:eastAsia="宋体" w:cs="宋体"/>
                <w:snapToGrid w:val="0"/>
                <w:color w:val="000000"/>
                <w:spacing w:val="-2"/>
                <w:kern w:val="0"/>
                <w:sz w:val="20"/>
                <w:szCs w:val="20"/>
                <w:lang w:val="en-US" w:eastAsia="zh-CN" w:bidi="ar-SA"/>
              </w:rPr>
              <w:t>480</w:t>
            </w:r>
            <w:r>
              <w:rPr>
                <w:rFonts w:hint="eastAsia" w:ascii="宋体" w:hAnsi="宋体" w:eastAsia="宋体" w:cs="宋体"/>
                <w:snapToGrid w:val="0"/>
                <w:color w:val="000000"/>
                <w:spacing w:val="-2"/>
                <w:kern w:val="0"/>
                <w:sz w:val="20"/>
                <w:szCs w:val="20"/>
                <w:lang w:val="en-US" w:eastAsia="en-US" w:bidi="ar-SA"/>
              </w:rPr>
              <w:t>万元</w:t>
            </w:r>
          </w:p>
        </w:tc>
        <w:tc>
          <w:tcPr>
            <w:tcW w:w="1166" w:type="dxa"/>
            <w:vAlign w:val="center"/>
          </w:tcPr>
          <w:p w14:paraId="17DB8E60">
            <w:pPr>
              <w:pStyle w:val="20"/>
              <w:spacing w:line="22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464.89万元</w:t>
            </w:r>
          </w:p>
        </w:tc>
        <w:tc>
          <w:tcPr>
            <w:tcW w:w="591" w:type="dxa"/>
            <w:vAlign w:val="center"/>
          </w:tcPr>
          <w:p w14:paraId="7F8675C2">
            <w:pPr>
              <w:pStyle w:val="20"/>
              <w:spacing w:line="22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4AFC1A45">
            <w:pPr>
              <w:pStyle w:val="20"/>
              <w:spacing w:line="22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70A81F30">
            <w:pPr>
              <w:pStyle w:val="20"/>
              <w:spacing w:line="220" w:lineRule="exact"/>
              <w:rPr>
                <w:sz w:val="19"/>
              </w:rPr>
            </w:pPr>
          </w:p>
        </w:tc>
      </w:tr>
      <w:tr w14:paraId="32B84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300" w:type="dxa"/>
            <w:vMerge w:val="continue"/>
            <w:tcBorders>
              <w:top w:val="nil"/>
              <w:bottom w:val="nil"/>
            </w:tcBorders>
            <w:textDirection w:val="tbRlV"/>
            <w:vAlign w:val="top"/>
          </w:tcPr>
          <w:p w14:paraId="7C63E4E0">
            <w:pPr>
              <w:pStyle w:val="20"/>
            </w:pPr>
          </w:p>
        </w:tc>
        <w:tc>
          <w:tcPr>
            <w:tcW w:w="1133" w:type="dxa"/>
            <w:vMerge w:val="continue"/>
            <w:tcBorders>
              <w:top w:val="nil"/>
              <w:bottom w:val="nil"/>
            </w:tcBorders>
            <w:vAlign w:val="top"/>
          </w:tcPr>
          <w:p w14:paraId="3697F4FB">
            <w:pPr>
              <w:pStyle w:val="20"/>
            </w:pPr>
          </w:p>
        </w:tc>
        <w:tc>
          <w:tcPr>
            <w:tcW w:w="1167" w:type="dxa"/>
            <w:vMerge w:val="continue"/>
            <w:tcBorders>
              <w:top w:val="nil"/>
            </w:tcBorders>
            <w:vAlign w:val="top"/>
          </w:tcPr>
          <w:p w14:paraId="55675851">
            <w:pPr>
              <w:pStyle w:val="20"/>
            </w:pPr>
          </w:p>
        </w:tc>
        <w:tc>
          <w:tcPr>
            <w:tcW w:w="1206" w:type="dxa"/>
            <w:vAlign w:val="center"/>
          </w:tcPr>
          <w:p w14:paraId="4F4152A8">
            <w:pPr>
              <w:spacing w:before="73" w:line="195" w:lineRule="auto"/>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项目支出控制</w:t>
            </w:r>
          </w:p>
        </w:tc>
        <w:tc>
          <w:tcPr>
            <w:tcW w:w="1159" w:type="dxa"/>
            <w:vAlign w:val="center"/>
          </w:tcPr>
          <w:p w14:paraId="43223E5A">
            <w:pPr>
              <w:spacing w:before="73" w:line="195" w:lineRule="auto"/>
              <w:ind w:left="152"/>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en-US" w:bidi="ar-SA"/>
              </w:rPr>
              <w:t>≤</w:t>
            </w:r>
            <w:r>
              <w:rPr>
                <w:rFonts w:hint="eastAsia" w:ascii="宋体" w:hAnsi="宋体" w:eastAsia="宋体" w:cs="宋体"/>
                <w:snapToGrid w:val="0"/>
                <w:color w:val="000000"/>
                <w:spacing w:val="-2"/>
                <w:kern w:val="0"/>
                <w:sz w:val="20"/>
                <w:szCs w:val="20"/>
                <w:lang w:val="en-US" w:eastAsia="zh-CN" w:bidi="ar-SA"/>
              </w:rPr>
              <w:t>160万元</w:t>
            </w:r>
          </w:p>
        </w:tc>
        <w:tc>
          <w:tcPr>
            <w:tcW w:w="1166" w:type="dxa"/>
            <w:vAlign w:val="center"/>
          </w:tcPr>
          <w:p w14:paraId="249ABD4E">
            <w:pPr>
              <w:spacing w:before="73" w:line="195" w:lineRule="auto"/>
              <w:jc w:val="both"/>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152.01万元</w:t>
            </w:r>
          </w:p>
        </w:tc>
        <w:tc>
          <w:tcPr>
            <w:tcW w:w="591" w:type="dxa"/>
            <w:vAlign w:val="center"/>
          </w:tcPr>
          <w:p w14:paraId="4173383A">
            <w:pPr>
              <w:spacing w:before="73" w:line="195" w:lineRule="auto"/>
              <w:ind w:left="152"/>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0A275F56">
            <w:pPr>
              <w:spacing w:before="73" w:line="195" w:lineRule="auto"/>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0FA58911">
            <w:pPr>
              <w:pStyle w:val="20"/>
              <w:spacing w:line="240" w:lineRule="exact"/>
              <w:rPr>
                <w:sz w:val="20"/>
              </w:rPr>
            </w:pPr>
          </w:p>
        </w:tc>
      </w:tr>
      <w:tr w14:paraId="6EAA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300" w:type="dxa"/>
            <w:vMerge w:val="continue"/>
            <w:tcBorders>
              <w:top w:val="nil"/>
              <w:bottom w:val="nil"/>
            </w:tcBorders>
            <w:textDirection w:val="tbRlV"/>
            <w:vAlign w:val="top"/>
          </w:tcPr>
          <w:p w14:paraId="39BE7488">
            <w:pPr>
              <w:pStyle w:val="20"/>
            </w:pPr>
          </w:p>
        </w:tc>
        <w:tc>
          <w:tcPr>
            <w:tcW w:w="1133" w:type="dxa"/>
            <w:vMerge w:val="continue"/>
            <w:tcBorders>
              <w:top w:val="nil"/>
              <w:bottom w:val="nil"/>
            </w:tcBorders>
            <w:vAlign w:val="top"/>
          </w:tcPr>
          <w:p w14:paraId="5B6580E0">
            <w:pPr>
              <w:pStyle w:val="20"/>
            </w:pPr>
          </w:p>
        </w:tc>
        <w:tc>
          <w:tcPr>
            <w:tcW w:w="1167" w:type="dxa"/>
            <w:tcBorders>
              <w:bottom w:val="nil"/>
            </w:tcBorders>
            <w:vAlign w:val="top"/>
          </w:tcPr>
          <w:p w14:paraId="485BE26F">
            <w:pPr>
              <w:spacing w:before="73" w:line="195" w:lineRule="auto"/>
              <w:ind w:left="152"/>
              <w:rPr>
                <w:rFonts w:ascii="宋体" w:hAnsi="宋体" w:eastAsia="宋体" w:cs="宋体"/>
                <w:sz w:val="20"/>
                <w:szCs w:val="20"/>
              </w:rPr>
            </w:pPr>
            <w:r>
              <w:rPr>
                <w:rFonts w:ascii="宋体" w:hAnsi="宋体" w:eastAsia="宋体" w:cs="宋体"/>
                <w:spacing w:val="-2"/>
                <w:sz w:val="20"/>
                <w:szCs w:val="20"/>
              </w:rPr>
              <w:t>社会成本</w:t>
            </w:r>
          </w:p>
          <w:p w14:paraId="26B7C088">
            <w:pPr>
              <w:spacing w:line="207" w:lineRule="auto"/>
              <w:ind w:left="351"/>
              <w:rPr>
                <w:rFonts w:ascii="宋体" w:hAnsi="宋体" w:eastAsia="宋体" w:cs="宋体"/>
                <w:sz w:val="20"/>
                <w:szCs w:val="20"/>
              </w:rPr>
            </w:pPr>
            <w:r>
              <w:rPr>
                <w:rFonts w:ascii="宋体" w:hAnsi="宋体" w:eastAsia="宋体" w:cs="宋体"/>
                <w:spacing w:val="-3"/>
                <w:sz w:val="20"/>
                <w:szCs w:val="20"/>
              </w:rPr>
              <w:t>指标</w:t>
            </w:r>
          </w:p>
        </w:tc>
        <w:tc>
          <w:tcPr>
            <w:tcW w:w="1206" w:type="dxa"/>
            <w:vAlign w:val="center"/>
          </w:tcPr>
          <w:p w14:paraId="1EB980BC">
            <w:pPr>
              <w:pStyle w:val="20"/>
              <w:spacing w:line="23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全年预算金额</w:t>
            </w:r>
            <w:r>
              <w:rPr>
                <w:rFonts w:hint="eastAsia" w:ascii="宋体" w:hAnsi="宋体" w:eastAsia="宋体" w:cs="宋体"/>
                <w:snapToGrid w:val="0"/>
                <w:color w:val="000000"/>
                <w:spacing w:val="-2"/>
                <w:kern w:val="0"/>
                <w:sz w:val="20"/>
                <w:szCs w:val="20"/>
                <w:lang w:val="en-US" w:eastAsia="zh-CN" w:bidi="ar-SA"/>
              </w:rPr>
              <w:t>617.39</w:t>
            </w:r>
            <w:r>
              <w:rPr>
                <w:rFonts w:hint="default" w:ascii="宋体" w:hAnsi="宋体" w:eastAsia="宋体" w:cs="宋体"/>
                <w:snapToGrid w:val="0"/>
                <w:color w:val="000000"/>
                <w:spacing w:val="-2"/>
                <w:kern w:val="0"/>
                <w:sz w:val="20"/>
                <w:szCs w:val="20"/>
                <w:lang w:val="en-US" w:eastAsia="en-US" w:bidi="ar-SA"/>
              </w:rPr>
              <w:t>万元，</w:t>
            </w:r>
            <w:r>
              <w:rPr>
                <w:rFonts w:hint="eastAsia" w:ascii="宋体" w:hAnsi="宋体" w:eastAsia="宋体" w:cs="宋体"/>
                <w:snapToGrid w:val="0"/>
                <w:color w:val="000000"/>
                <w:spacing w:val="-2"/>
                <w:kern w:val="0"/>
                <w:sz w:val="20"/>
                <w:szCs w:val="20"/>
                <w:lang w:val="en-US" w:eastAsia="en-US" w:bidi="ar-SA"/>
              </w:rPr>
              <w:t>保障各项工作、任务顺利完成</w:t>
            </w:r>
          </w:p>
        </w:tc>
        <w:tc>
          <w:tcPr>
            <w:tcW w:w="1159" w:type="dxa"/>
            <w:vAlign w:val="center"/>
          </w:tcPr>
          <w:p w14:paraId="3F5BCD60">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100%</w:t>
            </w:r>
          </w:p>
        </w:tc>
        <w:tc>
          <w:tcPr>
            <w:tcW w:w="1166" w:type="dxa"/>
            <w:vAlign w:val="center"/>
          </w:tcPr>
          <w:p w14:paraId="11F4B958">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119.11%</w:t>
            </w:r>
          </w:p>
        </w:tc>
        <w:tc>
          <w:tcPr>
            <w:tcW w:w="591" w:type="dxa"/>
            <w:vAlign w:val="center"/>
          </w:tcPr>
          <w:p w14:paraId="200928B3">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w:t>
            </w:r>
          </w:p>
        </w:tc>
        <w:tc>
          <w:tcPr>
            <w:tcW w:w="1117" w:type="dxa"/>
            <w:vAlign w:val="center"/>
          </w:tcPr>
          <w:p w14:paraId="7FAA9A5C">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8.5</w:t>
            </w:r>
          </w:p>
        </w:tc>
        <w:tc>
          <w:tcPr>
            <w:tcW w:w="904" w:type="dxa"/>
            <w:vAlign w:val="top"/>
          </w:tcPr>
          <w:p w14:paraId="3B10C3FB">
            <w:pPr>
              <w:pStyle w:val="20"/>
              <w:spacing w:line="230" w:lineRule="exact"/>
              <w:rPr>
                <w:sz w:val="20"/>
              </w:rPr>
            </w:pPr>
            <w:r>
              <w:rPr>
                <w:rFonts w:hint="eastAsia"/>
                <w:sz w:val="20"/>
              </w:rPr>
              <w:t>中央补助资金</w:t>
            </w:r>
            <w:r>
              <w:rPr>
                <w:rFonts w:hint="eastAsia" w:eastAsia="宋体"/>
                <w:sz w:val="20"/>
                <w:lang w:val="en-US" w:eastAsia="zh-CN"/>
              </w:rPr>
              <w:t>80</w:t>
            </w:r>
            <w:r>
              <w:rPr>
                <w:rFonts w:hint="eastAsia"/>
                <w:sz w:val="20"/>
              </w:rPr>
              <w:t>万年初不计入预算</w:t>
            </w:r>
          </w:p>
        </w:tc>
      </w:tr>
      <w:tr w14:paraId="5E39F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300" w:type="dxa"/>
            <w:vMerge w:val="continue"/>
            <w:tcBorders>
              <w:top w:val="nil"/>
              <w:bottom w:val="nil"/>
            </w:tcBorders>
            <w:textDirection w:val="tbRlV"/>
            <w:vAlign w:val="top"/>
          </w:tcPr>
          <w:p w14:paraId="0D691A1D">
            <w:pPr>
              <w:pStyle w:val="20"/>
            </w:pPr>
          </w:p>
        </w:tc>
        <w:tc>
          <w:tcPr>
            <w:tcW w:w="1133" w:type="dxa"/>
            <w:vMerge w:val="continue"/>
            <w:tcBorders>
              <w:top w:val="nil"/>
              <w:bottom w:val="nil"/>
            </w:tcBorders>
            <w:vAlign w:val="top"/>
          </w:tcPr>
          <w:p w14:paraId="550999BE">
            <w:pPr>
              <w:pStyle w:val="20"/>
            </w:pPr>
          </w:p>
        </w:tc>
        <w:tc>
          <w:tcPr>
            <w:tcW w:w="1167" w:type="dxa"/>
            <w:tcBorders>
              <w:bottom w:val="nil"/>
            </w:tcBorders>
            <w:vAlign w:val="top"/>
          </w:tcPr>
          <w:p w14:paraId="0175D954">
            <w:pPr>
              <w:spacing w:before="32" w:line="219" w:lineRule="auto"/>
              <w:ind w:left="152"/>
              <w:rPr>
                <w:rFonts w:ascii="宋体" w:hAnsi="宋体" w:eastAsia="宋体" w:cs="宋体"/>
                <w:sz w:val="20"/>
                <w:szCs w:val="20"/>
              </w:rPr>
            </w:pPr>
            <w:r>
              <w:rPr>
                <w:rFonts w:ascii="宋体" w:hAnsi="宋体" w:eastAsia="宋体" w:cs="宋体"/>
                <w:spacing w:val="-2"/>
                <w:sz w:val="20"/>
                <w:szCs w:val="20"/>
              </w:rPr>
              <w:t>生态成本</w:t>
            </w:r>
          </w:p>
          <w:p w14:paraId="08EC0BBF">
            <w:pPr>
              <w:spacing w:before="24" w:line="180" w:lineRule="auto"/>
              <w:ind w:left="351"/>
              <w:rPr>
                <w:rFonts w:ascii="宋体" w:hAnsi="宋体" w:eastAsia="宋体" w:cs="宋体"/>
                <w:sz w:val="20"/>
                <w:szCs w:val="20"/>
              </w:rPr>
            </w:pPr>
            <w:r>
              <w:rPr>
                <w:rFonts w:ascii="宋体" w:hAnsi="宋体" w:eastAsia="宋体" w:cs="宋体"/>
                <w:spacing w:val="-3"/>
                <w:sz w:val="20"/>
                <w:szCs w:val="20"/>
              </w:rPr>
              <w:t>指标</w:t>
            </w:r>
          </w:p>
        </w:tc>
        <w:tc>
          <w:tcPr>
            <w:tcW w:w="1206" w:type="dxa"/>
            <w:vAlign w:val="center"/>
          </w:tcPr>
          <w:p w14:paraId="0B709632">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无直接影响</w:t>
            </w:r>
          </w:p>
        </w:tc>
        <w:tc>
          <w:tcPr>
            <w:tcW w:w="1159" w:type="dxa"/>
            <w:vAlign w:val="center"/>
          </w:tcPr>
          <w:p w14:paraId="184DA9A0">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无</w:t>
            </w:r>
          </w:p>
        </w:tc>
        <w:tc>
          <w:tcPr>
            <w:tcW w:w="1166" w:type="dxa"/>
            <w:vAlign w:val="center"/>
          </w:tcPr>
          <w:p w14:paraId="48604E66">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无</w:t>
            </w:r>
          </w:p>
        </w:tc>
        <w:tc>
          <w:tcPr>
            <w:tcW w:w="591" w:type="dxa"/>
            <w:vAlign w:val="center"/>
          </w:tcPr>
          <w:p w14:paraId="746E079C">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73EFC5B0">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621E6D02">
            <w:pPr>
              <w:pStyle w:val="20"/>
              <w:spacing w:line="230" w:lineRule="exact"/>
              <w:rPr>
                <w:sz w:val="20"/>
              </w:rPr>
            </w:pPr>
          </w:p>
        </w:tc>
      </w:tr>
      <w:tr w14:paraId="49B0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300" w:type="dxa"/>
            <w:vMerge w:val="continue"/>
            <w:tcBorders>
              <w:top w:val="nil"/>
              <w:bottom w:val="nil"/>
            </w:tcBorders>
            <w:textDirection w:val="tbRlV"/>
            <w:vAlign w:val="top"/>
          </w:tcPr>
          <w:p w14:paraId="7B66B1B8">
            <w:pPr>
              <w:pStyle w:val="20"/>
            </w:pPr>
          </w:p>
        </w:tc>
        <w:tc>
          <w:tcPr>
            <w:tcW w:w="1133" w:type="dxa"/>
            <w:vMerge w:val="restart"/>
            <w:tcBorders>
              <w:bottom w:val="nil"/>
            </w:tcBorders>
            <w:vAlign w:val="top"/>
          </w:tcPr>
          <w:p w14:paraId="480AD0EF">
            <w:pPr>
              <w:pStyle w:val="20"/>
              <w:spacing w:line="297" w:lineRule="auto"/>
            </w:pPr>
          </w:p>
          <w:p w14:paraId="54D3FF34">
            <w:pPr>
              <w:pStyle w:val="20"/>
              <w:spacing w:line="298" w:lineRule="auto"/>
            </w:pPr>
          </w:p>
          <w:p w14:paraId="104D6C73">
            <w:pPr>
              <w:spacing w:before="65" w:line="219" w:lineRule="auto"/>
              <w:ind w:left="181"/>
              <w:rPr>
                <w:rFonts w:ascii="宋体" w:hAnsi="宋体" w:eastAsia="宋体" w:cs="宋体"/>
                <w:sz w:val="20"/>
                <w:szCs w:val="20"/>
              </w:rPr>
            </w:pPr>
            <w:r>
              <w:rPr>
                <w:rFonts w:ascii="宋体" w:hAnsi="宋体" w:eastAsia="宋体" w:cs="宋体"/>
                <w:spacing w:val="-2"/>
                <w:sz w:val="20"/>
                <w:szCs w:val="20"/>
              </w:rPr>
              <w:t>产出指标</w:t>
            </w:r>
          </w:p>
        </w:tc>
        <w:tc>
          <w:tcPr>
            <w:tcW w:w="1167" w:type="dxa"/>
            <w:vMerge w:val="restart"/>
            <w:tcBorders>
              <w:bottom w:val="nil"/>
            </w:tcBorders>
            <w:vAlign w:val="top"/>
          </w:tcPr>
          <w:p w14:paraId="07092579">
            <w:pPr>
              <w:spacing w:before="34" w:line="213" w:lineRule="auto"/>
              <w:ind w:left="351"/>
              <w:rPr>
                <w:rFonts w:hint="eastAsia"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val="en-US" w:eastAsia="en-US" w:bidi="ar-SA"/>
              </w:rPr>
              <w:t>数量</w:t>
            </w:r>
          </w:p>
          <w:p w14:paraId="19650143">
            <w:pPr>
              <w:spacing w:line="189" w:lineRule="auto"/>
              <w:ind w:left="371"/>
              <w:rPr>
                <w:rFonts w:hint="eastAsia"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val="en-US" w:eastAsia="en-US" w:bidi="ar-SA"/>
              </w:rPr>
              <w:t>指标</w:t>
            </w:r>
          </w:p>
        </w:tc>
        <w:tc>
          <w:tcPr>
            <w:tcW w:w="1206" w:type="dxa"/>
            <w:vAlign w:val="center"/>
          </w:tcPr>
          <w:p w14:paraId="6288C44B">
            <w:pPr>
              <w:pStyle w:val="20"/>
              <w:spacing w:line="230" w:lineRule="exact"/>
              <w:jc w:val="center"/>
              <w:rPr>
                <w:rFonts w:hint="eastAsia"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医保工作重点完成率</w:t>
            </w:r>
          </w:p>
        </w:tc>
        <w:tc>
          <w:tcPr>
            <w:tcW w:w="1159" w:type="dxa"/>
            <w:vAlign w:val="center"/>
          </w:tcPr>
          <w:p w14:paraId="37EC411B">
            <w:pPr>
              <w:pStyle w:val="20"/>
              <w:spacing w:line="23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≥90%</w:t>
            </w:r>
          </w:p>
        </w:tc>
        <w:tc>
          <w:tcPr>
            <w:tcW w:w="1166" w:type="dxa"/>
            <w:vAlign w:val="center"/>
          </w:tcPr>
          <w:p w14:paraId="519E0398">
            <w:pPr>
              <w:pStyle w:val="20"/>
              <w:spacing w:line="23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≥90%</w:t>
            </w:r>
          </w:p>
        </w:tc>
        <w:tc>
          <w:tcPr>
            <w:tcW w:w="591" w:type="dxa"/>
            <w:vAlign w:val="center"/>
          </w:tcPr>
          <w:p w14:paraId="15DCC53D">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0236F262">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63D890AB">
            <w:pPr>
              <w:pStyle w:val="20"/>
              <w:spacing w:line="230" w:lineRule="exact"/>
              <w:rPr>
                <w:sz w:val="20"/>
              </w:rPr>
            </w:pPr>
          </w:p>
        </w:tc>
      </w:tr>
      <w:tr w14:paraId="4F6A6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300" w:type="dxa"/>
            <w:vMerge w:val="continue"/>
            <w:tcBorders>
              <w:top w:val="nil"/>
              <w:bottom w:val="nil"/>
            </w:tcBorders>
            <w:textDirection w:val="tbRlV"/>
            <w:vAlign w:val="top"/>
          </w:tcPr>
          <w:p w14:paraId="3AEE9A0D">
            <w:pPr>
              <w:pStyle w:val="20"/>
            </w:pPr>
          </w:p>
        </w:tc>
        <w:tc>
          <w:tcPr>
            <w:tcW w:w="1133" w:type="dxa"/>
            <w:vMerge w:val="continue"/>
            <w:tcBorders>
              <w:top w:val="nil"/>
              <w:bottom w:val="nil"/>
            </w:tcBorders>
            <w:vAlign w:val="top"/>
          </w:tcPr>
          <w:p w14:paraId="134A663A">
            <w:pPr>
              <w:pStyle w:val="20"/>
            </w:pPr>
          </w:p>
        </w:tc>
        <w:tc>
          <w:tcPr>
            <w:tcW w:w="1167" w:type="dxa"/>
            <w:vMerge w:val="continue"/>
            <w:tcBorders>
              <w:top w:val="nil"/>
            </w:tcBorders>
            <w:vAlign w:val="top"/>
          </w:tcPr>
          <w:p w14:paraId="0CFB7066">
            <w:pPr>
              <w:pStyle w:val="20"/>
              <w:spacing w:line="230" w:lineRule="exact"/>
              <w:rPr>
                <w:rFonts w:hint="eastAsia"/>
                <w:sz w:val="20"/>
              </w:rPr>
            </w:pPr>
          </w:p>
        </w:tc>
        <w:tc>
          <w:tcPr>
            <w:tcW w:w="1206" w:type="dxa"/>
            <w:vAlign w:val="center"/>
          </w:tcPr>
          <w:p w14:paraId="595CA73A">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en-US" w:bidi="ar-SA"/>
              </w:rPr>
              <w:t>做好医疗待遇保障</w:t>
            </w:r>
          </w:p>
        </w:tc>
        <w:tc>
          <w:tcPr>
            <w:tcW w:w="1159" w:type="dxa"/>
            <w:vAlign w:val="center"/>
          </w:tcPr>
          <w:p w14:paraId="33C23E71">
            <w:pPr>
              <w:pStyle w:val="20"/>
              <w:spacing w:line="22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100%</w:t>
            </w:r>
          </w:p>
        </w:tc>
        <w:tc>
          <w:tcPr>
            <w:tcW w:w="1166" w:type="dxa"/>
            <w:vAlign w:val="center"/>
          </w:tcPr>
          <w:p w14:paraId="1EDAAF97">
            <w:pPr>
              <w:pStyle w:val="20"/>
              <w:spacing w:line="22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100%</w:t>
            </w:r>
          </w:p>
        </w:tc>
        <w:tc>
          <w:tcPr>
            <w:tcW w:w="591" w:type="dxa"/>
            <w:vAlign w:val="center"/>
          </w:tcPr>
          <w:p w14:paraId="734DCC1B">
            <w:pPr>
              <w:pStyle w:val="20"/>
              <w:spacing w:line="22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71B4A4EC">
            <w:pPr>
              <w:pStyle w:val="20"/>
              <w:spacing w:line="22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105F19ED">
            <w:pPr>
              <w:pStyle w:val="20"/>
              <w:spacing w:line="220" w:lineRule="exact"/>
              <w:rPr>
                <w:sz w:val="19"/>
              </w:rPr>
            </w:pPr>
          </w:p>
        </w:tc>
      </w:tr>
      <w:tr w14:paraId="2F238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300" w:type="dxa"/>
            <w:vMerge w:val="continue"/>
            <w:tcBorders>
              <w:top w:val="nil"/>
              <w:bottom w:val="nil"/>
            </w:tcBorders>
            <w:textDirection w:val="tbRlV"/>
            <w:vAlign w:val="top"/>
          </w:tcPr>
          <w:p w14:paraId="2B3E7C7B">
            <w:pPr>
              <w:pStyle w:val="20"/>
            </w:pPr>
          </w:p>
        </w:tc>
        <w:tc>
          <w:tcPr>
            <w:tcW w:w="1133" w:type="dxa"/>
            <w:vMerge w:val="continue"/>
            <w:tcBorders>
              <w:top w:val="nil"/>
              <w:bottom w:val="nil"/>
            </w:tcBorders>
            <w:vAlign w:val="top"/>
          </w:tcPr>
          <w:p w14:paraId="717BCBE3">
            <w:pPr>
              <w:pStyle w:val="20"/>
            </w:pPr>
          </w:p>
        </w:tc>
        <w:tc>
          <w:tcPr>
            <w:tcW w:w="1167" w:type="dxa"/>
            <w:vMerge w:val="restart"/>
            <w:tcBorders>
              <w:bottom w:val="nil"/>
            </w:tcBorders>
            <w:vAlign w:val="top"/>
          </w:tcPr>
          <w:p w14:paraId="2603B657">
            <w:pPr>
              <w:spacing w:before="54" w:line="220" w:lineRule="auto"/>
              <w:ind w:left="351"/>
              <w:rPr>
                <w:rFonts w:hint="eastAsia"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val="en-US" w:eastAsia="en-US" w:bidi="ar-SA"/>
              </w:rPr>
              <w:t>质量</w:t>
            </w:r>
          </w:p>
          <w:p w14:paraId="5CDB8CE5">
            <w:pPr>
              <w:spacing w:before="1" w:line="199" w:lineRule="auto"/>
              <w:ind w:left="351"/>
              <w:rPr>
                <w:rFonts w:hint="eastAsia"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val="en-US" w:eastAsia="en-US" w:bidi="ar-SA"/>
              </w:rPr>
              <w:t>指标</w:t>
            </w:r>
          </w:p>
        </w:tc>
        <w:tc>
          <w:tcPr>
            <w:tcW w:w="1206" w:type="dxa"/>
            <w:vAlign w:val="center"/>
          </w:tcPr>
          <w:p w14:paraId="0839400E">
            <w:pPr>
              <w:pStyle w:val="20"/>
              <w:spacing w:line="230" w:lineRule="exact"/>
              <w:jc w:val="center"/>
              <w:rPr>
                <w:rFonts w:hint="eastAsia"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保障医保日常工作正常运转</w:t>
            </w:r>
          </w:p>
        </w:tc>
        <w:tc>
          <w:tcPr>
            <w:tcW w:w="1159" w:type="dxa"/>
            <w:vAlign w:val="center"/>
          </w:tcPr>
          <w:p w14:paraId="6798CCB6">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1166" w:type="dxa"/>
            <w:vAlign w:val="center"/>
          </w:tcPr>
          <w:p w14:paraId="72EA7C33">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591" w:type="dxa"/>
            <w:vAlign w:val="center"/>
          </w:tcPr>
          <w:p w14:paraId="45702811">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w:t>
            </w:r>
          </w:p>
        </w:tc>
        <w:tc>
          <w:tcPr>
            <w:tcW w:w="1117" w:type="dxa"/>
            <w:vAlign w:val="center"/>
          </w:tcPr>
          <w:p w14:paraId="64A373EE">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w:t>
            </w:r>
          </w:p>
        </w:tc>
        <w:tc>
          <w:tcPr>
            <w:tcW w:w="904" w:type="dxa"/>
            <w:vAlign w:val="top"/>
          </w:tcPr>
          <w:p w14:paraId="4BA59F32">
            <w:pPr>
              <w:pStyle w:val="20"/>
              <w:spacing w:line="230" w:lineRule="exact"/>
              <w:rPr>
                <w:sz w:val="20"/>
              </w:rPr>
            </w:pPr>
          </w:p>
        </w:tc>
      </w:tr>
      <w:tr w14:paraId="1E6B4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300" w:type="dxa"/>
            <w:vMerge w:val="continue"/>
            <w:tcBorders>
              <w:top w:val="nil"/>
              <w:bottom w:val="nil"/>
            </w:tcBorders>
            <w:textDirection w:val="tbRlV"/>
            <w:vAlign w:val="top"/>
          </w:tcPr>
          <w:p w14:paraId="32D968DB">
            <w:pPr>
              <w:pStyle w:val="20"/>
            </w:pPr>
          </w:p>
        </w:tc>
        <w:tc>
          <w:tcPr>
            <w:tcW w:w="1133" w:type="dxa"/>
            <w:vMerge w:val="continue"/>
            <w:tcBorders>
              <w:top w:val="nil"/>
              <w:bottom w:val="nil"/>
            </w:tcBorders>
            <w:vAlign w:val="top"/>
          </w:tcPr>
          <w:p w14:paraId="5A56F203">
            <w:pPr>
              <w:pStyle w:val="20"/>
            </w:pPr>
          </w:p>
        </w:tc>
        <w:tc>
          <w:tcPr>
            <w:tcW w:w="1167" w:type="dxa"/>
            <w:vMerge w:val="continue"/>
            <w:tcBorders>
              <w:top w:val="nil"/>
            </w:tcBorders>
            <w:vAlign w:val="top"/>
          </w:tcPr>
          <w:p w14:paraId="1194A337">
            <w:pPr>
              <w:pStyle w:val="20"/>
              <w:spacing w:line="230" w:lineRule="exact"/>
              <w:rPr>
                <w:rFonts w:hint="eastAsia"/>
                <w:sz w:val="20"/>
              </w:rPr>
            </w:pPr>
          </w:p>
        </w:tc>
        <w:tc>
          <w:tcPr>
            <w:tcW w:w="1206" w:type="dxa"/>
            <w:vAlign w:val="center"/>
          </w:tcPr>
          <w:p w14:paraId="496B69B5">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业务办理差错率</w:t>
            </w:r>
          </w:p>
        </w:tc>
        <w:tc>
          <w:tcPr>
            <w:tcW w:w="1159" w:type="dxa"/>
            <w:vAlign w:val="center"/>
          </w:tcPr>
          <w:p w14:paraId="4F5D545C">
            <w:pPr>
              <w:pStyle w:val="20"/>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0%</w:t>
            </w:r>
          </w:p>
        </w:tc>
        <w:tc>
          <w:tcPr>
            <w:tcW w:w="1166" w:type="dxa"/>
            <w:vAlign w:val="center"/>
          </w:tcPr>
          <w:p w14:paraId="2BD41AEF">
            <w:pPr>
              <w:pStyle w:val="20"/>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0%</w:t>
            </w:r>
          </w:p>
        </w:tc>
        <w:tc>
          <w:tcPr>
            <w:tcW w:w="591" w:type="dxa"/>
            <w:vAlign w:val="center"/>
          </w:tcPr>
          <w:p w14:paraId="769F7360">
            <w:pPr>
              <w:pStyle w:val="20"/>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79C4B3E1">
            <w:pPr>
              <w:pStyle w:val="20"/>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1F95BBA0">
            <w:pPr>
              <w:pStyle w:val="20"/>
            </w:pPr>
          </w:p>
        </w:tc>
      </w:tr>
      <w:tr w14:paraId="4C374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300" w:type="dxa"/>
            <w:vMerge w:val="continue"/>
            <w:tcBorders>
              <w:top w:val="nil"/>
              <w:bottom w:val="nil"/>
            </w:tcBorders>
            <w:textDirection w:val="tbRlV"/>
            <w:vAlign w:val="top"/>
          </w:tcPr>
          <w:p w14:paraId="0D61642D">
            <w:pPr>
              <w:pStyle w:val="20"/>
            </w:pPr>
          </w:p>
        </w:tc>
        <w:tc>
          <w:tcPr>
            <w:tcW w:w="1133" w:type="dxa"/>
            <w:vMerge w:val="continue"/>
            <w:tcBorders>
              <w:top w:val="nil"/>
              <w:bottom w:val="nil"/>
            </w:tcBorders>
            <w:vAlign w:val="top"/>
          </w:tcPr>
          <w:p w14:paraId="12765945">
            <w:pPr>
              <w:pStyle w:val="20"/>
            </w:pPr>
          </w:p>
        </w:tc>
        <w:tc>
          <w:tcPr>
            <w:tcW w:w="1167" w:type="dxa"/>
            <w:tcBorders>
              <w:bottom w:val="nil"/>
            </w:tcBorders>
            <w:vAlign w:val="top"/>
          </w:tcPr>
          <w:p w14:paraId="1B7CC762">
            <w:pPr>
              <w:spacing w:before="54" w:line="203" w:lineRule="auto"/>
              <w:ind w:left="351"/>
              <w:rPr>
                <w:rFonts w:ascii="宋体" w:hAnsi="宋体" w:eastAsia="宋体" w:cs="宋体"/>
                <w:sz w:val="20"/>
                <w:szCs w:val="20"/>
              </w:rPr>
            </w:pPr>
            <w:r>
              <w:rPr>
                <w:rFonts w:ascii="宋体" w:hAnsi="宋体" w:eastAsia="宋体" w:cs="宋体"/>
                <w:spacing w:val="4"/>
                <w:sz w:val="20"/>
                <w:szCs w:val="20"/>
              </w:rPr>
              <w:t>时效</w:t>
            </w:r>
          </w:p>
          <w:p w14:paraId="36D0B352">
            <w:pPr>
              <w:spacing w:line="189" w:lineRule="auto"/>
              <w:ind w:left="351"/>
              <w:rPr>
                <w:rFonts w:ascii="宋体" w:hAnsi="宋体" w:eastAsia="宋体" w:cs="宋体"/>
                <w:sz w:val="20"/>
                <w:szCs w:val="20"/>
              </w:rPr>
            </w:pPr>
            <w:r>
              <w:rPr>
                <w:rFonts w:ascii="宋体" w:hAnsi="宋体" w:eastAsia="宋体" w:cs="宋体"/>
                <w:spacing w:val="-3"/>
                <w:sz w:val="20"/>
                <w:szCs w:val="20"/>
              </w:rPr>
              <w:t>指标</w:t>
            </w:r>
          </w:p>
        </w:tc>
        <w:tc>
          <w:tcPr>
            <w:tcW w:w="1206" w:type="dxa"/>
            <w:vAlign w:val="center"/>
          </w:tcPr>
          <w:p w14:paraId="6C75D3D4">
            <w:pPr>
              <w:pStyle w:val="20"/>
              <w:spacing w:line="22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完成及时性</w:t>
            </w:r>
          </w:p>
        </w:tc>
        <w:tc>
          <w:tcPr>
            <w:tcW w:w="1159" w:type="dxa"/>
            <w:vAlign w:val="center"/>
          </w:tcPr>
          <w:p w14:paraId="47E8EC75">
            <w:pPr>
              <w:pStyle w:val="20"/>
              <w:spacing w:line="22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2024年12月31日前</w:t>
            </w:r>
          </w:p>
        </w:tc>
        <w:tc>
          <w:tcPr>
            <w:tcW w:w="1166" w:type="dxa"/>
            <w:vAlign w:val="center"/>
          </w:tcPr>
          <w:p w14:paraId="18849C6D">
            <w:pPr>
              <w:pStyle w:val="20"/>
              <w:spacing w:line="22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zh-CN" w:bidi="ar-SA"/>
              </w:rPr>
              <w:t>2024年12月31日前</w:t>
            </w:r>
          </w:p>
        </w:tc>
        <w:tc>
          <w:tcPr>
            <w:tcW w:w="591" w:type="dxa"/>
            <w:vAlign w:val="center"/>
          </w:tcPr>
          <w:p w14:paraId="699AD8CF">
            <w:pPr>
              <w:pStyle w:val="20"/>
              <w:spacing w:line="22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w:t>
            </w:r>
          </w:p>
        </w:tc>
        <w:tc>
          <w:tcPr>
            <w:tcW w:w="1117" w:type="dxa"/>
            <w:vAlign w:val="center"/>
          </w:tcPr>
          <w:p w14:paraId="7B859054">
            <w:pPr>
              <w:pStyle w:val="20"/>
              <w:spacing w:line="22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w:t>
            </w:r>
          </w:p>
        </w:tc>
        <w:tc>
          <w:tcPr>
            <w:tcW w:w="904" w:type="dxa"/>
            <w:vAlign w:val="top"/>
          </w:tcPr>
          <w:p w14:paraId="61698F8A">
            <w:pPr>
              <w:pStyle w:val="20"/>
              <w:spacing w:line="220" w:lineRule="exact"/>
              <w:rPr>
                <w:sz w:val="19"/>
              </w:rPr>
            </w:pPr>
          </w:p>
        </w:tc>
      </w:tr>
      <w:tr w14:paraId="41D3D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300" w:type="dxa"/>
            <w:vMerge w:val="continue"/>
            <w:tcBorders>
              <w:top w:val="nil"/>
              <w:bottom w:val="nil"/>
            </w:tcBorders>
            <w:textDirection w:val="tbRlV"/>
            <w:vAlign w:val="top"/>
          </w:tcPr>
          <w:p w14:paraId="14299BA5">
            <w:pPr>
              <w:pStyle w:val="20"/>
            </w:pPr>
          </w:p>
        </w:tc>
        <w:tc>
          <w:tcPr>
            <w:tcW w:w="1133" w:type="dxa"/>
            <w:vMerge w:val="restart"/>
            <w:tcBorders>
              <w:bottom w:val="nil"/>
            </w:tcBorders>
            <w:vAlign w:val="top"/>
          </w:tcPr>
          <w:p w14:paraId="0E898158">
            <w:pPr>
              <w:pStyle w:val="20"/>
              <w:spacing w:line="278" w:lineRule="auto"/>
            </w:pPr>
          </w:p>
          <w:p w14:paraId="7132345A">
            <w:pPr>
              <w:pStyle w:val="20"/>
              <w:spacing w:line="278" w:lineRule="auto"/>
            </w:pPr>
          </w:p>
          <w:p w14:paraId="51A00034">
            <w:pPr>
              <w:pStyle w:val="20"/>
              <w:spacing w:line="278" w:lineRule="auto"/>
            </w:pPr>
          </w:p>
          <w:p w14:paraId="25C29A73">
            <w:pPr>
              <w:spacing w:before="65" w:line="220" w:lineRule="auto"/>
              <w:ind w:left="181"/>
              <w:rPr>
                <w:rFonts w:ascii="宋体" w:hAnsi="宋体" w:eastAsia="宋体" w:cs="宋体"/>
                <w:sz w:val="20"/>
                <w:szCs w:val="20"/>
              </w:rPr>
            </w:pPr>
            <w:r>
              <w:rPr>
                <w:rFonts w:ascii="宋体" w:hAnsi="宋体" w:eastAsia="宋体" w:cs="宋体"/>
                <w:spacing w:val="1"/>
                <w:sz w:val="20"/>
                <w:szCs w:val="20"/>
              </w:rPr>
              <w:t>效益指标</w:t>
            </w:r>
          </w:p>
        </w:tc>
        <w:tc>
          <w:tcPr>
            <w:tcW w:w="1167" w:type="dxa"/>
            <w:vMerge w:val="restart"/>
            <w:tcBorders>
              <w:bottom w:val="nil"/>
            </w:tcBorders>
            <w:vAlign w:val="top"/>
          </w:tcPr>
          <w:p w14:paraId="451A789A">
            <w:pPr>
              <w:spacing w:before="54" w:line="220" w:lineRule="auto"/>
              <w:ind w:left="252"/>
              <w:rPr>
                <w:rFonts w:hint="eastAsia"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val="en-US" w:eastAsia="en-US" w:bidi="ar-SA"/>
              </w:rPr>
              <w:t>经济效</w:t>
            </w:r>
          </w:p>
          <w:p w14:paraId="3264D9CA">
            <w:pPr>
              <w:spacing w:before="1" w:line="180" w:lineRule="auto"/>
              <w:ind w:left="252"/>
              <w:rPr>
                <w:rFonts w:hint="eastAsia"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val="en-US" w:eastAsia="en-US" w:bidi="ar-SA"/>
              </w:rPr>
              <w:t>益指标</w:t>
            </w:r>
          </w:p>
        </w:tc>
        <w:tc>
          <w:tcPr>
            <w:tcW w:w="1206" w:type="dxa"/>
            <w:vAlign w:val="center"/>
          </w:tcPr>
          <w:p w14:paraId="2075BCD0">
            <w:pPr>
              <w:pStyle w:val="20"/>
              <w:spacing w:line="230" w:lineRule="exact"/>
              <w:jc w:val="center"/>
              <w:rPr>
                <w:rFonts w:hint="eastAsia"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促进医疗资源的合理利用</w:t>
            </w:r>
          </w:p>
        </w:tc>
        <w:tc>
          <w:tcPr>
            <w:tcW w:w="1159" w:type="dxa"/>
            <w:vAlign w:val="center"/>
          </w:tcPr>
          <w:p w14:paraId="128D1812">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1166" w:type="dxa"/>
            <w:vAlign w:val="center"/>
          </w:tcPr>
          <w:p w14:paraId="34626B8B">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591" w:type="dxa"/>
            <w:vAlign w:val="center"/>
          </w:tcPr>
          <w:p w14:paraId="7E2A5F9B">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336F2EA9">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4501B477">
            <w:pPr>
              <w:pStyle w:val="20"/>
              <w:spacing w:line="230" w:lineRule="exact"/>
              <w:rPr>
                <w:sz w:val="20"/>
              </w:rPr>
            </w:pPr>
          </w:p>
        </w:tc>
      </w:tr>
      <w:tr w14:paraId="0DA3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300" w:type="dxa"/>
            <w:vMerge w:val="continue"/>
            <w:tcBorders>
              <w:top w:val="nil"/>
              <w:bottom w:val="nil"/>
            </w:tcBorders>
            <w:textDirection w:val="tbRlV"/>
            <w:vAlign w:val="top"/>
          </w:tcPr>
          <w:p w14:paraId="14769DA3">
            <w:pPr>
              <w:pStyle w:val="20"/>
            </w:pPr>
          </w:p>
        </w:tc>
        <w:tc>
          <w:tcPr>
            <w:tcW w:w="1133" w:type="dxa"/>
            <w:vMerge w:val="continue"/>
            <w:tcBorders>
              <w:top w:val="nil"/>
              <w:bottom w:val="nil"/>
            </w:tcBorders>
            <w:vAlign w:val="top"/>
          </w:tcPr>
          <w:p w14:paraId="7D262684">
            <w:pPr>
              <w:pStyle w:val="20"/>
            </w:pPr>
          </w:p>
        </w:tc>
        <w:tc>
          <w:tcPr>
            <w:tcW w:w="1167" w:type="dxa"/>
            <w:vMerge w:val="continue"/>
            <w:tcBorders>
              <w:top w:val="nil"/>
            </w:tcBorders>
            <w:vAlign w:val="top"/>
          </w:tcPr>
          <w:p w14:paraId="212E7590">
            <w:pPr>
              <w:pStyle w:val="20"/>
              <w:spacing w:line="230" w:lineRule="exact"/>
              <w:rPr>
                <w:rFonts w:hint="eastAsia"/>
                <w:sz w:val="20"/>
              </w:rPr>
            </w:pPr>
          </w:p>
        </w:tc>
        <w:tc>
          <w:tcPr>
            <w:tcW w:w="1206" w:type="dxa"/>
            <w:vAlign w:val="center"/>
          </w:tcPr>
          <w:p w14:paraId="18EF316E">
            <w:pPr>
              <w:pStyle w:val="20"/>
              <w:spacing w:line="230" w:lineRule="exact"/>
              <w:jc w:val="center"/>
              <w:rPr>
                <w:rFonts w:hint="eastAsia"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建立健全并有效执行各项管理制度，加强经费及资产管理，提高行政效率，降低行政成本</w:t>
            </w:r>
          </w:p>
        </w:tc>
        <w:tc>
          <w:tcPr>
            <w:tcW w:w="1159" w:type="dxa"/>
            <w:vAlign w:val="center"/>
          </w:tcPr>
          <w:p w14:paraId="1B6A4469">
            <w:pPr>
              <w:pStyle w:val="20"/>
              <w:spacing w:line="24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1166" w:type="dxa"/>
            <w:vAlign w:val="center"/>
          </w:tcPr>
          <w:p w14:paraId="0FDFBC96">
            <w:pPr>
              <w:pStyle w:val="20"/>
              <w:spacing w:line="24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591" w:type="dxa"/>
            <w:vAlign w:val="center"/>
          </w:tcPr>
          <w:p w14:paraId="5418615B">
            <w:pPr>
              <w:pStyle w:val="20"/>
              <w:spacing w:line="24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667034D1">
            <w:pPr>
              <w:pStyle w:val="20"/>
              <w:spacing w:line="24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504FC779">
            <w:pPr>
              <w:pStyle w:val="20"/>
              <w:spacing w:line="240" w:lineRule="exact"/>
              <w:rPr>
                <w:sz w:val="20"/>
              </w:rPr>
            </w:pPr>
          </w:p>
        </w:tc>
      </w:tr>
      <w:tr w14:paraId="7A9BA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300" w:type="dxa"/>
            <w:vMerge w:val="continue"/>
            <w:tcBorders>
              <w:top w:val="nil"/>
              <w:bottom w:val="nil"/>
            </w:tcBorders>
            <w:textDirection w:val="tbRlV"/>
            <w:vAlign w:val="top"/>
          </w:tcPr>
          <w:p w14:paraId="4EA37716">
            <w:pPr>
              <w:pStyle w:val="20"/>
            </w:pPr>
          </w:p>
        </w:tc>
        <w:tc>
          <w:tcPr>
            <w:tcW w:w="1133" w:type="dxa"/>
            <w:vMerge w:val="continue"/>
            <w:tcBorders>
              <w:top w:val="nil"/>
              <w:bottom w:val="nil"/>
            </w:tcBorders>
            <w:vAlign w:val="top"/>
          </w:tcPr>
          <w:p w14:paraId="27FB7964">
            <w:pPr>
              <w:pStyle w:val="20"/>
            </w:pPr>
          </w:p>
        </w:tc>
        <w:tc>
          <w:tcPr>
            <w:tcW w:w="1167" w:type="dxa"/>
            <w:vMerge w:val="restart"/>
            <w:tcBorders>
              <w:bottom w:val="nil"/>
            </w:tcBorders>
            <w:vAlign w:val="top"/>
          </w:tcPr>
          <w:p w14:paraId="60378D41">
            <w:pPr>
              <w:spacing w:before="22" w:line="219" w:lineRule="auto"/>
              <w:ind w:left="252"/>
              <w:rPr>
                <w:rFonts w:ascii="宋体" w:hAnsi="宋体" w:eastAsia="宋体" w:cs="宋体"/>
                <w:sz w:val="20"/>
                <w:szCs w:val="20"/>
              </w:rPr>
            </w:pPr>
            <w:r>
              <w:rPr>
                <w:rFonts w:ascii="宋体" w:hAnsi="宋体" w:eastAsia="宋体" w:cs="宋体"/>
                <w:spacing w:val="-3"/>
                <w:sz w:val="20"/>
                <w:szCs w:val="20"/>
              </w:rPr>
              <w:t>社会效</w:t>
            </w:r>
          </w:p>
          <w:p w14:paraId="18AFADA0">
            <w:pPr>
              <w:spacing w:before="34" w:line="161" w:lineRule="auto"/>
              <w:ind w:left="252"/>
              <w:rPr>
                <w:rFonts w:ascii="宋体" w:hAnsi="宋体" w:eastAsia="宋体" w:cs="宋体"/>
                <w:sz w:val="20"/>
                <w:szCs w:val="20"/>
              </w:rPr>
            </w:pPr>
            <w:r>
              <w:rPr>
                <w:rFonts w:ascii="宋体" w:hAnsi="宋体" w:eastAsia="宋体" w:cs="宋体"/>
                <w:spacing w:val="-3"/>
                <w:sz w:val="20"/>
                <w:szCs w:val="20"/>
              </w:rPr>
              <w:t>益指标</w:t>
            </w:r>
          </w:p>
        </w:tc>
        <w:tc>
          <w:tcPr>
            <w:tcW w:w="1206" w:type="dxa"/>
            <w:vAlign w:val="center"/>
          </w:tcPr>
          <w:p w14:paraId="054CA593">
            <w:pPr>
              <w:pStyle w:val="20"/>
              <w:spacing w:line="229"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提升医保公共服务质量和水平</w:t>
            </w:r>
          </w:p>
        </w:tc>
        <w:tc>
          <w:tcPr>
            <w:tcW w:w="1159" w:type="dxa"/>
            <w:vAlign w:val="center"/>
          </w:tcPr>
          <w:p w14:paraId="51C9A44A">
            <w:pPr>
              <w:pStyle w:val="20"/>
              <w:spacing w:line="229"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1166" w:type="dxa"/>
            <w:vAlign w:val="center"/>
          </w:tcPr>
          <w:p w14:paraId="6F7F19EF">
            <w:pPr>
              <w:pStyle w:val="20"/>
              <w:spacing w:line="229"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591" w:type="dxa"/>
            <w:vAlign w:val="center"/>
          </w:tcPr>
          <w:p w14:paraId="09C80CF2">
            <w:pPr>
              <w:pStyle w:val="20"/>
              <w:spacing w:line="229"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36F49823">
            <w:pPr>
              <w:pStyle w:val="20"/>
              <w:spacing w:line="229"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0E7C1F50">
            <w:pPr>
              <w:pStyle w:val="20"/>
              <w:spacing w:line="229" w:lineRule="exact"/>
              <w:rPr>
                <w:sz w:val="19"/>
              </w:rPr>
            </w:pPr>
          </w:p>
        </w:tc>
      </w:tr>
      <w:tr w14:paraId="1FDE3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300" w:type="dxa"/>
            <w:vMerge w:val="continue"/>
            <w:tcBorders>
              <w:top w:val="nil"/>
              <w:bottom w:val="nil"/>
            </w:tcBorders>
            <w:textDirection w:val="tbRlV"/>
            <w:vAlign w:val="top"/>
          </w:tcPr>
          <w:p w14:paraId="308F65C8">
            <w:pPr>
              <w:pStyle w:val="20"/>
            </w:pPr>
          </w:p>
        </w:tc>
        <w:tc>
          <w:tcPr>
            <w:tcW w:w="1133" w:type="dxa"/>
            <w:vMerge w:val="continue"/>
            <w:tcBorders>
              <w:top w:val="nil"/>
              <w:bottom w:val="nil"/>
            </w:tcBorders>
            <w:vAlign w:val="top"/>
          </w:tcPr>
          <w:p w14:paraId="35DADEB4">
            <w:pPr>
              <w:pStyle w:val="20"/>
            </w:pPr>
          </w:p>
        </w:tc>
        <w:tc>
          <w:tcPr>
            <w:tcW w:w="1167" w:type="dxa"/>
            <w:vMerge w:val="continue"/>
            <w:tcBorders>
              <w:top w:val="nil"/>
            </w:tcBorders>
            <w:vAlign w:val="top"/>
          </w:tcPr>
          <w:p w14:paraId="0CF56108">
            <w:pPr>
              <w:pStyle w:val="20"/>
            </w:pPr>
          </w:p>
        </w:tc>
        <w:tc>
          <w:tcPr>
            <w:tcW w:w="1206" w:type="dxa"/>
            <w:vAlign w:val="center"/>
          </w:tcPr>
          <w:p w14:paraId="221FE240">
            <w:pPr>
              <w:spacing w:before="73" w:line="195" w:lineRule="auto"/>
              <w:jc w:val="center"/>
              <w:rPr>
                <w:rFonts w:ascii="宋体" w:hAnsi="宋体" w:eastAsia="宋体" w:cs="宋体"/>
                <w:snapToGrid w:val="0"/>
                <w:color w:val="000000"/>
                <w:spacing w:val="-2"/>
                <w:kern w:val="0"/>
                <w:sz w:val="20"/>
                <w:szCs w:val="20"/>
                <w:lang w:val="en-US" w:eastAsia="en-US" w:bidi="ar-SA"/>
              </w:rPr>
            </w:pPr>
            <w:r>
              <w:rPr>
                <w:rFonts w:hint="default" w:ascii="宋体" w:hAnsi="宋体" w:eastAsia="宋体" w:cs="宋体"/>
                <w:snapToGrid w:val="0"/>
                <w:color w:val="000000"/>
                <w:spacing w:val="-2"/>
                <w:kern w:val="0"/>
                <w:sz w:val="20"/>
                <w:szCs w:val="20"/>
                <w:lang w:val="en-US" w:eastAsia="en-US" w:bidi="ar-SA"/>
              </w:rPr>
              <w:t>减轻患者的医疗费用压力，有效提升公众的健康水平</w:t>
            </w:r>
            <w:r>
              <w:rPr>
                <w:rFonts w:hint="eastAsia" w:ascii="宋体" w:hAnsi="宋体" w:eastAsia="宋体" w:cs="宋体"/>
                <w:snapToGrid w:val="0"/>
                <w:color w:val="000000"/>
                <w:spacing w:val="-2"/>
                <w:kern w:val="0"/>
                <w:sz w:val="20"/>
                <w:szCs w:val="20"/>
                <w:lang w:val="en-US" w:eastAsia="en-US" w:bidi="ar-SA"/>
              </w:rPr>
              <w:t>。</w:t>
            </w:r>
          </w:p>
        </w:tc>
        <w:tc>
          <w:tcPr>
            <w:tcW w:w="1159" w:type="dxa"/>
            <w:vAlign w:val="center"/>
          </w:tcPr>
          <w:p w14:paraId="7DCA6B3B">
            <w:pPr>
              <w:spacing w:before="73" w:line="195" w:lineRule="auto"/>
              <w:ind w:left="152"/>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1166" w:type="dxa"/>
            <w:vAlign w:val="center"/>
          </w:tcPr>
          <w:p w14:paraId="75DDE877">
            <w:pPr>
              <w:spacing w:before="73" w:line="195" w:lineRule="auto"/>
              <w:ind w:left="152"/>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591" w:type="dxa"/>
            <w:vAlign w:val="center"/>
          </w:tcPr>
          <w:p w14:paraId="7C9AF0C9">
            <w:pPr>
              <w:spacing w:before="73" w:line="195" w:lineRule="auto"/>
              <w:ind w:left="152"/>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48AEB489">
            <w:pPr>
              <w:spacing w:before="73" w:line="195" w:lineRule="auto"/>
              <w:ind w:left="152"/>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2D2AF866">
            <w:pPr>
              <w:pStyle w:val="20"/>
              <w:spacing w:line="220" w:lineRule="exact"/>
              <w:rPr>
                <w:sz w:val="19"/>
              </w:rPr>
            </w:pPr>
          </w:p>
        </w:tc>
      </w:tr>
      <w:tr w14:paraId="63F58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300" w:type="dxa"/>
            <w:vMerge w:val="continue"/>
            <w:tcBorders>
              <w:top w:val="nil"/>
              <w:bottom w:val="nil"/>
            </w:tcBorders>
            <w:textDirection w:val="tbRlV"/>
            <w:vAlign w:val="top"/>
          </w:tcPr>
          <w:p w14:paraId="0F3CCF95">
            <w:pPr>
              <w:pStyle w:val="20"/>
            </w:pPr>
          </w:p>
        </w:tc>
        <w:tc>
          <w:tcPr>
            <w:tcW w:w="1133" w:type="dxa"/>
            <w:vMerge w:val="continue"/>
            <w:tcBorders>
              <w:top w:val="nil"/>
              <w:bottom w:val="nil"/>
            </w:tcBorders>
            <w:vAlign w:val="top"/>
          </w:tcPr>
          <w:p w14:paraId="0895828A">
            <w:pPr>
              <w:pStyle w:val="20"/>
            </w:pPr>
          </w:p>
        </w:tc>
        <w:tc>
          <w:tcPr>
            <w:tcW w:w="1167" w:type="dxa"/>
            <w:tcBorders>
              <w:bottom w:val="nil"/>
            </w:tcBorders>
            <w:vAlign w:val="top"/>
          </w:tcPr>
          <w:p w14:paraId="739ED5F3">
            <w:pPr>
              <w:spacing w:before="45" w:line="194" w:lineRule="auto"/>
              <w:ind w:left="252"/>
              <w:rPr>
                <w:rFonts w:ascii="宋体" w:hAnsi="宋体" w:eastAsia="宋体" w:cs="宋体"/>
                <w:sz w:val="20"/>
                <w:szCs w:val="20"/>
              </w:rPr>
            </w:pPr>
            <w:r>
              <w:rPr>
                <w:rFonts w:ascii="宋体" w:hAnsi="宋体" w:eastAsia="宋体" w:cs="宋体"/>
                <w:spacing w:val="-3"/>
                <w:sz w:val="20"/>
                <w:szCs w:val="20"/>
              </w:rPr>
              <w:t>生态效</w:t>
            </w:r>
          </w:p>
          <w:p w14:paraId="239526A7">
            <w:pPr>
              <w:spacing w:line="206" w:lineRule="auto"/>
              <w:ind w:left="252"/>
              <w:rPr>
                <w:rFonts w:ascii="宋体" w:hAnsi="宋体" w:eastAsia="宋体" w:cs="宋体"/>
                <w:sz w:val="20"/>
                <w:szCs w:val="20"/>
              </w:rPr>
            </w:pPr>
            <w:r>
              <w:rPr>
                <w:rFonts w:ascii="宋体" w:hAnsi="宋体" w:eastAsia="宋体" w:cs="宋体"/>
                <w:spacing w:val="-3"/>
                <w:sz w:val="20"/>
                <w:szCs w:val="20"/>
              </w:rPr>
              <w:t>益指标</w:t>
            </w:r>
          </w:p>
        </w:tc>
        <w:tc>
          <w:tcPr>
            <w:tcW w:w="1206" w:type="dxa"/>
            <w:vAlign w:val="center"/>
          </w:tcPr>
          <w:p w14:paraId="2C54D49C">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无直接影响</w:t>
            </w:r>
          </w:p>
        </w:tc>
        <w:tc>
          <w:tcPr>
            <w:tcW w:w="1159" w:type="dxa"/>
            <w:vAlign w:val="center"/>
          </w:tcPr>
          <w:p w14:paraId="38487126">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无</w:t>
            </w:r>
          </w:p>
        </w:tc>
        <w:tc>
          <w:tcPr>
            <w:tcW w:w="1166" w:type="dxa"/>
            <w:vAlign w:val="center"/>
          </w:tcPr>
          <w:p w14:paraId="2A1B0046">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无</w:t>
            </w:r>
          </w:p>
        </w:tc>
        <w:tc>
          <w:tcPr>
            <w:tcW w:w="591" w:type="dxa"/>
            <w:vAlign w:val="center"/>
          </w:tcPr>
          <w:p w14:paraId="7F5AE9FE">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6FAA79EB">
            <w:pPr>
              <w:pStyle w:val="20"/>
              <w:spacing w:line="230"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0F1AC15B">
            <w:pPr>
              <w:pStyle w:val="20"/>
              <w:spacing w:line="230" w:lineRule="exact"/>
              <w:rPr>
                <w:sz w:val="20"/>
              </w:rPr>
            </w:pPr>
          </w:p>
        </w:tc>
      </w:tr>
      <w:tr w14:paraId="30BEF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300" w:type="dxa"/>
            <w:vMerge w:val="continue"/>
            <w:tcBorders>
              <w:top w:val="nil"/>
              <w:bottom w:val="nil"/>
            </w:tcBorders>
            <w:textDirection w:val="tbRlV"/>
            <w:vAlign w:val="top"/>
          </w:tcPr>
          <w:p w14:paraId="452C9267">
            <w:pPr>
              <w:pStyle w:val="20"/>
            </w:pPr>
          </w:p>
        </w:tc>
        <w:tc>
          <w:tcPr>
            <w:tcW w:w="1133" w:type="dxa"/>
            <w:vMerge w:val="continue"/>
            <w:tcBorders>
              <w:top w:val="nil"/>
              <w:bottom w:val="nil"/>
            </w:tcBorders>
            <w:vAlign w:val="top"/>
          </w:tcPr>
          <w:p w14:paraId="414947F4">
            <w:pPr>
              <w:pStyle w:val="20"/>
            </w:pPr>
          </w:p>
        </w:tc>
        <w:tc>
          <w:tcPr>
            <w:tcW w:w="1167" w:type="dxa"/>
            <w:tcBorders>
              <w:bottom w:val="nil"/>
            </w:tcBorders>
            <w:vAlign w:val="top"/>
          </w:tcPr>
          <w:p w14:paraId="28E67F4E">
            <w:pPr>
              <w:spacing w:before="34" w:line="205" w:lineRule="auto"/>
              <w:ind w:left="251" w:right="176" w:hanging="99"/>
              <w:rPr>
                <w:rFonts w:ascii="宋体" w:hAnsi="宋体" w:eastAsia="宋体" w:cs="宋体"/>
                <w:sz w:val="20"/>
                <w:szCs w:val="20"/>
              </w:rPr>
            </w:pPr>
            <w:r>
              <w:rPr>
                <w:rFonts w:ascii="宋体" w:hAnsi="宋体" w:eastAsia="宋体" w:cs="宋体"/>
                <w:spacing w:val="-3"/>
                <w:sz w:val="20"/>
                <w:szCs w:val="20"/>
              </w:rPr>
              <w:t>可持续影</w:t>
            </w:r>
            <w:r>
              <w:rPr>
                <w:rFonts w:ascii="宋体" w:hAnsi="宋体" w:eastAsia="宋体" w:cs="宋体"/>
                <w:spacing w:val="2"/>
                <w:sz w:val="20"/>
                <w:szCs w:val="20"/>
              </w:rPr>
              <w:t>响指标</w:t>
            </w:r>
          </w:p>
        </w:tc>
        <w:tc>
          <w:tcPr>
            <w:tcW w:w="1206" w:type="dxa"/>
            <w:vAlign w:val="center"/>
          </w:tcPr>
          <w:p w14:paraId="4DBBC472">
            <w:pPr>
              <w:pStyle w:val="20"/>
              <w:spacing w:line="228"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保障医保工作正常有序开展</w:t>
            </w:r>
          </w:p>
        </w:tc>
        <w:tc>
          <w:tcPr>
            <w:tcW w:w="1159" w:type="dxa"/>
            <w:vAlign w:val="center"/>
          </w:tcPr>
          <w:p w14:paraId="779643F8">
            <w:pPr>
              <w:pStyle w:val="20"/>
              <w:spacing w:line="228"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1166" w:type="dxa"/>
            <w:vAlign w:val="center"/>
          </w:tcPr>
          <w:p w14:paraId="48815EB6">
            <w:pPr>
              <w:pStyle w:val="20"/>
              <w:spacing w:line="228"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效果明显</w:t>
            </w:r>
          </w:p>
        </w:tc>
        <w:tc>
          <w:tcPr>
            <w:tcW w:w="591" w:type="dxa"/>
            <w:vAlign w:val="center"/>
          </w:tcPr>
          <w:p w14:paraId="3A91C43F">
            <w:pPr>
              <w:pStyle w:val="20"/>
              <w:spacing w:line="228"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1117" w:type="dxa"/>
            <w:vAlign w:val="center"/>
          </w:tcPr>
          <w:p w14:paraId="093D7027">
            <w:pPr>
              <w:pStyle w:val="20"/>
              <w:spacing w:line="228" w:lineRule="exact"/>
              <w:jc w:val="center"/>
              <w:rPr>
                <w:rFonts w:hint="eastAsia"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5</w:t>
            </w:r>
          </w:p>
        </w:tc>
        <w:tc>
          <w:tcPr>
            <w:tcW w:w="904" w:type="dxa"/>
            <w:vAlign w:val="top"/>
          </w:tcPr>
          <w:p w14:paraId="1DEFE22D">
            <w:pPr>
              <w:pStyle w:val="20"/>
              <w:spacing w:line="228" w:lineRule="exact"/>
              <w:rPr>
                <w:sz w:val="19"/>
              </w:rPr>
            </w:pPr>
          </w:p>
        </w:tc>
      </w:tr>
      <w:tr w14:paraId="44A02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300" w:type="dxa"/>
            <w:vMerge w:val="continue"/>
            <w:tcBorders>
              <w:top w:val="nil"/>
              <w:bottom w:val="nil"/>
            </w:tcBorders>
            <w:textDirection w:val="tbRlV"/>
            <w:vAlign w:val="top"/>
          </w:tcPr>
          <w:p w14:paraId="6B7371FD">
            <w:pPr>
              <w:pStyle w:val="20"/>
            </w:pPr>
          </w:p>
        </w:tc>
        <w:tc>
          <w:tcPr>
            <w:tcW w:w="1133" w:type="dxa"/>
            <w:tcBorders>
              <w:bottom w:val="nil"/>
            </w:tcBorders>
            <w:vAlign w:val="top"/>
          </w:tcPr>
          <w:p w14:paraId="20780A70">
            <w:pPr>
              <w:spacing w:before="45" w:line="217" w:lineRule="auto"/>
              <w:ind w:left="380" w:right="305" w:hanging="99"/>
              <w:rPr>
                <w:rFonts w:ascii="宋体" w:hAnsi="宋体" w:eastAsia="宋体" w:cs="宋体"/>
                <w:sz w:val="20"/>
                <w:szCs w:val="20"/>
              </w:rPr>
            </w:pPr>
            <w:r>
              <w:rPr>
                <w:rFonts w:ascii="宋体" w:hAnsi="宋体" w:eastAsia="宋体" w:cs="宋体"/>
                <w:spacing w:val="-3"/>
                <w:sz w:val="20"/>
                <w:szCs w:val="20"/>
              </w:rPr>
              <w:t>满意度指标</w:t>
            </w:r>
          </w:p>
        </w:tc>
        <w:tc>
          <w:tcPr>
            <w:tcW w:w="1167" w:type="dxa"/>
            <w:tcBorders>
              <w:bottom w:val="nil"/>
            </w:tcBorders>
            <w:vAlign w:val="top"/>
          </w:tcPr>
          <w:p w14:paraId="64D60A6F">
            <w:pPr>
              <w:spacing w:before="156" w:line="252" w:lineRule="auto"/>
              <w:ind w:left="151" w:right="74" w:hanging="100"/>
              <w:rPr>
                <w:rFonts w:ascii="宋体" w:hAnsi="宋体" w:eastAsia="宋体" w:cs="宋体"/>
                <w:sz w:val="20"/>
                <w:szCs w:val="20"/>
              </w:rPr>
            </w:pPr>
            <w:r>
              <w:rPr>
                <w:rFonts w:ascii="宋体" w:hAnsi="宋体" w:eastAsia="宋体" w:cs="宋体"/>
                <w:spacing w:val="-2"/>
                <w:sz w:val="20"/>
                <w:szCs w:val="20"/>
              </w:rPr>
              <w:t>服务对象满</w:t>
            </w:r>
            <w:r>
              <w:rPr>
                <w:rFonts w:ascii="宋体" w:hAnsi="宋体" w:eastAsia="宋体" w:cs="宋体"/>
                <w:spacing w:val="1"/>
                <w:sz w:val="20"/>
                <w:szCs w:val="20"/>
              </w:rPr>
              <w:t>意度指标</w:t>
            </w:r>
          </w:p>
        </w:tc>
        <w:tc>
          <w:tcPr>
            <w:tcW w:w="1206" w:type="dxa"/>
            <w:vAlign w:val="center"/>
          </w:tcPr>
          <w:p w14:paraId="0380D90D">
            <w:pPr>
              <w:pStyle w:val="20"/>
              <w:spacing w:line="23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en-US" w:bidi="ar-SA"/>
              </w:rPr>
              <w:t>使用人员满意度</w:t>
            </w:r>
          </w:p>
        </w:tc>
        <w:tc>
          <w:tcPr>
            <w:tcW w:w="1159" w:type="dxa"/>
            <w:vAlign w:val="center"/>
          </w:tcPr>
          <w:p w14:paraId="6C3D3FAA">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≥90%</w:t>
            </w:r>
          </w:p>
        </w:tc>
        <w:tc>
          <w:tcPr>
            <w:tcW w:w="1166" w:type="dxa"/>
            <w:vAlign w:val="center"/>
          </w:tcPr>
          <w:p w14:paraId="41A00D5C">
            <w:pPr>
              <w:pStyle w:val="20"/>
              <w:spacing w:line="230" w:lineRule="exact"/>
              <w:jc w:val="center"/>
              <w:rPr>
                <w:rFonts w:ascii="宋体" w:hAnsi="宋体" w:eastAsia="宋体" w:cs="宋体"/>
                <w:snapToGrid w:val="0"/>
                <w:color w:val="000000"/>
                <w:spacing w:val="-2"/>
                <w:kern w:val="0"/>
                <w:sz w:val="20"/>
                <w:szCs w:val="20"/>
                <w:lang w:val="en-US" w:eastAsia="en-US" w:bidi="ar-SA"/>
              </w:rPr>
            </w:pPr>
            <w:r>
              <w:rPr>
                <w:rFonts w:hint="eastAsia" w:ascii="宋体" w:hAnsi="宋体" w:eastAsia="宋体" w:cs="宋体"/>
                <w:snapToGrid w:val="0"/>
                <w:color w:val="000000"/>
                <w:spacing w:val="-2"/>
                <w:kern w:val="0"/>
                <w:sz w:val="20"/>
                <w:szCs w:val="20"/>
                <w:lang w:val="en-US" w:eastAsia="zh-CN" w:bidi="ar-SA"/>
              </w:rPr>
              <w:t>≥90%</w:t>
            </w:r>
          </w:p>
        </w:tc>
        <w:tc>
          <w:tcPr>
            <w:tcW w:w="591" w:type="dxa"/>
            <w:vAlign w:val="center"/>
          </w:tcPr>
          <w:p w14:paraId="7D7C6BF3">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w:t>
            </w:r>
          </w:p>
        </w:tc>
        <w:tc>
          <w:tcPr>
            <w:tcW w:w="1117" w:type="dxa"/>
            <w:vAlign w:val="center"/>
          </w:tcPr>
          <w:p w14:paraId="01F45EA0">
            <w:pPr>
              <w:pStyle w:val="20"/>
              <w:spacing w:line="230" w:lineRule="exact"/>
              <w:jc w:val="center"/>
              <w:rPr>
                <w:rFonts w:hint="default" w:ascii="宋体" w:hAnsi="宋体" w:eastAsia="宋体" w:cs="宋体"/>
                <w:snapToGrid w:val="0"/>
                <w:color w:val="000000"/>
                <w:spacing w:val="-2"/>
                <w:kern w:val="0"/>
                <w:sz w:val="20"/>
                <w:szCs w:val="20"/>
                <w:lang w:val="en-US" w:eastAsia="zh-CN" w:bidi="ar-SA"/>
              </w:rPr>
            </w:pPr>
            <w:r>
              <w:rPr>
                <w:rFonts w:hint="eastAsia" w:ascii="宋体" w:hAnsi="宋体" w:eastAsia="宋体" w:cs="宋体"/>
                <w:snapToGrid w:val="0"/>
                <w:color w:val="000000"/>
                <w:spacing w:val="-2"/>
                <w:kern w:val="0"/>
                <w:sz w:val="20"/>
                <w:szCs w:val="20"/>
                <w:lang w:val="en-US" w:eastAsia="zh-CN" w:bidi="ar-SA"/>
              </w:rPr>
              <w:t>10</w:t>
            </w:r>
          </w:p>
        </w:tc>
        <w:tc>
          <w:tcPr>
            <w:tcW w:w="904" w:type="dxa"/>
            <w:vAlign w:val="top"/>
          </w:tcPr>
          <w:p w14:paraId="19BC6A8C">
            <w:pPr>
              <w:pStyle w:val="20"/>
              <w:spacing w:line="230" w:lineRule="exact"/>
              <w:rPr>
                <w:sz w:val="20"/>
              </w:rPr>
            </w:pPr>
          </w:p>
        </w:tc>
      </w:tr>
      <w:tr w14:paraId="7A8D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7131" w:type="dxa"/>
            <w:gridSpan w:val="6"/>
            <w:vAlign w:val="top"/>
          </w:tcPr>
          <w:p w14:paraId="2CA67F21">
            <w:pPr>
              <w:spacing w:before="77" w:line="220" w:lineRule="auto"/>
              <w:ind w:left="3245"/>
              <w:rPr>
                <w:rFonts w:ascii="宋体" w:hAnsi="宋体" w:eastAsia="宋体" w:cs="宋体"/>
                <w:sz w:val="20"/>
                <w:szCs w:val="20"/>
              </w:rPr>
            </w:pPr>
            <w:r>
              <w:rPr>
                <w:rFonts w:ascii="宋体" w:hAnsi="宋体" w:eastAsia="宋体" w:cs="宋体"/>
                <w:spacing w:val="4"/>
                <w:sz w:val="20"/>
                <w:szCs w:val="20"/>
              </w:rPr>
              <w:t>总分</w:t>
            </w:r>
          </w:p>
        </w:tc>
        <w:tc>
          <w:tcPr>
            <w:tcW w:w="591" w:type="dxa"/>
            <w:vAlign w:val="top"/>
          </w:tcPr>
          <w:p w14:paraId="0349E70E">
            <w:pPr>
              <w:spacing w:before="96" w:line="219" w:lineRule="auto"/>
              <w:ind w:left="197"/>
              <w:rPr>
                <w:rFonts w:ascii="宋体" w:hAnsi="宋体" w:eastAsia="宋体" w:cs="宋体"/>
                <w:sz w:val="20"/>
                <w:szCs w:val="20"/>
              </w:rPr>
            </w:pPr>
            <w:r>
              <w:rPr>
                <w:rFonts w:ascii="宋体" w:hAnsi="宋体" w:eastAsia="宋体" w:cs="宋体"/>
                <w:spacing w:val="-6"/>
                <w:sz w:val="20"/>
                <w:szCs w:val="20"/>
              </w:rPr>
              <w:t>100</w:t>
            </w:r>
          </w:p>
        </w:tc>
        <w:tc>
          <w:tcPr>
            <w:tcW w:w="1117" w:type="dxa"/>
            <w:vAlign w:val="top"/>
          </w:tcPr>
          <w:p w14:paraId="613707E0">
            <w:pPr>
              <w:pStyle w:val="20"/>
              <w:spacing w:line="230" w:lineRule="exact"/>
              <w:jc w:val="center"/>
              <w:rPr>
                <w:rFonts w:hint="default" w:eastAsia="宋体"/>
                <w:lang w:val="en-US" w:eastAsia="zh-CN"/>
              </w:rPr>
            </w:pPr>
            <w:r>
              <w:rPr>
                <w:rFonts w:hint="eastAsia" w:ascii="宋体" w:hAnsi="宋体" w:eastAsia="宋体" w:cs="宋体"/>
                <w:snapToGrid w:val="0"/>
                <w:color w:val="000000"/>
                <w:spacing w:val="-2"/>
                <w:kern w:val="0"/>
                <w:sz w:val="20"/>
                <w:szCs w:val="20"/>
                <w:lang w:val="en-US" w:eastAsia="zh-CN" w:bidi="ar-SA"/>
              </w:rPr>
              <w:t>98.5</w:t>
            </w:r>
          </w:p>
        </w:tc>
        <w:tc>
          <w:tcPr>
            <w:tcW w:w="904" w:type="dxa"/>
            <w:vAlign w:val="top"/>
          </w:tcPr>
          <w:p w14:paraId="30097F6D">
            <w:pPr>
              <w:pStyle w:val="20"/>
            </w:pPr>
          </w:p>
        </w:tc>
      </w:tr>
    </w:tbl>
    <w:p w14:paraId="04562FA5">
      <w:pPr>
        <w:spacing w:line="246" w:lineRule="auto"/>
        <w:rPr>
          <w:rFonts w:ascii="Arial"/>
          <w:sz w:val="21"/>
        </w:rPr>
      </w:pPr>
    </w:p>
    <w:p w14:paraId="41E04044">
      <w:pPr>
        <w:spacing w:before="254" w:line="231" w:lineRule="auto"/>
        <w:ind w:left="535"/>
        <w:rPr>
          <w:rFonts w:hint="default" w:ascii="仿宋" w:hAnsi="仿宋" w:eastAsia="仿宋" w:cs="仿宋"/>
          <w:sz w:val="20"/>
          <w:szCs w:val="20"/>
          <w:lang w:val="en-US" w:eastAsia="zh-CN"/>
        </w:rPr>
      </w:pPr>
      <w:r>
        <w:rPr>
          <w:rFonts w:ascii="仿宋" w:hAnsi="仿宋" w:eastAsia="仿宋" w:cs="仿宋"/>
          <w:spacing w:val="3"/>
          <w:sz w:val="20"/>
          <w:szCs w:val="20"/>
        </w:rPr>
        <w:t>填表人：</w:t>
      </w:r>
      <w:r>
        <w:rPr>
          <w:rFonts w:hint="eastAsia" w:ascii="仿宋" w:hAnsi="仿宋" w:eastAsia="仿宋" w:cs="仿宋"/>
          <w:spacing w:val="3"/>
          <w:sz w:val="20"/>
          <w:szCs w:val="20"/>
          <w:lang w:val="en-US" w:eastAsia="zh-CN"/>
        </w:rPr>
        <w:t xml:space="preserve">易康睿              </w:t>
      </w:r>
      <w:r>
        <w:rPr>
          <w:rFonts w:ascii="仿宋" w:hAnsi="仿宋" w:eastAsia="仿宋" w:cs="仿宋"/>
          <w:spacing w:val="3"/>
          <w:sz w:val="20"/>
          <w:szCs w:val="20"/>
        </w:rPr>
        <w:t>填报日期：</w:t>
      </w:r>
      <w:r>
        <w:rPr>
          <w:rFonts w:hint="eastAsia" w:ascii="仿宋" w:hAnsi="仿宋" w:eastAsia="仿宋" w:cs="仿宋"/>
          <w:spacing w:val="3"/>
          <w:sz w:val="20"/>
          <w:szCs w:val="20"/>
          <w:lang w:val="en-US" w:eastAsia="zh-CN"/>
        </w:rPr>
        <w:t xml:space="preserve">2025年6月9日    </w:t>
      </w:r>
      <w:r>
        <w:rPr>
          <w:rFonts w:ascii="仿宋" w:hAnsi="仿宋" w:eastAsia="仿宋" w:cs="仿宋"/>
          <w:spacing w:val="3"/>
          <w:sz w:val="20"/>
          <w:szCs w:val="20"/>
        </w:rPr>
        <w:t>联系电话：</w:t>
      </w:r>
      <w:r>
        <w:rPr>
          <w:rFonts w:hint="eastAsia" w:ascii="仿宋" w:hAnsi="仿宋" w:eastAsia="仿宋" w:cs="仿宋"/>
          <w:spacing w:val="3"/>
          <w:sz w:val="20"/>
          <w:szCs w:val="20"/>
          <w:lang w:val="en-US" w:eastAsia="zh-CN"/>
        </w:rPr>
        <w:t>2717696</w:t>
      </w:r>
    </w:p>
    <w:p w14:paraId="35CD2921"/>
    <w:p w14:paraId="52007FC5">
      <w:pPr>
        <w:pStyle w:val="13"/>
        <w:jc w:val="both"/>
        <w:rPr>
          <w:rFonts w:ascii="Times New Roman" w:hAnsi="Times New Roman" w:cs="Times New Roman"/>
          <w:sz w:val="18"/>
          <w:szCs w:val="18"/>
        </w:rPr>
      </w:pPr>
    </w:p>
    <w:p w14:paraId="27360550">
      <w:pPr>
        <w:pStyle w:val="13"/>
        <w:jc w:val="center"/>
        <w:rPr>
          <w:rFonts w:ascii="Times New Roman" w:hAnsi="Times New Roman" w:cs="Times New Roman"/>
          <w:sz w:val="72"/>
          <w:szCs w:val="72"/>
        </w:rPr>
      </w:pPr>
    </w:p>
    <w:p w14:paraId="255A6A8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8CE109-02F8-4BCE-A9BE-CE6EDCE65F2F}"/>
  </w:font>
  <w:font w:name="黑体">
    <w:panose1 w:val="02010609060101010101"/>
    <w:charset w:val="86"/>
    <w:family w:val="auto"/>
    <w:pitch w:val="default"/>
    <w:sig w:usb0="800002BF" w:usb1="38CF7CFA" w:usb2="00000016" w:usb3="00000000" w:csb0="00040001" w:csb1="00000000"/>
    <w:embedRegular r:id="rId2" w:fontKey="{6387B8A7-A31B-4DDC-B231-5EB509B813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91C28114-3125-469B-862A-C89A51F67E12}"/>
  </w:font>
  <w:font w:name="方正小标宋简体">
    <w:panose1 w:val="03000509000000000000"/>
    <w:charset w:val="86"/>
    <w:family w:val="auto"/>
    <w:pitch w:val="default"/>
    <w:sig w:usb0="00000001" w:usb1="080E0000" w:usb2="00000000" w:usb3="00000000" w:csb0="00040000" w:csb1="00000000"/>
    <w:embedRegular r:id="rId4" w:fontKey="{AF7091C6-71EB-4E22-BFA0-EE15AAE9C2BF}"/>
  </w:font>
  <w:font w:name="方正小标宋_GBK">
    <w:panose1 w:val="02000000000000000000"/>
    <w:charset w:val="86"/>
    <w:family w:val="script"/>
    <w:pitch w:val="default"/>
    <w:sig w:usb0="A00002BF" w:usb1="38CF7CFA" w:usb2="00082016" w:usb3="00000000" w:csb0="00040001" w:csb1="00000000"/>
    <w:embedRegular r:id="rId5" w:fontKey="{868B931A-C95A-4DD5-B64C-1E424B74584D}"/>
  </w:font>
  <w:font w:name="仿宋_GB2312">
    <w:panose1 w:val="02010609030101010101"/>
    <w:charset w:val="86"/>
    <w:family w:val="modern"/>
    <w:pitch w:val="default"/>
    <w:sig w:usb0="00000001" w:usb1="080E0000" w:usb2="00000000" w:usb3="00000000" w:csb0="00040000" w:csb1="00000000"/>
    <w:embedRegular r:id="rId6" w:fontKey="{673390EB-A602-48C4-B654-92A8B389D2B6}"/>
  </w:font>
  <w:font w:name="华文中宋">
    <w:panose1 w:val="02010600040101010101"/>
    <w:charset w:val="86"/>
    <w:family w:val="auto"/>
    <w:pitch w:val="default"/>
    <w:sig w:usb0="00000287" w:usb1="080F0000" w:usb2="00000000" w:usb3="00000000" w:csb0="0004009F" w:csb1="DFD70000"/>
    <w:embedRegular r:id="rId7" w:fontKey="{57826707-E5C9-46B3-9D5D-81F5B741D300}"/>
  </w:font>
  <w:font w:name="ËÎÌå">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8" w:fontKey="{49E2A02B-C05F-4D55-A199-883FCD46BD33}"/>
  </w:font>
  <w:font w:name="楷体">
    <w:panose1 w:val="02010609060101010101"/>
    <w:charset w:val="86"/>
    <w:family w:val="modern"/>
    <w:pitch w:val="default"/>
    <w:sig w:usb0="800002BF" w:usb1="38CF7CFA" w:usb2="00000016" w:usb3="00000000" w:csb0="00040001" w:csb1="00000000"/>
    <w:embedRegular r:id="rId9" w:fontKey="{09F67173-106B-4DD2-AC4D-C51D10CD4F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242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76E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E112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A2D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4AC6E">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54AC6E">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75EB">
    <w:pPr>
      <w:spacing w:line="173" w:lineRule="auto"/>
      <w:ind w:left="4119"/>
      <w:rPr>
        <w:rFonts w:ascii="Times New Roman" w:hAnsi="Times New Roman" w:eastAsia="Times New Roman" w:cs="Times New Roman"/>
        <w:sz w:val="14"/>
        <w:szCs w:val="1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1061E"/>
    <w:multiLevelType w:val="singleLevel"/>
    <w:tmpl w:val="8501061E"/>
    <w:lvl w:ilvl="0" w:tentative="0">
      <w:start w:val="1"/>
      <w:numFmt w:val="decimalEnclosedCircleChinese"/>
      <w:suff w:val="nothing"/>
      <w:lvlText w:val="%1　"/>
      <w:lvlJc w:val="left"/>
      <w:pPr>
        <w:ind w:left="0" w:firstLine="400"/>
      </w:pPr>
      <w:rPr>
        <w:rFonts w:hint="eastAsia"/>
      </w:rPr>
    </w:lvl>
  </w:abstractNum>
  <w:abstractNum w:abstractNumId="1">
    <w:nsid w:val="97B2DD2E"/>
    <w:multiLevelType w:val="singleLevel"/>
    <w:tmpl w:val="97B2DD2E"/>
    <w:lvl w:ilvl="0" w:tentative="0">
      <w:start w:val="2"/>
      <w:numFmt w:val="chineseCounting"/>
      <w:lvlText w:val="(%1)"/>
      <w:lvlJc w:val="left"/>
      <w:pPr>
        <w:tabs>
          <w:tab w:val="left" w:pos="312"/>
        </w:tabs>
      </w:pPr>
      <w:rPr>
        <w:rFonts w:hint="eastAsia"/>
      </w:rPr>
    </w:lvl>
  </w:abstractNum>
  <w:abstractNum w:abstractNumId="2">
    <w:nsid w:val="A5A29A61"/>
    <w:multiLevelType w:val="singleLevel"/>
    <w:tmpl w:val="A5A29A61"/>
    <w:lvl w:ilvl="0" w:tentative="0">
      <w:start w:val="1"/>
      <w:numFmt w:val="decimalEnclosedCircleChinese"/>
      <w:suff w:val="nothing"/>
      <w:lvlText w:val="%1　"/>
      <w:lvlJc w:val="left"/>
      <w:pPr>
        <w:ind w:left="0" w:firstLine="400"/>
      </w:pPr>
      <w:rPr>
        <w:rFonts w:hint="eastAsia"/>
      </w:rPr>
    </w:lvl>
  </w:abstractNum>
  <w:abstractNum w:abstractNumId="3">
    <w:nsid w:val="E1BF429E"/>
    <w:multiLevelType w:val="singleLevel"/>
    <w:tmpl w:val="E1BF429E"/>
    <w:lvl w:ilvl="0" w:tentative="0">
      <w:start w:val="12"/>
      <w:numFmt w:val="chineseCounting"/>
      <w:suff w:val="nothing"/>
      <w:lvlText w:val="%1、"/>
      <w:lvlJc w:val="left"/>
      <w:rPr>
        <w:rFonts w:hint="eastAsia"/>
      </w:rPr>
    </w:lvl>
  </w:abstractNum>
  <w:abstractNum w:abstractNumId="4">
    <w:nsid w:val="EB36C4DC"/>
    <w:multiLevelType w:val="singleLevel"/>
    <w:tmpl w:val="EB36C4DC"/>
    <w:lvl w:ilvl="0" w:tentative="0">
      <w:start w:val="1"/>
      <w:numFmt w:val="decimal"/>
      <w:suff w:val="nothing"/>
      <w:lvlText w:val="%1、"/>
      <w:lvlJc w:val="left"/>
    </w:lvl>
  </w:abstractNum>
  <w:abstractNum w:abstractNumId="5">
    <w:nsid w:val="F89BB285"/>
    <w:multiLevelType w:val="singleLevel"/>
    <w:tmpl w:val="F89BB285"/>
    <w:lvl w:ilvl="0" w:tentative="0">
      <w:start w:val="3"/>
      <w:numFmt w:val="decimal"/>
      <w:suff w:val="nothing"/>
      <w:lvlText w:val="%1、"/>
      <w:lvlJc w:val="left"/>
    </w:lvl>
  </w:abstractNum>
  <w:abstractNum w:abstractNumId="6">
    <w:nsid w:val="FAD59706"/>
    <w:multiLevelType w:val="singleLevel"/>
    <w:tmpl w:val="FAD59706"/>
    <w:lvl w:ilvl="0" w:tentative="0">
      <w:start w:val="9"/>
      <w:numFmt w:val="chineseCounting"/>
      <w:suff w:val="nothing"/>
      <w:lvlText w:val="%1、"/>
      <w:lvlJc w:val="left"/>
      <w:rPr>
        <w:rFonts w:hint="eastAsia"/>
      </w:rPr>
    </w:lvl>
  </w:abstractNum>
  <w:abstractNum w:abstractNumId="7">
    <w:nsid w:val="032D5A69"/>
    <w:multiLevelType w:val="singleLevel"/>
    <w:tmpl w:val="032D5A69"/>
    <w:lvl w:ilvl="0" w:tentative="0">
      <w:start w:val="5"/>
      <w:numFmt w:val="chineseCounting"/>
      <w:suff w:val="nothing"/>
      <w:lvlText w:val="%1、"/>
      <w:lvlJc w:val="left"/>
      <w:rPr>
        <w:rFonts w:hint="eastAsia"/>
      </w:rPr>
    </w:lvl>
  </w:abstractNum>
  <w:abstractNum w:abstractNumId="8">
    <w:nsid w:val="2165AFF2"/>
    <w:multiLevelType w:val="singleLevel"/>
    <w:tmpl w:val="2165AFF2"/>
    <w:lvl w:ilvl="0" w:tentative="0">
      <w:start w:val="3"/>
      <w:numFmt w:val="decimal"/>
      <w:lvlText w:val="%1."/>
      <w:lvlJc w:val="left"/>
      <w:pPr>
        <w:tabs>
          <w:tab w:val="left" w:pos="312"/>
        </w:tabs>
      </w:pPr>
    </w:lvl>
  </w:abstractNum>
  <w:num w:numId="1">
    <w:abstractNumId w:val="5"/>
  </w:num>
  <w:num w:numId="2">
    <w:abstractNumId w:val="8"/>
  </w:num>
  <w:num w:numId="3">
    <w:abstractNumId w:val="6"/>
  </w:num>
  <w:num w:numId="4">
    <w:abstractNumId w:val="1"/>
  </w:num>
  <w:num w:numId="5">
    <w:abstractNumId w:val="4"/>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BC1A2E"/>
    <w:rsid w:val="050D7D30"/>
    <w:rsid w:val="057C60AE"/>
    <w:rsid w:val="092C7F35"/>
    <w:rsid w:val="0AE23827"/>
    <w:rsid w:val="0D11308B"/>
    <w:rsid w:val="16606AA7"/>
    <w:rsid w:val="17D31D1C"/>
    <w:rsid w:val="19D16843"/>
    <w:rsid w:val="1AC32B7C"/>
    <w:rsid w:val="1B262014"/>
    <w:rsid w:val="1B3B1CB8"/>
    <w:rsid w:val="1D171E89"/>
    <w:rsid w:val="1D97DEFF"/>
    <w:rsid w:val="1DFF72E5"/>
    <w:rsid w:val="1EFC6F07"/>
    <w:rsid w:val="1FEE36E8"/>
    <w:rsid w:val="279A680A"/>
    <w:rsid w:val="2FDF85B8"/>
    <w:rsid w:val="2FFFEE04"/>
    <w:rsid w:val="31AF6BA2"/>
    <w:rsid w:val="326E1360"/>
    <w:rsid w:val="32C12999"/>
    <w:rsid w:val="32F97F91"/>
    <w:rsid w:val="34DF85B0"/>
    <w:rsid w:val="3518051D"/>
    <w:rsid w:val="38A13FB6"/>
    <w:rsid w:val="39026541"/>
    <w:rsid w:val="3B8F36BC"/>
    <w:rsid w:val="3D096BFD"/>
    <w:rsid w:val="3D2419B9"/>
    <w:rsid w:val="3DC526D5"/>
    <w:rsid w:val="3DD83597"/>
    <w:rsid w:val="3F9133A5"/>
    <w:rsid w:val="42C65C9A"/>
    <w:rsid w:val="46BF4009"/>
    <w:rsid w:val="47FF0C96"/>
    <w:rsid w:val="491FF225"/>
    <w:rsid w:val="4FCC5324"/>
    <w:rsid w:val="4FFD214C"/>
    <w:rsid w:val="514245A0"/>
    <w:rsid w:val="53E655D2"/>
    <w:rsid w:val="5777D4F5"/>
    <w:rsid w:val="59DD8326"/>
    <w:rsid w:val="5B61290C"/>
    <w:rsid w:val="5DE11544"/>
    <w:rsid w:val="5DEF592A"/>
    <w:rsid w:val="5F224C00"/>
    <w:rsid w:val="5FC6BB1E"/>
    <w:rsid w:val="5FF720F1"/>
    <w:rsid w:val="60474DFD"/>
    <w:rsid w:val="628147C8"/>
    <w:rsid w:val="64E90CF4"/>
    <w:rsid w:val="6566212E"/>
    <w:rsid w:val="65BA3035"/>
    <w:rsid w:val="679F1744"/>
    <w:rsid w:val="67FF5C0B"/>
    <w:rsid w:val="68CB1738"/>
    <w:rsid w:val="6D907D03"/>
    <w:rsid w:val="6ED45CEE"/>
    <w:rsid w:val="6EFC0924"/>
    <w:rsid w:val="6F3670AA"/>
    <w:rsid w:val="6FB74722"/>
    <w:rsid w:val="6FEF8B7E"/>
    <w:rsid w:val="71A6591B"/>
    <w:rsid w:val="72457E9C"/>
    <w:rsid w:val="72927080"/>
    <w:rsid w:val="737D59BA"/>
    <w:rsid w:val="73E436DE"/>
    <w:rsid w:val="761354F1"/>
    <w:rsid w:val="76A72ED3"/>
    <w:rsid w:val="77C37683"/>
    <w:rsid w:val="78C665B9"/>
    <w:rsid w:val="790746F5"/>
    <w:rsid w:val="79D19834"/>
    <w:rsid w:val="79E87123"/>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0"/>
      <w:szCs w:val="20"/>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1829</Words>
  <Characters>1839</Characters>
  <Lines>69</Lines>
  <Paragraphs>19</Paragraphs>
  <TotalTime>3</TotalTime>
  <ScaleCrop>false</ScaleCrop>
  <LinksUpToDate>false</LinksUpToDate>
  <CharactersWithSpaces>1868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Yiaree</cp:lastModifiedBy>
  <cp:lastPrinted>2024-08-08T18:20:00Z</cp:lastPrinted>
  <dcterms:modified xsi:type="dcterms:W3CDTF">2025-09-24T03:42:18Z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1D5597847A0F42F89772ED7E4C027FCB_13</vt:lpwstr>
  </property>
  <property fmtid="{D5CDD505-2E9C-101B-9397-08002B2CF9AE}" pid="4" name="KSOTemplateDocerSaveRecord">
    <vt:lpwstr>eyJoZGlkIjoiYzJhN2M2MTc2MTg5NzdjZjQ0NjcyZTZkYTcyM2Y1ZTAiLCJ1c2VySWQiOiIzMzQ4MjEzMTgifQ==</vt:lpwstr>
  </property>
</Properties>
</file>