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rFonts w:ascii="Times New Roman" w:hAnsi="Times New Roman" w:cs="Times New Roman"/>
          <w:sz w:val="56"/>
          <w:szCs w:val="56"/>
        </w:rPr>
      </w:pPr>
    </w:p>
    <w:p>
      <w:pPr>
        <w:pStyle w:val="15"/>
        <w:jc w:val="center"/>
        <w:rPr>
          <w:rFonts w:ascii="Times New Roman" w:hAnsi="Times New Roman" w:cs="Times New Roman"/>
          <w:sz w:val="84"/>
          <w:szCs w:val="84"/>
        </w:rPr>
      </w:pPr>
    </w:p>
    <w:p>
      <w:pPr>
        <w:pStyle w:val="15"/>
        <w:jc w:val="center"/>
        <w:rPr>
          <w:rFonts w:ascii="Times New Roman" w:hAnsi="Times New Roman" w:cs="Times New Roman"/>
          <w:sz w:val="84"/>
          <w:szCs w:val="84"/>
        </w:rPr>
      </w:pPr>
    </w:p>
    <w:p>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中国国际贸易促进委员会湖南省怀化市支会</w:t>
      </w:r>
      <w:r>
        <w:rPr>
          <w:rFonts w:ascii="Times New Roman" w:hAnsi="Times New Roman" w:eastAsia="方正小标宋简体" w:cs="Times New Roman"/>
          <w:sz w:val="72"/>
          <w:szCs w:val="72"/>
        </w:rPr>
        <w:t>部门决算</w:t>
      </w:r>
    </w:p>
    <w:p>
      <w:pPr>
        <w:pStyle w:val="15"/>
        <w:jc w:val="center"/>
        <w:rPr>
          <w:rFonts w:ascii="Times New Roman" w:hAnsi="Times New Roman" w:eastAsia="方正小标宋_GBK" w:cs="Times New Roman"/>
          <w:sz w:val="56"/>
          <w:szCs w:val="56"/>
        </w:rPr>
      </w:pPr>
    </w:p>
    <w:p>
      <w:pPr>
        <w:pStyle w:val="15"/>
        <w:jc w:val="center"/>
        <w:rPr>
          <w:rFonts w:ascii="Times New Roman" w:hAnsi="Times New Roman" w:cs="Times New Roman"/>
          <w:sz w:val="56"/>
          <w:szCs w:val="56"/>
        </w:rPr>
      </w:pPr>
    </w:p>
    <w:p>
      <w:pPr>
        <w:pStyle w:val="15"/>
        <w:rPr>
          <w:rFonts w:ascii="Times New Roman" w:hAnsi="Times New Roman" w:cs="Times New Roman"/>
          <w:sz w:val="56"/>
          <w:szCs w:val="56"/>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jc w:val="center"/>
        <w:rPr>
          <w:rFonts w:ascii="Times New Roman" w:hAnsi="Times New Roman" w:cs="Times New Roman"/>
          <w:sz w:val="32"/>
          <w:szCs w:val="32"/>
        </w:rPr>
      </w:pPr>
    </w:p>
    <w:p>
      <w:pPr>
        <w:pStyle w:val="15"/>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5"/>
        <w:spacing w:line="600" w:lineRule="exact"/>
        <w:jc w:val="both"/>
        <w:rPr>
          <w:rFonts w:ascii="Times New Roman" w:hAnsi="Times New Roman" w:cs="Times New Roman"/>
          <w:b/>
          <w:sz w:val="36"/>
          <w:szCs w:val="28"/>
        </w:rPr>
      </w:pPr>
    </w:p>
    <w:p>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5"/>
        <w:spacing w:line="600" w:lineRule="exact"/>
        <w:jc w:val="center"/>
        <w:rPr>
          <w:rFonts w:ascii="Times New Roman" w:hAnsi="Times New Roman" w:cs="Times New Roman"/>
          <w:b/>
          <w:sz w:val="36"/>
          <w:szCs w:val="28"/>
        </w:rPr>
      </w:pPr>
    </w:p>
    <w:p>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中国国际贸易促进委员会湖南省怀化市支会</w:t>
      </w:r>
      <w:r>
        <w:rPr>
          <w:rFonts w:ascii="Times New Roman" w:hAnsi="Times New Roman" w:cs="Times New Roman"/>
          <w:bCs/>
          <w:sz w:val="32"/>
          <w:szCs w:val="32"/>
        </w:rPr>
        <w:t>概况</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5"/>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中国国际贸易促进委员会湖南省怀化市支会</w:t>
      </w:r>
      <w:r>
        <w:rPr>
          <w:rFonts w:ascii="Times New Roman" w:hAnsi="Times New Roman" w:eastAsia="方正小标宋_GBK" w:cs="Times New Roman"/>
          <w:sz w:val="52"/>
          <w:szCs w:val="52"/>
        </w:rPr>
        <w:t>概况</w:t>
      </w:r>
    </w:p>
    <w:p>
      <w:pPr>
        <w:pStyle w:val="2"/>
        <w:ind w:left="0" w:leftChars="0" w:firstLine="0" w:firstLineChars="0"/>
        <w:rPr>
          <w:rFonts w:ascii="Times New Roman" w:hAnsi="Times New Roman" w:cs="Times New Roman"/>
        </w:rPr>
      </w:pPr>
    </w:p>
    <w:p>
      <w:pPr>
        <w:pStyle w:val="16"/>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开展全市对外贸易、经济合作和文化、技术、金融等交流的促进工作，提供国际联络、国际展览、国际培训及经贸法律、信息服务；开展国际招商引资的促进工作；负责全市出国办展的归口受理、报批和组织工作；出具出口商品原产地证明书，签发和认证对外贸易业务的文件及单证；调解涉外经贸纠纷，接受委托代理国际经贸仲裁；指导、协调市内行业商会和县（市、区）国际商会的工作。</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default"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kern w:val="0"/>
          <w:sz w:val="32"/>
          <w:szCs w:val="32"/>
        </w:rPr>
        <w:t>中国国际贸易促进委员会湖南省怀化市支会</w:t>
      </w:r>
      <w:r>
        <w:rPr>
          <w:rFonts w:hint="eastAsia" w:ascii="Times New Roman" w:hAnsi="Times New Roman" w:eastAsia="仿宋_GB2312" w:cs="仿宋_GB2312"/>
          <w:bCs/>
          <w:kern w:val="0"/>
          <w:sz w:val="32"/>
          <w:szCs w:val="32"/>
        </w:rPr>
        <w:t>内设机构包括：</w:t>
      </w:r>
      <w:r>
        <w:rPr>
          <w:rFonts w:hint="default" w:ascii="Times New Roman" w:hAnsi="Times New Roman" w:eastAsia="仿宋_GB2312" w:cs="仿宋_GB2312"/>
          <w:bCs/>
          <w:kern w:val="0"/>
          <w:sz w:val="32"/>
          <w:szCs w:val="32"/>
        </w:rPr>
        <w:t>办公室。</w:t>
      </w:r>
    </w:p>
    <w:p>
      <w:pPr>
        <w:widowControl/>
        <w:spacing w:line="600" w:lineRule="exact"/>
        <w:ind w:firstLine="640" w:firstLineChars="200"/>
        <w:rPr>
          <w:rFonts w:hint="eastAsia" w:ascii="Times New Roman" w:hAnsi="Times New Roman" w:eastAsia="仿宋"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仿宋" w:hAnsi="仿宋" w:eastAsia="仿宋"/>
          <w:kern w:val="0"/>
          <w:sz w:val="32"/>
          <w:szCs w:val="32"/>
        </w:rPr>
        <w:t>中国国际贸易促进委员会湖南省怀化市支会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仿宋" w:hAnsi="仿宋" w:eastAsia="仿宋"/>
          <w:kern w:val="0"/>
          <w:sz w:val="32"/>
          <w:szCs w:val="32"/>
        </w:rPr>
        <w:t>中国国际贸易促进委员会湖南省怀化市支会</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部门决算表</w:t>
      </w:r>
    </w:p>
    <w:p>
      <w:pPr>
        <w:spacing w:line="600" w:lineRule="exact"/>
        <w:ind w:firstLine="3200" w:firstLineChars="1000"/>
        <w:rPr>
          <w:rFonts w:hint="eastAsia" w:ascii="Times New Roman" w:hAnsi="Times New Roman" w:eastAsia="仿宋" w:cs="Times New Roman"/>
          <w:lang w:eastAsia="zh-CN"/>
        </w:rPr>
        <w:sectPr>
          <w:footerReference r:id="rId7" w:type="default"/>
          <w:pgSz w:w="11906" w:h="16838"/>
          <w:pgMar w:top="1417" w:right="1588" w:bottom="1417" w:left="1588" w:header="851" w:footer="992" w:gutter="0"/>
          <w:pgNumType w:start="1"/>
          <w:cols w:space="425" w:num="1"/>
          <w:docGrid w:type="lines" w:linePitch="312" w:charSpace="0"/>
        </w:sectPr>
      </w:pPr>
      <w:bookmarkStart w:id="0" w:name="_Hlk144209032"/>
      <w:r>
        <w:rPr>
          <w:rFonts w:hint="eastAsia" w:ascii="仿宋" w:hAnsi="仿宋" w:eastAsia="仿宋" w:cs="仿宋"/>
          <w:sz w:val="32"/>
          <w:szCs w:val="32"/>
        </w:rPr>
        <w:t>（详情见附件</w:t>
      </w:r>
      <w:bookmarkEnd w:id="0"/>
      <w:bookmarkStart w:id="1" w:name="RANGE!A1:I22"/>
      <w:bookmarkEnd w:id="1"/>
      <w:r>
        <w:rPr>
          <w:rFonts w:hint="eastAsia" w:ascii="仿宋" w:hAnsi="仿宋" w:eastAsia="仿宋" w:cs="仿宋"/>
          <w:sz w:val="32"/>
          <w:szCs w:val="32"/>
          <w:lang w:eastAsia="zh-CN"/>
        </w:rPr>
        <w:t>）</w:t>
      </w: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5"/>
        <w:spacing w:line="360" w:lineRule="auto"/>
        <w:jc w:val="center"/>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default"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80</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2025年参加国（境）外活动较多，追加了预算</w:t>
      </w:r>
      <w:r>
        <w:rPr>
          <w:rFonts w:hint="eastAsia" w:ascii="Times New Roman" w:hAnsi="Times New Roman" w:eastAsia="仿宋_GB2312" w:cs="Times New Roman"/>
          <w:sz w:val="32"/>
          <w:szCs w:val="32"/>
          <w:lang w:eastAsia="zh-CN"/>
        </w:rPr>
        <w:t>。</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福利支出、商品和服务支出、对个人和家庭的补助等重点支出，体现在有关支出科目中。</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290.21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290.21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290.21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208.97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81.24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580.42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2025年参加国（境）外活动较多，追加了预算</w:t>
      </w:r>
      <w:r>
        <w:rPr>
          <w:rFonts w:hint="eastAsia" w:ascii="Times New Roman" w:hAnsi="Times New Roman" w:eastAsia="仿宋_GB2312" w:cs="Times New Roman"/>
          <w:sz w:val="32"/>
          <w:szCs w:val="32"/>
          <w:lang w:eastAsia="zh-CN"/>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290.21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36.05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2025年参加国（境）外活动较多，追加了预算</w:t>
      </w:r>
      <w:r>
        <w:rPr>
          <w:rFonts w:hint="eastAsia" w:ascii="Times New Roman" w:hAnsi="Times New Roman" w:eastAsia="仿宋_GB2312" w:cs="Times New Roman"/>
          <w:sz w:val="32"/>
          <w:szCs w:val="32"/>
          <w:lang w:eastAsia="zh-CN"/>
        </w:rPr>
        <w:t>。</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5"/>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290.21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236.85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社会保障和就业支出17.3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6.99万元，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商业服务业等支出26.91</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；住房保障支出2.17</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210.45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236.85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112.5</w:t>
      </w:r>
      <w:r>
        <w:rPr>
          <w:rFonts w:ascii="Times New Roman" w:hAnsi="Times New Roman" w:eastAsia="仿宋_GB2312" w:cs="Times New Roman"/>
          <w:sz w:val="32"/>
          <w:szCs w:val="32"/>
        </w:rPr>
        <w:t>%，其中：</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一般公共服务（类）商贸事务（款）行政运行（项）</w:t>
      </w:r>
      <w:r>
        <w:rPr>
          <w:rFonts w:hint="eastAsia" w:ascii="Times New Roman" w:hAnsi="Times New Roman" w:eastAsia="仿宋_GB2312"/>
          <w:sz w:val="32"/>
          <w:szCs w:val="32"/>
          <w:lang w:eastAsia="zh-CN"/>
        </w:rPr>
        <w:t>。</w:t>
      </w:r>
    </w:p>
    <w:p>
      <w:pPr>
        <w:pStyle w:val="15"/>
        <w:overflowPunct w:val="0"/>
        <w:autoSpaceDE/>
        <w:autoSpaceDN/>
        <w:spacing w:line="600" w:lineRule="exact"/>
        <w:ind w:firstLine="640" w:firstLineChars="200"/>
        <w:jc w:val="both"/>
        <w:rPr>
          <w:rFonts w:hint="default"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210.45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175.32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83.3</w:t>
      </w:r>
      <w:r>
        <w:rPr>
          <w:rFonts w:ascii="Times New Roman" w:hAnsi="Times New Roman" w:eastAsia="仿宋_GB2312" w:cs="Times New Roman"/>
          <w:sz w:val="32"/>
          <w:szCs w:val="32"/>
        </w:rPr>
        <w:t>%，决算数小于年初预算数的主要原因是：原属于此类款项的</w:t>
      </w:r>
      <w:r>
        <w:rPr>
          <w:rFonts w:hint="eastAsia" w:ascii="Times New Roman" w:hAnsi="Times New Roman" w:eastAsia="仿宋_GB2312" w:cs="Times New Roman"/>
          <w:sz w:val="32"/>
          <w:szCs w:val="32"/>
          <w:lang w:val="en-US" w:eastAsia="zh-CN"/>
        </w:rPr>
        <w:t>48.68</w:t>
      </w:r>
      <w:r>
        <w:rPr>
          <w:rFonts w:hint="default" w:ascii="Times New Roman" w:hAnsi="Times New Roman" w:eastAsia="仿宋_GB2312" w:cs="Times New Roman"/>
          <w:sz w:val="32"/>
          <w:szCs w:val="32"/>
        </w:rPr>
        <w:t>万元</w:t>
      </w:r>
      <w:r>
        <w:rPr>
          <w:rFonts w:ascii="Times New Roman" w:hAnsi="Times New Roman" w:eastAsia="仿宋_GB2312" w:cs="Times New Roman"/>
          <w:sz w:val="32"/>
          <w:szCs w:val="32"/>
        </w:rPr>
        <w:t>专项经费调整到</w:t>
      </w:r>
      <w:r>
        <w:rPr>
          <w:rFonts w:hint="eastAsia" w:ascii="Times New Roman" w:hAnsi="Times New Roman" w:eastAsia="仿宋_GB2312"/>
          <w:sz w:val="32"/>
          <w:szCs w:val="32"/>
        </w:rPr>
        <w:t>一般公共服务（类）商贸事务（款）一般行政管理事务（项）</w:t>
      </w:r>
      <w:r>
        <w:rPr>
          <w:rFonts w:hint="default" w:ascii="Times New Roman" w:hAnsi="Times New Roman" w:eastAsia="仿宋_GB2312"/>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sz w:val="32"/>
          <w:szCs w:val="32"/>
        </w:rPr>
        <w:t>商贸事务（款）一般行政管理事务（项）</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48.68</w:t>
      </w:r>
      <w:r>
        <w:rPr>
          <w:rFonts w:ascii="Times New Roman" w:hAnsi="Times New Roman" w:eastAsia="仿宋_GB2312" w:cs="Times New Roman"/>
          <w:sz w:val="32"/>
          <w:szCs w:val="32"/>
        </w:rPr>
        <w:t>万元，决算数大于年初预算数的主要原因是：年初属于</w:t>
      </w:r>
      <w:r>
        <w:rPr>
          <w:rFonts w:hint="eastAsia" w:ascii="Times New Roman" w:hAnsi="Times New Roman" w:eastAsia="仿宋_GB2312"/>
          <w:sz w:val="32"/>
          <w:szCs w:val="32"/>
        </w:rPr>
        <w:t>一般公共服务（类）商贸事务（款）行政运行（项）</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48.68</w:t>
      </w:r>
      <w:r>
        <w:rPr>
          <w:rFonts w:hint="default" w:ascii="Times New Roman" w:hAnsi="Times New Roman" w:eastAsia="仿宋_GB2312" w:cs="Times New Roman"/>
          <w:sz w:val="32"/>
          <w:szCs w:val="32"/>
        </w:rPr>
        <w:t>万元</w:t>
      </w:r>
      <w:r>
        <w:rPr>
          <w:rFonts w:ascii="Times New Roman" w:hAnsi="Times New Roman" w:eastAsia="仿宋_GB2312" w:cs="Times New Roman"/>
          <w:sz w:val="32"/>
          <w:szCs w:val="32"/>
        </w:rPr>
        <w:t>专项经费调整到此类款项。</w:t>
      </w:r>
    </w:p>
    <w:p>
      <w:pPr>
        <w:pStyle w:val="15"/>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商贸事务（款）其他商贸事务支出（项）</w:t>
      </w:r>
      <w:r>
        <w:rPr>
          <w:rFonts w:ascii="Times New Roman" w:hAnsi="Times New Roman" w:eastAsia="仿宋_GB2312" w:cs="Times New Roman"/>
          <w:sz w:val="32"/>
          <w:szCs w:val="32"/>
        </w:rPr>
        <w:t>。</w:t>
      </w:r>
    </w:p>
    <w:p>
      <w:pPr>
        <w:pStyle w:val="15"/>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2025年经市委市政府批准，我会参加出访参加埃及、肯尼亚活动，追加了5.65万元预算。</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一般公共服务（类）</w:t>
      </w:r>
      <w:r>
        <w:rPr>
          <w:rFonts w:hint="eastAsia" w:ascii="Times New Roman" w:hAnsi="Times New Roman" w:eastAsia="仿宋_GB2312"/>
          <w:sz w:val="32"/>
          <w:szCs w:val="32"/>
        </w:rPr>
        <w:t>其他一般公共服务支出（款）其他一般公共服务支出（项）</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w:t>
      </w:r>
      <w:r>
        <w:rPr>
          <w:rFonts w:ascii="Times New Roman" w:hAnsi="Times New Roman" w:eastAsia="仿宋_GB2312" w:cs="Times New Roman"/>
          <w:sz w:val="32"/>
          <w:szCs w:val="32"/>
        </w:rPr>
        <w:t>元，支出决算为</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用于2024年在职人员年度考核预发部分奖金支出</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5、社会保障和就业支出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行政事业单位养老支出（款）机关事业单位基本养老保险缴费支出（项）</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16.65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17.3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每年社保基数都会进行一次调整，而基数会随着上年度工资的增加而增加，故大于年初预算数。</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行政事业单位医疗（款）行政单位医疗（项）</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6.99</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lang w:val="en-US" w:eastAsia="zh-CN"/>
        </w:rPr>
        <w:t>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每年社保基数都会进行一次调整，而基数会随着上年度工资的增加而增加，故大于年初预算数。</w:t>
      </w:r>
    </w:p>
    <w:p>
      <w:pPr>
        <w:pStyle w:val="15"/>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商业服务业等支出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涉外发展服务支出（款）其他涉外发展服务支出（项）</w:t>
      </w:r>
      <w:r>
        <w:rPr>
          <w:rFonts w:ascii="Times New Roman" w:hAnsi="Times New Roman" w:eastAsia="仿宋_GB2312" w:cs="Times New Roman"/>
          <w:sz w:val="32"/>
          <w:szCs w:val="32"/>
        </w:rPr>
        <w:t>。</w:t>
      </w:r>
    </w:p>
    <w:p>
      <w:pPr>
        <w:pStyle w:val="15"/>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5.96</w:t>
      </w:r>
      <w:r>
        <w:rPr>
          <w:rFonts w:ascii="Times New Roman" w:hAnsi="Times New Roman" w:eastAsia="仿宋_GB2312" w:cs="Times New Roman"/>
          <w:sz w:val="32"/>
          <w:szCs w:val="32"/>
        </w:rPr>
        <w:t>万元，决算数大于年初预</w:t>
      </w:r>
      <w:r>
        <w:rPr>
          <w:rFonts w:hint="default" w:ascii="Times New Roman" w:hAnsi="Times New Roman" w:eastAsia="仿宋_GB2312" w:cs="Times New Roman"/>
          <w:sz w:val="32"/>
          <w:szCs w:val="32"/>
        </w:rPr>
        <w:t>算数的主要原因是：</w:t>
      </w:r>
      <w:r>
        <w:rPr>
          <w:rFonts w:hint="eastAsia" w:ascii="Times New Roman" w:hAnsi="Times New Roman" w:eastAsia="仿宋_GB2312" w:cs="Times New Roman"/>
          <w:sz w:val="32"/>
          <w:szCs w:val="32"/>
          <w:lang w:val="en-US" w:eastAsia="zh-CN"/>
        </w:rPr>
        <w:t>此项经费为2025年度追加的香港国际美食茶叶展经费，经费一共26.91万元，但是拆分成境内段5.96万元和境外段20.95万元。</w:t>
      </w:r>
    </w:p>
    <w:p>
      <w:pPr>
        <w:pStyle w:val="15"/>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商业服务业等支出（类）</w:t>
      </w:r>
      <w:r>
        <w:rPr>
          <w:rFonts w:hint="eastAsia" w:ascii="Times New Roman" w:hAnsi="Times New Roman" w:eastAsia="仿宋_GB2312" w:cs="Times New Roman"/>
          <w:sz w:val="32"/>
          <w:szCs w:val="32"/>
        </w:rPr>
        <w:t>其他商业服务业等支出（款）其他商业服务业等支出（项）</w:t>
      </w:r>
      <w:r>
        <w:rPr>
          <w:rFonts w:hint="default" w:ascii="Times New Roman" w:hAnsi="Times New Roman" w:eastAsia="仿宋_GB2312" w:cs="Times New Roman"/>
          <w:sz w:val="32"/>
          <w:szCs w:val="32"/>
        </w:rPr>
        <w:t>。</w:t>
      </w:r>
    </w:p>
    <w:p>
      <w:pPr>
        <w:pStyle w:val="15"/>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26.91</w:t>
      </w:r>
      <w:r>
        <w:rPr>
          <w:rFonts w:ascii="Times New Roman" w:hAnsi="Times New Roman" w:eastAsia="仿宋_GB2312" w:cs="Times New Roman"/>
          <w:sz w:val="32"/>
          <w:szCs w:val="32"/>
        </w:rPr>
        <w:t>万元，决算数大于年初预</w:t>
      </w:r>
      <w:r>
        <w:rPr>
          <w:rFonts w:hint="default" w:ascii="Times New Roman" w:hAnsi="Times New Roman" w:eastAsia="仿宋_GB2312" w:cs="Times New Roman"/>
          <w:sz w:val="32"/>
          <w:szCs w:val="32"/>
        </w:rPr>
        <w:t>算数的主要原因是：</w:t>
      </w:r>
      <w:r>
        <w:rPr>
          <w:rFonts w:hint="eastAsia" w:ascii="Times New Roman" w:hAnsi="Times New Roman" w:eastAsia="仿宋_GB2312" w:cs="Times New Roman"/>
          <w:sz w:val="32"/>
          <w:szCs w:val="32"/>
          <w:lang w:val="en-US" w:eastAsia="zh-CN"/>
        </w:rPr>
        <w:t>此项经费为2025年度追加的香港国际美食茶叶展经费，经费一共26.91万元，但是拆分成境内段5.96万元和境外段20.95万元。</w:t>
      </w:r>
    </w:p>
    <w:p>
      <w:pPr>
        <w:pStyle w:val="15"/>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住房改革支出（款）住房公积金</w:t>
      </w:r>
      <w:r>
        <w:rPr>
          <w:rFonts w:hint="default" w:ascii="Times New Roman" w:hAnsi="Times New Roman" w:eastAsia="仿宋_GB2312" w:cs="Times New Roman"/>
          <w:sz w:val="32"/>
          <w:szCs w:val="32"/>
        </w:rPr>
        <w:t>。</w:t>
      </w:r>
    </w:p>
    <w:p>
      <w:pPr>
        <w:ind w:firstLine="640" w:firstLineChars="200"/>
        <w:rPr>
          <w:rFonts w:hint="default" w:eastAsia="仿宋_GB231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2.17</w:t>
      </w:r>
      <w:r>
        <w:rPr>
          <w:rFonts w:ascii="Times New Roman" w:hAnsi="Times New Roman" w:eastAsia="仿宋_GB2312" w:cs="Times New Roman"/>
          <w:sz w:val="32"/>
          <w:szCs w:val="32"/>
        </w:rPr>
        <w:t>万元，决算数大于年初预</w:t>
      </w:r>
      <w:r>
        <w:rPr>
          <w:rFonts w:hint="default" w:ascii="Times New Roman" w:hAnsi="Times New Roman" w:eastAsia="仿宋_GB2312" w:cs="Times New Roman"/>
          <w:sz w:val="32"/>
          <w:szCs w:val="32"/>
        </w:rPr>
        <w:t>算数的主要原因是：</w:t>
      </w:r>
      <w:r>
        <w:rPr>
          <w:rFonts w:hint="eastAsia" w:ascii="Times New Roman" w:hAnsi="Times New Roman" w:eastAsia="仿宋_GB2312" w:cs="Times New Roman"/>
          <w:sz w:val="32"/>
          <w:szCs w:val="32"/>
          <w:lang w:val="en-US" w:eastAsia="zh-CN"/>
        </w:rPr>
        <w:t>年初住房公积金未做预算。</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rPr>
        <w:t>一般公共服务</w:t>
      </w:r>
      <w:r>
        <w:rPr>
          <w:rFonts w:hint="eastAsia" w:ascii="Times New Roman" w:hAnsi="Times New Roman" w:eastAsia="仿宋_GB2312" w:cs="Times New Roman"/>
          <w:sz w:val="32"/>
          <w:szCs w:val="32"/>
        </w:rPr>
        <w:t>方面的支出规模较大（或占财政拨款支出总额的比重较高），主要是：工资福利支出，2025年度决算数为</w:t>
      </w:r>
      <w:r>
        <w:rPr>
          <w:rFonts w:hint="eastAsia" w:ascii="Times New Roman" w:hAnsi="Times New Roman" w:eastAsia="仿宋_GB2312" w:cs="Times New Roman"/>
          <w:sz w:val="32"/>
          <w:szCs w:val="32"/>
          <w:lang w:val="en-US" w:eastAsia="zh-CN"/>
        </w:rPr>
        <w:t>180.67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62.3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保障职工基本工资福利待遇</w:t>
      </w:r>
      <w:r>
        <w:rPr>
          <w:rFonts w:hint="eastAsia" w:ascii="Times New Roman" w:hAnsi="Times New Roman" w:eastAsia="楷体_GB2312" w:cs="Times New Roman"/>
          <w:b/>
          <w:bCs/>
          <w:i/>
          <w:color w:val="auto"/>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208.9</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189.66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90.8</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、绩效工资、机关事业单位基本养老保险缴费、职工基本医疗保险缴费、公务员医疗补助缴费、其他社会保障缴费、住房公积金、生活补助、奖励金</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19.3</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水费</w:t>
      </w:r>
      <w:r>
        <w:rPr>
          <w:rFonts w:hint="eastAsia" w:ascii="Times New Roman" w:hAnsi="Times New Roman" w:eastAsia="仿宋_GB2312" w:cs="Times New Roman"/>
          <w:sz w:val="32"/>
          <w:szCs w:val="32"/>
          <w:lang w:eastAsia="zh-CN"/>
        </w:rPr>
        <w:t>、电费、工会经费、其他交通费用、其他商品和服务支出</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349</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11.04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557.6</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2025年度有两个因公出国（境）支出，追加了预算支出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2025年度有两个因公出国（境）支出而2024年度无因公出国（境）活动</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13.02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11.43</w:t>
      </w:r>
      <w:r>
        <w:rPr>
          <w:rFonts w:ascii="Times New Roman" w:hAnsi="Times New Roman" w:eastAsia="仿宋_GB2312" w:cs="Times New Roman"/>
          <w:sz w:val="32"/>
          <w:szCs w:val="32"/>
        </w:rPr>
        <w:t>万元。决算数大于预算数的主要原因是</w:t>
      </w:r>
      <w:r>
        <w:rPr>
          <w:rFonts w:hint="eastAsia" w:ascii="Times New Roman" w:hAnsi="Times New Roman" w:eastAsia="仿宋_GB2312" w:cs="Times New Roman"/>
          <w:sz w:val="32"/>
          <w:szCs w:val="32"/>
          <w:lang w:val="en-US" w:eastAsia="zh-CN"/>
        </w:rPr>
        <w:t>2025年度有两个因公出国（境）支出，追加了预算支出</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2025年度有两个因公出国（境）支出而2024年度无因公出国（境）活动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人次</w:t>
      </w:r>
      <w:r>
        <w:rPr>
          <w:rFonts w:ascii="Times New Roman" w:hAnsi="Times New Roman" w:eastAsia="楷体" w:cs="Times New Roman"/>
          <w:b/>
          <w:bCs/>
          <w:i/>
          <w:color w:val="auto"/>
          <w:sz w:val="32"/>
          <w:szCs w:val="32"/>
        </w:rPr>
        <w:t>,</w:t>
      </w:r>
      <w:r>
        <w:rPr>
          <w:rFonts w:ascii="Times New Roman" w:hAnsi="Times New Roman" w:eastAsia="仿宋_GB2312" w:cs="Times New Roman"/>
          <w:sz w:val="32"/>
          <w:szCs w:val="32"/>
        </w:rPr>
        <w:t>主要包括：</w:t>
      </w:r>
    </w:p>
    <w:p>
      <w:pPr>
        <w:widowControl/>
        <w:numPr>
          <w:ilvl w:val="0"/>
          <w:numId w:val="0"/>
        </w:numPr>
        <w:shd w:val="clear" w:color="auto" w:fill="FFFFFF"/>
        <w:spacing w:line="600" w:lineRule="atLeast"/>
        <w:ind w:firstLine="640" w:firstLineChars="200"/>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z w:val="32"/>
          <w:szCs w:val="32"/>
          <w:lang w:val="en" w:eastAsia="zh-CN"/>
        </w:rPr>
        <w:t>因公出访肯尼亚、埃及</w:t>
      </w:r>
      <w:r>
        <w:rPr>
          <w:rFonts w:ascii="Times New Roman" w:hAnsi="Times New Roman" w:eastAsia="仿宋_GB2312" w:cs="Times New Roman"/>
          <w:sz w:val="32"/>
          <w:szCs w:val="32"/>
        </w:rPr>
        <w:t>支出</w:t>
      </w:r>
      <w:r>
        <w:rPr>
          <w:rFonts w:hint="eastAsia" w:ascii="仿宋_GB2312" w:hAnsi="仿宋_GB2312" w:eastAsia="仿宋_GB2312" w:cs="仿宋_GB2312"/>
          <w:spacing w:val="-2"/>
          <w:sz w:val="32"/>
          <w:szCs w:val="32"/>
          <w:lang w:val="en-US" w:eastAsia="zh-CN"/>
        </w:rPr>
        <w:t>5.65</w:t>
      </w:r>
      <w:r>
        <w:rPr>
          <w:rFonts w:ascii="Times New Roman" w:hAnsi="Times New Roman" w:eastAsia="仿宋_GB2312" w:cs="Times New Roman"/>
          <w:sz w:val="32"/>
          <w:szCs w:val="32"/>
        </w:rPr>
        <w:t>万元，主要用于</w:t>
      </w:r>
      <w:r>
        <w:rPr>
          <w:rFonts w:hint="eastAsia" w:ascii="仿宋_GB2312" w:hAnsi="仿宋_GB2312" w:eastAsia="仿宋_GB2312" w:cs="仿宋_GB2312"/>
          <w:spacing w:val="-2"/>
          <w:sz w:val="32"/>
          <w:szCs w:val="32"/>
          <w:lang w:val="en-US" w:eastAsia="zh-CN"/>
        </w:rPr>
        <w:t>前往肯尼亚、埃及进行考察，了解非洲经贸市场情况，其中</w:t>
      </w:r>
      <w:r>
        <w:rPr>
          <w:rFonts w:hint="eastAsia" w:ascii="仿宋_GB2312" w:hAnsi="仿宋_GB2312" w:eastAsia="仿宋_GB2312" w:cs="仿宋_GB2312"/>
          <w:kern w:val="2"/>
          <w:sz w:val="32"/>
          <w:szCs w:val="32"/>
          <w:lang w:val="en-US" w:eastAsia="zh-CN" w:bidi="ar-SA"/>
        </w:rPr>
        <w:t>因公出国（境）活动支出</w:t>
      </w:r>
      <w:r>
        <w:rPr>
          <w:rFonts w:hint="eastAsia" w:ascii="仿宋_GB2312" w:hAnsi="仿宋_GB2312" w:eastAsia="仿宋_GB2312" w:cs="仿宋_GB2312"/>
          <w:spacing w:val="-2"/>
          <w:sz w:val="32"/>
          <w:szCs w:val="32"/>
          <w:lang w:val="en-US" w:eastAsia="zh-CN"/>
        </w:rPr>
        <w:t>5.47万元</w:t>
      </w:r>
      <w:r>
        <w:rPr>
          <w:rFonts w:hint="default" w:ascii="仿宋_GB2312" w:hAnsi="仿宋_GB2312" w:eastAsia="仿宋_GB2312" w:cs="仿宋_GB2312"/>
          <w:spacing w:val="-2"/>
          <w:sz w:val="32"/>
          <w:szCs w:val="32"/>
          <w:lang w:val="en-US" w:eastAsia="zh-CN"/>
        </w:rPr>
        <w:t>。</w:t>
      </w:r>
    </w:p>
    <w:p>
      <w:pPr>
        <w:keepNext w:val="0"/>
        <w:keepLines w:val="0"/>
        <w:widowControl/>
        <w:suppressLineNumbers w:val="0"/>
        <w:ind w:firstLine="640" w:firstLineChars="200"/>
        <w:jc w:val="left"/>
        <w:rPr>
          <w:rFonts w:hint="default" w:ascii="Times New Roman" w:hAnsi="Times New Roman" w:eastAsia="楷体" w:cs="Times New Roman"/>
          <w:b/>
          <w:bCs/>
          <w:i/>
          <w:color w:val="auto"/>
          <w:sz w:val="32"/>
          <w:szCs w:val="32"/>
          <w:lang w:val="en-US"/>
        </w:rPr>
      </w:pPr>
      <w:r>
        <w:rPr>
          <w:rFonts w:hint="eastAsia" w:ascii="仿宋_GB2312" w:hAnsi="仿宋_GB2312" w:eastAsia="仿宋_GB2312" w:cs="仿宋_GB2312"/>
          <w:sz w:val="32"/>
          <w:szCs w:val="32"/>
          <w:lang w:val="en-US" w:eastAsia="zh-CN"/>
        </w:rPr>
        <w:t>香港国际美食茶叶展26.91万元，</w:t>
      </w:r>
      <w:r>
        <w:rPr>
          <w:rFonts w:ascii="Times New Roman" w:hAnsi="Times New Roman" w:eastAsia="仿宋_GB2312" w:cs="Times New Roman"/>
          <w:sz w:val="32"/>
          <w:szCs w:val="32"/>
        </w:rPr>
        <w:t>主要用于</w:t>
      </w:r>
      <w:r>
        <w:rPr>
          <w:rFonts w:hint="eastAsia" w:ascii="仿宋_GB2312" w:hAnsi="仿宋_GB2312" w:eastAsia="仿宋_GB2312" w:cs="仿宋_GB2312"/>
          <w:kern w:val="2"/>
          <w:sz w:val="32"/>
          <w:szCs w:val="32"/>
          <w:lang w:val="en-US" w:eastAsia="zh-CN" w:bidi="ar-SA"/>
        </w:rPr>
        <w:t>组织本地企业参加</w:t>
      </w:r>
      <w:r>
        <w:rPr>
          <w:rFonts w:hint="eastAsia" w:ascii="仿宋_GB2312" w:hAnsi="仿宋_GB2312" w:eastAsia="仿宋_GB2312" w:cs="仿宋_GB2312"/>
          <w:sz w:val="32"/>
          <w:szCs w:val="32"/>
          <w:lang w:val="en-US" w:eastAsia="zh-CN"/>
        </w:rPr>
        <w:t>香港国际美食茶叶展</w:t>
      </w:r>
      <w:r>
        <w:rPr>
          <w:rFonts w:hint="eastAsia" w:ascii="仿宋_GB2312" w:hAnsi="仿宋_GB2312" w:eastAsia="仿宋_GB2312" w:cs="仿宋_GB2312"/>
          <w:kern w:val="2"/>
          <w:sz w:val="32"/>
          <w:szCs w:val="32"/>
          <w:lang w:val="en-US" w:eastAsia="zh-CN" w:bidi="ar-SA"/>
        </w:rPr>
        <w:t>，包括同期开展考察、租车费用、人员差旅等费用，其中因公出国（境）</w:t>
      </w:r>
      <w:bookmarkStart w:id="2" w:name="_GoBack"/>
      <w:bookmarkEnd w:id="2"/>
      <w:r>
        <w:rPr>
          <w:rFonts w:hint="eastAsia" w:ascii="仿宋_GB2312" w:hAnsi="仿宋_GB2312" w:eastAsia="仿宋_GB2312" w:cs="仿宋_GB2312"/>
          <w:kern w:val="2"/>
          <w:sz w:val="32"/>
          <w:szCs w:val="32"/>
          <w:lang w:val="en-US" w:eastAsia="zh-CN" w:bidi="ar-SA"/>
        </w:rPr>
        <w:t>活动支出5.96万元。</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。其中：</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default" w:ascii="Times New Roman" w:hAnsi="Times New Roman" w:eastAsia="仿宋_GB2312" w:cs="Times New Roman"/>
          <w:sz w:val="32"/>
          <w:szCs w:val="32"/>
        </w:rPr>
        <w:t>100</w:t>
      </w:r>
      <w:r>
        <w:rPr>
          <w:rFonts w:ascii="Times New Roman" w:hAnsi="Times New Roman" w:eastAsia="仿宋_GB2312" w:cs="Times New Roman"/>
          <w:sz w:val="32"/>
          <w:szCs w:val="32"/>
        </w:rPr>
        <w:t>%；与上年相比增加</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万元，增长</w:t>
      </w:r>
      <w:r>
        <w:rPr>
          <w:rFonts w:hint="default"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油费、过路费、保养费、保险费、年检费等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21.2</w:t>
      </w:r>
      <w:r>
        <w:rPr>
          <w:rFonts w:ascii="Times New Roman" w:hAnsi="Times New Roman" w:eastAsia="仿宋_GB2312" w:cs="Times New Roman"/>
          <w:sz w:val="32"/>
          <w:szCs w:val="32"/>
        </w:rPr>
        <w:t>%。决算数大于上年数的主要原因是开展</w:t>
      </w:r>
      <w:r>
        <w:rPr>
          <w:rFonts w:hint="eastAsia" w:ascii="Times New Roman" w:hAnsi="Times New Roman" w:eastAsia="仿宋_GB2312" w:cs="Times New Roman"/>
          <w:sz w:val="32"/>
          <w:szCs w:val="32"/>
          <w:lang w:val="en-US" w:eastAsia="zh-CN"/>
        </w:rPr>
        <w:t>企业走访</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调研活动增多，油费支出增多。截止202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61.6</w:t>
      </w:r>
      <w:r>
        <w:rPr>
          <w:rFonts w:ascii="Times New Roman" w:hAnsi="Times New Roman" w:eastAsia="仿宋_GB2312" w:cs="Times New Roman"/>
          <w:sz w:val="32"/>
          <w:szCs w:val="32"/>
        </w:rPr>
        <w:t>%。决算数小于预算数的主要原因是严控公务接待开支。决算数小于上年数的主要原因是</w:t>
      </w:r>
      <w:r>
        <w:rPr>
          <w:rFonts w:hint="eastAsia" w:ascii="Times New Roman" w:hAnsi="Times New Roman" w:eastAsia="仿宋_GB2312" w:cs="Times New Roman"/>
          <w:sz w:val="32"/>
          <w:szCs w:val="32"/>
          <w:lang w:val="en-US" w:eastAsia="zh-CN"/>
        </w:rPr>
        <w:t>从2025年下半年开始出台新的公务接待细则，公务接待显著减少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人次，主要是公务接待和商务接待发生的接待支出。</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本单位无政府性基金收支</w:t>
      </w:r>
      <w:r>
        <w:rPr>
          <w:rFonts w:hint="eastAsia" w:ascii="Times New Roman" w:hAnsi="Times New Roman" w:eastAsia="仿宋_GB2312" w:cs="Times New Roman"/>
          <w:sz w:val="32"/>
          <w:szCs w:val="32"/>
          <w:lang w:eastAsia="zh-CN"/>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19.32</w:t>
      </w:r>
      <w:r>
        <w:rPr>
          <w:rFonts w:ascii="Times New Roman" w:hAnsi="Times New Roman" w:eastAsia="仿宋_GB2312" w:cs="Times New Roman"/>
          <w:sz w:val="32"/>
          <w:szCs w:val="32"/>
        </w:rPr>
        <w:t>万元，比</w:t>
      </w:r>
      <w:r>
        <w:rPr>
          <w:rFonts w:hint="eastAsia" w:ascii="Times New Roman" w:hAnsi="Times New Roman" w:eastAsia="仿宋_GB2312" w:cs="Times New Roman"/>
          <w:sz w:val="32"/>
          <w:szCs w:val="32"/>
          <w:lang w:val="en-US" w:eastAsia="zh-CN"/>
        </w:rPr>
        <w:t>上年决算</w:t>
      </w:r>
      <w:r>
        <w:rPr>
          <w:rFonts w:ascii="Times New Roman" w:hAnsi="Times New Roman" w:eastAsia="仿宋_GB2312" w:cs="Times New Roman"/>
          <w:sz w:val="32"/>
          <w:szCs w:val="32"/>
        </w:rPr>
        <w:t>数减少</w:t>
      </w:r>
      <w:r>
        <w:rPr>
          <w:rFonts w:hint="eastAsia" w:ascii="Times New Roman" w:hAnsi="Times New Roman" w:eastAsia="仿宋_GB2312" w:cs="Times New Roman"/>
          <w:sz w:val="32"/>
          <w:szCs w:val="32"/>
          <w:lang w:val="en-US" w:eastAsia="zh-CN"/>
        </w:rPr>
        <w:t>7.72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2025较2024年度拨付乡村振兴经费减少。</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仿宋_GB2312" w:hAnsi="仿宋_GB2312" w:eastAsia="仿宋_GB2312" w:cs="仿宋_GB2312"/>
          <w:sz w:val="32"/>
          <w:szCs w:val="32"/>
          <w:lang w:val="en-US" w:eastAsia="zh-CN"/>
        </w:rPr>
        <w:t>290.2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81.23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28</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仿宋_GB2312" w:hAnsi="仿宋_GB2312" w:eastAsia="仿宋_GB2312" w:cs="仿宋_GB2312"/>
          <w:sz w:val="32"/>
          <w:szCs w:val="32"/>
          <w:lang w:val="en-US" w:eastAsia="zh-CN"/>
        </w:rPr>
        <w:t>贸促事业发展专项</w:t>
      </w:r>
      <w:r>
        <w:rPr>
          <w:rFonts w:ascii="Times New Roman" w:hAnsi="Times New Roman" w:eastAsia="仿宋_GB2312" w:cs="Times New Roman"/>
          <w:kern w:val="0"/>
          <w:sz w:val="32"/>
          <w:szCs w:val="32"/>
        </w:rPr>
        <w:t>”“</w:t>
      </w:r>
      <w:r>
        <w:rPr>
          <w:rFonts w:hint="eastAsia" w:ascii="仿宋_GB2312" w:hAnsi="仿宋_GB2312" w:eastAsia="仿宋_GB2312" w:cs="仿宋_GB2312"/>
          <w:sz w:val="32"/>
          <w:szCs w:val="32"/>
          <w:lang w:val="en" w:eastAsia="zh-CN"/>
        </w:rPr>
        <w:t>因公出访肯尼亚、埃及</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hint="eastAsia" w:ascii="仿宋_GB2312" w:hAnsi="仿宋_GB2312" w:eastAsia="仿宋_GB2312" w:cs="仿宋_GB2312"/>
          <w:sz w:val="32"/>
          <w:szCs w:val="32"/>
          <w:lang w:val="en-US" w:eastAsia="zh-CN"/>
        </w:rPr>
        <w:t>香港国际美食茶叶展</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81.24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kern w:val="0"/>
          <w:sz w:val="32"/>
          <w:szCs w:val="32"/>
        </w:rPr>
        <w:t>新增重大政策和重大项目。</w:t>
      </w:r>
    </w:p>
    <w:p>
      <w:pPr>
        <w:ind w:firstLine="640" w:firstLineChars="200"/>
        <w:rPr>
          <w:rFonts w:hint="eastAsia" w:ascii="仿宋_GB2312" w:hAnsi="仿宋_GB2312" w:eastAsia="仿宋_GB2312" w:cs="仿宋_GB231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390.27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290.2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74.36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w:t>
      </w:r>
      <w:r>
        <w:rPr>
          <w:rFonts w:ascii="Times New Roman" w:hAnsi="Times New Roman" w:eastAsia="仿宋_GB2312" w:cs="Times New Roman"/>
          <w:kern w:val="0"/>
          <w:sz w:val="32"/>
          <w:szCs w:val="32"/>
        </w:rPr>
        <w:t>况：一是</w:t>
      </w:r>
      <w:r>
        <w:rPr>
          <w:rFonts w:hint="eastAsia" w:ascii="Times New Roman" w:hAnsi="Times New Roman" w:eastAsia="仿宋_GB2312" w:cs="Times New Roman"/>
          <w:kern w:val="0"/>
          <w:sz w:val="32"/>
          <w:szCs w:val="32"/>
          <w:lang w:val="en-US" w:eastAsia="zh-CN"/>
        </w:rPr>
        <w:t>成功搭建产业对接高端平台</w:t>
      </w:r>
      <w:r>
        <w:rPr>
          <w:rFonts w:ascii="Times New Roman" w:hAnsi="Times New Roman" w:eastAsia="仿宋_GB2312" w:cs="Times New Roman"/>
          <w:kern w:val="0"/>
          <w:sz w:val="32"/>
          <w:szCs w:val="32"/>
        </w:rPr>
        <w:t>；二是</w:t>
      </w:r>
      <w:r>
        <w:rPr>
          <w:rFonts w:hint="eastAsia" w:ascii="Times New Roman" w:hAnsi="Times New Roman" w:eastAsia="仿宋_GB2312" w:cs="Times New Roman"/>
          <w:kern w:val="0"/>
          <w:sz w:val="32"/>
          <w:szCs w:val="32"/>
          <w:lang w:val="en-US" w:eastAsia="zh-CN"/>
        </w:rPr>
        <w:t>深度参与RCEP博览会成效显著；三是助力“湘品出湘”拓展市场；四是参展服务精准有力；五是重点展会收获颇丰；六是招商引资主动出击；七是新兴市场开拓取得进展；八是商协会纽带作用持续增强。</w:t>
      </w:r>
      <w:r>
        <w:rPr>
          <w:rFonts w:ascii="Times New Roman" w:hAnsi="Times New Roman" w:eastAsia="仿宋_GB2312" w:cs="Times New Roman"/>
          <w:kern w:val="0"/>
          <w:sz w:val="32"/>
          <w:szCs w:val="32"/>
        </w:rPr>
        <w:t>发现的主要问题及原因：</w:t>
      </w:r>
      <w:r>
        <w:rPr>
          <w:rFonts w:hint="eastAsia" w:ascii="Times New Roman" w:hAnsi="Times New Roman" w:eastAsia="仿宋_GB2312" w:cs="Times New Roman"/>
          <w:kern w:val="0"/>
          <w:sz w:val="32"/>
          <w:szCs w:val="32"/>
          <w:lang w:val="en-US" w:eastAsia="zh-CN"/>
        </w:rPr>
        <w:t>一是基本支出</w:t>
      </w:r>
      <w:r>
        <w:rPr>
          <w:rFonts w:hint="eastAsia" w:ascii="仿宋_GB2312" w:hAnsi="仿宋_GB2312" w:eastAsia="仿宋_GB2312" w:cs="仿宋_GB2312"/>
          <w:spacing w:val="-2"/>
          <w:sz w:val="32"/>
          <w:szCs w:val="32"/>
          <w:lang w:val="en-US" w:eastAsia="zh-CN"/>
        </w:rPr>
        <w:t>预算安排与实际需求存在差异。除基本工资、津补贴、绩效工资以外的人员经费，其他支出存在预算不足</w:t>
      </w:r>
      <w:r>
        <w:rPr>
          <w:rFonts w:hint="default" w:ascii="仿宋_GB2312" w:hAnsi="仿宋_GB2312" w:eastAsia="仿宋_GB2312" w:cs="仿宋_GB2312"/>
          <w:spacing w:val="-2"/>
          <w:sz w:val="32"/>
          <w:szCs w:val="32"/>
          <w:lang w:eastAsia="zh-CN"/>
        </w:rPr>
        <w:t>，</w:t>
      </w:r>
      <w:r>
        <w:rPr>
          <w:rFonts w:hint="eastAsia" w:ascii="仿宋_GB2312" w:hAnsi="仿宋_GB2312" w:eastAsia="仿宋_GB2312" w:cs="仿宋_GB2312"/>
          <w:sz w:val="32"/>
          <w:szCs w:val="32"/>
          <w:lang w:val="en-US" w:eastAsia="zh-CN"/>
        </w:rPr>
        <w:t>公用支出经费预算无法满足全年运转需要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二是</w:t>
      </w:r>
      <w:r>
        <w:rPr>
          <w:rFonts w:hint="default" w:ascii="仿宋_GB2312" w:hAnsi="仿宋_GB2312" w:eastAsia="仿宋_GB2312" w:cs="仿宋_GB2312"/>
          <w:spacing w:val="-2"/>
          <w:sz w:val="32"/>
          <w:szCs w:val="32"/>
          <w:lang w:eastAsia="zh-CN"/>
        </w:rPr>
        <w:t>纳入年初预算的</w:t>
      </w:r>
      <w:r>
        <w:rPr>
          <w:rFonts w:hint="eastAsia" w:ascii="仿宋_GB2312" w:hAnsi="仿宋_GB2312" w:eastAsia="仿宋_GB2312" w:cs="仿宋_GB2312"/>
          <w:spacing w:val="-2"/>
          <w:sz w:val="32"/>
          <w:szCs w:val="32"/>
          <w:lang w:val="en-US" w:eastAsia="zh-CN"/>
        </w:rPr>
        <w:t>专项业务经费较少无法满足开展专项工作</w:t>
      </w:r>
      <w:r>
        <w:rPr>
          <w:rFonts w:ascii="Times New Roman" w:hAnsi="Times New Roman" w:eastAsia="仿宋_GB2312" w:cs="Times New Roman"/>
          <w:sz w:val="32"/>
          <w:szCs w:val="32"/>
        </w:rPr>
        <w:t>。下一步改进措施：</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一是着力加强预算编制管理。科学规划预算编制工作，进一步提高预算编制的科学性、合理性、严谨性和可控性。二是针对2025年度财务管理工作中发现的问题，加强财务人员的培训与继续教育，不断提高预决算编制水平与数据分析能力。三是完善绩效评价体系，加强部门整体支出绩效管理，做好年初绩效评价指标的设计量化，强化预算执行期间的绩效监控及年终的绩效评价与评价的应用工作。</w:t>
      </w:r>
    </w:p>
    <w:p>
      <w:pPr>
        <w:pStyle w:val="15"/>
        <w:overflowPunct w:val="0"/>
        <w:autoSpaceDE/>
        <w:autoSpaceDN/>
        <w:spacing w:line="600" w:lineRule="exact"/>
        <w:ind w:firstLine="640" w:firstLineChars="200"/>
        <w:jc w:val="both"/>
        <w:rPr>
          <w:rFonts w:hint="eastAsia" w:ascii="Times New Roman" w:hAnsi="Times New Roman" w:eastAsia="楷体_GB2312" w:cs="Times New Roman"/>
          <w:b/>
          <w:bCs/>
          <w:color w:val="auto"/>
          <w:kern w:val="2"/>
          <w:sz w:val="32"/>
          <w:szCs w:val="32"/>
          <w:lang w:val="en-US" w:eastAsia="zh-CN" w:bidi="ar-SA"/>
        </w:rPr>
      </w:pPr>
      <w:r>
        <w:rPr>
          <w:rFonts w:hint="eastAsia" w:ascii="Times New Roman" w:hAnsi="Times New Roman" w:eastAsia="楷体_GB2312" w:cs="Times New Roman"/>
          <w:b/>
          <w:bCs/>
          <w:color w:val="auto"/>
          <w:kern w:val="2"/>
          <w:sz w:val="32"/>
          <w:szCs w:val="32"/>
          <w:lang w:val="en-US" w:eastAsia="zh-CN" w:bidi="ar-SA"/>
        </w:rPr>
        <w:t>（三）评价结果应用情况。</w:t>
      </w:r>
    </w:p>
    <w:p>
      <w:pPr>
        <w:pStyle w:val="15"/>
        <w:overflowPunct w:val="0"/>
        <w:autoSpaceDE/>
        <w:autoSpaceDN/>
        <w:spacing w:line="600" w:lineRule="exact"/>
        <w:ind w:firstLine="640" w:firstLineChars="200"/>
        <w:jc w:val="both"/>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1.</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预算安排方面</w:t>
      </w:r>
    </w:p>
    <w:p>
      <w:pPr>
        <w:pStyle w:val="15"/>
        <w:overflowPunct w:val="0"/>
        <w:autoSpaceDE/>
        <w:autoSpaceDN/>
        <w:spacing w:line="600" w:lineRule="exact"/>
        <w:ind w:firstLine="640" w:firstLineChars="200"/>
        <w:jc w:val="both"/>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本部门将评价结果作为2026年度预算编制的重要依据。对绩效评价结果为“优”且与贸促主责主业密切相关的项目（如组织企业参加境内外重点展会、国际经贸对接活动等）予以优先保障和适当倾斜；对评价结果一般、资金使用效益不明显的项目，按一定比例压减预算规模，切实体现“花钱必问效、无效必问责”的预算绩效管理要求，从源头上优化财政资源配置效率。</w:t>
      </w:r>
    </w:p>
    <w:p>
      <w:pPr>
        <w:pStyle w:val="15"/>
        <w:overflowPunct w:val="0"/>
        <w:autoSpaceDE/>
        <w:autoSpaceDN/>
        <w:spacing w:line="600" w:lineRule="exact"/>
        <w:ind w:firstLine="640" w:firstLineChars="200"/>
        <w:jc w:val="both"/>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2.</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支出结构调整方面</w:t>
      </w:r>
    </w:p>
    <w:p>
      <w:pPr>
        <w:pStyle w:val="15"/>
        <w:overflowPunct w:val="0"/>
        <w:autoSpaceDE/>
        <w:autoSpaceDN/>
        <w:spacing w:line="600" w:lineRule="exact"/>
        <w:ind w:firstLine="640" w:firstLineChars="200"/>
        <w:jc w:val="both"/>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根据财政评价和部门评价反馈意见，本部门进一步优化了支出结构。一是压减一般性支出。严格落实过紧日子要求，对</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“三公”经费</w:t>
      </w: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差旅费等行政运行成本进行从严控制，将节约资金统筹用于贸促业务发展核心支出。二是聚焦主责主业。将评价结果反映的“服务国际陆港能力不足”“专业化队伍建设薄弱”等短板作为支出调整方向，加大在涉外经贸培训、涉外商事法律服务、国际联络渠道拓展等方面的投入力度，推动支出结构从“撒胡椒面”向“精准发力”转变。</w:t>
      </w:r>
    </w:p>
    <w:p>
      <w:pPr>
        <w:pStyle w:val="15"/>
        <w:overflowPunct w:val="0"/>
        <w:autoSpaceDE/>
        <w:autoSpaceDN/>
        <w:spacing w:line="600" w:lineRule="exact"/>
        <w:ind w:firstLine="640" w:firstLineChars="200"/>
        <w:jc w:val="both"/>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3.</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资金管理方面</w:t>
      </w:r>
    </w:p>
    <w:p>
      <w:pPr>
        <w:pStyle w:val="15"/>
        <w:overflowPunct w:val="0"/>
        <w:autoSpaceDE/>
        <w:autoSpaceDN/>
        <w:spacing w:line="600" w:lineRule="exact"/>
        <w:ind w:firstLine="640" w:firstLineChars="200"/>
        <w:jc w:val="both"/>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强化动态监控。将资金使用进度和合规性纳入日常监控范围，对偏离绩效目标或支出异常的科目及时预警和纠偏，确保资金安全规范运行。</w:t>
      </w:r>
    </w:p>
    <w:p>
      <w:pPr>
        <w:pStyle w:val="15"/>
        <w:overflowPunct w:val="0"/>
        <w:autoSpaceDE/>
        <w:autoSpaceDN/>
        <w:spacing w:line="600" w:lineRule="exact"/>
        <w:ind w:firstLine="640" w:firstLineChars="200"/>
        <w:jc w:val="both"/>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pPr>
      <w:r>
        <w:rPr>
          <w:rFonts w:hint="eastAsia" w:ascii="仿宋_GB2312" w:hAnsi="仿宋_GB2312" w:eastAsia="仿宋_GB2312" w:cs="仿宋_GB2312"/>
          <w:b/>
          <w:bCs/>
          <w:i w:val="0"/>
          <w:caps w:val="0"/>
          <w:color w:val="000000"/>
          <w:spacing w:val="0"/>
          <w:kern w:val="0"/>
          <w:sz w:val="32"/>
          <w:szCs w:val="32"/>
          <w:shd w:val="clear" w:color="auto" w:fill="FFFFFF"/>
          <w:lang w:val="en-US" w:eastAsia="zh-CN" w:bidi="ar"/>
        </w:rPr>
        <w:t>4.</w:t>
      </w:r>
      <w:r>
        <w:rPr>
          <w:rFonts w:hint="default" w:ascii="仿宋_GB2312" w:hAnsi="仿宋_GB2312" w:eastAsia="仿宋_GB2312" w:cs="仿宋_GB2312"/>
          <w:b/>
          <w:bCs/>
          <w:i w:val="0"/>
          <w:caps w:val="0"/>
          <w:color w:val="000000"/>
          <w:spacing w:val="0"/>
          <w:kern w:val="0"/>
          <w:sz w:val="32"/>
          <w:szCs w:val="32"/>
          <w:shd w:val="clear" w:color="auto" w:fill="FFFFFF"/>
          <w:lang w:val="en-US" w:eastAsia="zh-CN" w:bidi="ar"/>
        </w:rPr>
        <w:t>制度建设方面</w:t>
      </w:r>
    </w:p>
    <w:p>
      <w:pPr>
        <w:pStyle w:val="15"/>
        <w:overflowPunct w:val="0"/>
        <w:autoSpaceDE/>
        <w:autoSpaceDN/>
        <w:spacing w:line="600" w:lineRule="exact"/>
        <w:ind w:firstLine="640" w:firstLineChars="200"/>
        <w:jc w:val="both"/>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以评价结果运用为契机，本部门着力构建长效管理机制，推动从“治已病”向“防未病”转变。巡察整改以来，结合绩效评价和财政评价反馈的问题，对单位内部各项管理制度进行了系统梳理和完善，形成“评价—反馈—整改—提升”的闭环管理机制，切实将评价结果转化为治理效能。</w:t>
      </w:r>
    </w:p>
    <w:p>
      <w:pPr>
        <w:pStyle w:val="15"/>
        <w:overflowPunct w:val="0"/>
        <w:autoSpaceDE/>
        <w:autoSpaceDN/>
        <w:spacing w:line="600" w:lineRule="exact"/>
        <w:ind w:firstLine="640" w:firstLineChars="200"/>
        <w:jc w:val="both"/>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怀化市贸促会将以评价结果运用为抓手，持续提升预算绩效管理水平，更好发挥连接政企、衔接内外的职能作用，服务全市高水平开放高质量发展大局。</w:t>
      </w:r>
    </w:p>
    <w:p>
      <w:pPr>
        <w:pStyle w:val="15"/>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财政拨款收入：指财政当年拨付的资金。包括一般公共预算财政拨款和政府性基金财政拨款。</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上级补助收入：指事业单位从主管部门和上级单位取得的非财政补助收入。</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事业收入：指事业单位开展专业业务活动及辅助活动所取得的收入。</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经营收入：指事业单位在专业业务活动及其辅助活动之外开展非独立核算经营活动取得的收入。</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附属单位上缴收入：指事业单位附属独立核算单位按照有关规定上缴的收入。</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其他收入：指除上述“财政拨款收入”、“事业收入”、“经营收入”等以外的收入。</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年初结转和结余：指以前年度尚未完成、结转到本年按有关规定继续使用的资金。</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结余分配：指事业单位按规定从非财政补助结余中分配的事业基金和职工福利基金等。</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年末结转和结余：指本年度或以前年度预算安排、因客观条件发生变化无法按原计划实施，需要延迟到以后年度按有关规定继续使用的资金。</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基本支出：指为保障机构正常运转、完成日常工作任务而发生的人员支出和公用支出。</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项目支出：指在基本支出之外为完成特定行政任务和事业发展目标所发生的支出。</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经营支出：指事业单位在专业业务活动及其辅助活动之外开展非独立核算经营活动所发生的支出。</w:t>
      </w:r>
    </w:p>
    <w:p>
      <w:pPr>
        <w:pStyle w:val="9"/>
        <w:widowControl/>
        <w:shd w:val="clear" w:color="auto" w:fill="FFFFFF"/>
        <w:spacing w:before="12" w:beforeAutospacing="0" w:after="12" w:afterAutospacing="0" w:line="600" w:lineRule="exact"/>
        <w:ind w:firstLine="42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p>
    <w:p>
      <w:pPr>
        <w:pStyle w:val="9"/>
        <w:widowControl/>
        <w:shd w:val="clear" w:color="auto" w:fill="FFFFFF"/>
        <w:spacing w:before="12" w:beforeAutospacing="0" w:after="12" w:afterAutospacing="0" w:line="600" w:lineRule="exact"/>
        <w:ind w:firstLine="640" w:firstLineChars="200"/>
        <w:rPr>
          <w:rFonts w:hint="eastAsia" w:ascii="仿宋" w:hAnsi="仿宋" w:eastAsia="仿宋" w:cs="仿宋"/>
          <w:color w:val="333333"/>
          <w:sz w:val="32"/>
          <w:szCs w:val="32"/>
        </w:rPr>
      </w:pPr>
      <w:r>
        <w:rPr>
          <w:rFonts w:hint="eastAsia" w:ascii="仿宋" w:hAnsi="仿宋" w:eastAsia="仿宋" w:cs="仿宋"/>
          <w:color w:val="333333"/>
          <w:sz w:val="32"/>
          <w:szCs w:val="32"/>
          <w:shd w:val="clear" w:color="auto" w:fill="FFFFFF"/>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5"/>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部门决算表</w:t>
      </w: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15"/>
        <w:spacing w:line="600" w:lineRule="exact"/>
        <w:ind w:firstLine="640" w:firstLineChars="200"/>
        <w:rPr>
          <w:rFonts w:ascii="Times New Roman" w:hAnsi="Times New Roman" w:eastAsia="仿宋_GB2312" w:cs="Times New Roman"/>
          <w:sz w:val="32"/>
          <w:szCs w:val="32"/>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jc w:val="both"/>
        <w:textAlignment w:val="auto"/>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t>2025年度怀化市贸促会整体支出</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t>绩效自评报告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一、市贸促会概况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（一）市贸促会基本情况</w:t>
      </w:r>
    </w:p>
    <w:p>
      <w:pPr>
        <w:widowControl/>
        <w:numPr>
          <w:ilvl w:val="0"/>
          <w:numId w:val="0"/>
        </w:numPr>
        <w:shd w:val="clear" w:color="auto" w:fill="FFFFFF"/>
        <w:spacing w:line="600" w:lineRule="atLeast"/>
        <w:ind w:firstLine="632" w:firstLineChars="200"/>
        <w:rPr>
          <w:rFonts w:hint="eastAsia" w:ascii="仿宋_GB2312" w:hAnsi="仿宋_GB2312" w:eastAsia="仿宋_GB2312" w:cs="仿宋_GB2312"/>
          <w:b w:val="0"/>
          <w:bCs w:val="0"/>
          <w:spacing w:val="-2"/>
          <w:sz w:val="32"/>
          <w:szCs w:val="32"/>
        </w:rPr>
      </w:pPr>
      <w:r>
        <w:rPr>
          <w:rFonts w:hint="eastAsia" w:ascii="仿宋_GB2312" w:hAnsi="仿宋_GB2312" w:eastAsia="仿宋_GB2312" w:cs="仿宋_GB2312"/>
          <w:b/>
          <w:bCs/>
          <w:spacing w:val="-2"/>
          <w:sz w:val="32"/>
          <w:szCs w:val="32"/>
          <w:lang w:val="en-US" w:eastAsia="zh-CN"/>
        </w:rPr>
        <w:t>1.</w:t>
      </w:r>
      <w:r>
        <w:rPr>
          <w:rFonts w:hint="eastAsia" w:ascii="仿宋_GB2312" w:hAnsi="仿宋_GB2312" w:eastAsia="仿宋_GB2312" w:cs="仿宋_GB2312"/>
          <w:b/>
          <w:bCs/>
          <w:spacing w:val="-2"/>
          <w:sz w:val="32"/>
          <w:szCs w:val="32"/>
        </w:rPr>
        <w:t>机构设置情况</w:t>
      </w:r>
    </w:p>
    <w:p>
      <w:pPr>
        <w:widowControl/>
        <w:spacing w:line="560" w:lineRule="exact"/>
        <w:ind w:firstLine="627" w:firstLineChars="196"/>
        <w:jc w:val="left"/>
        <w:rPr>
          <w:rFonts w:hint="eastAsia" w:eastAsia="仿宋_GB2312"/>
          <w:sz w:val="32"/>
          <w:szCs w:val="32"/>
          <w:lang w:eastAsia="zh-CN"/>
        </w:rPr>
      </w:pPr>
      <w:r>
        <w:rPr>
          <w:rFonts w:hint="eastAsia" w:eastAsia="仿宋_GB2312"/>
          <w:sz w:val="32"/>
          <w:szCs w:val="32"/>
          <w:lang w:eastAsia="zh-CN"/>
        </w:rPr>
        <w:t>市贸促会作为一级部门预算单位，内设科室为：办公室。</w:t>
      </w:r>
    </w:p>
    <w:p>
      <w:pPr>
        <w:keepNext w:val="0"/>
        <w:keepLines w:val="0"/>
        <w:pageBreakBefore w:val="0"/>
        <w:tabs>
          <w:tab w:val="left" w:pos="3160"/>
        </w:tabs>
        <w:kinsoku/>
        <w:wordWrap/>
        <w:overflowPunct/>
        <w:topLinePunct w:val="0"/>
        <w:autoSpaceDE/>
        <w:autoSpaceDN/>
        <w:bidi w:val="0"/>
        <w:adjustRightInd/>
        <w:spacing w:line="580" w:lineRule="exact"/>
        <w:ind w:firstLine="632" w:firstLineChars="200"/>
        <w:textAlignment w:val="auto"/>
        <w:rPr>
          <w:rFonts w:hint="eastAsia" w:ascii="仿宋_GB2312" w:hAnsi="仿宋_GB2312" w:eastAsia="仿宋_GB2312" w:cs="仿宋_GB2312"/>
          <w:b/>
          <w:bCs/>
          <w:spacing w:val="-2"/>
          <w:sz w:val="32"/>
          <w:szCs w:val="32"/>
          <w:lang w:eastAsia="zh-CN"/>
        </w:rPr>
      </w:pPr>
      <w:r>
        <w:rPr>
          <w:rFonts w:hint="eastAsia" w:ascii="仿宋_GB2312" w:hAnsi="仿宋_GB2312" w:eastAsia="仿宋_GB2312" w:cs="仿宋_GB2312"/>
          <w:b/>
          <w:bCs/>
          <w:spacing w:val="-2"/>
          <w:sz w:val="32"/>
          <w:szCs w:val="32"/>
          <w:lang w:val="en-US" w:eastAsia="zh-CN"/>
        </w:rPr>
        <w:t>2.</w:t>
      </w:r>
      <w:r>
        <w:rPr>
          <w:rFonts w:hint="eastAsia" w:ascii="仿宋_GB2312" w:hAnsi="仿宋_GB2312" w:eastAsia="仿宋_GB2312" w:cs="仿宋_GB2312"/>
          <w:b/>
          <w:bCs/>
          <w:spacing w:val="-2"/>
          <w:sz w:val="32"/>
          <w:szCs w:val="32"/>
          <w:lang w:eastAsia="zh-CN"/>
        </w:rPr>
        <w:t>人员编制情况</w:t>
      </w:r>
    </w:p>
    <w:p>
      <w:pPr>
        <w:keepNext w:val="0"/>
        <w:keepLines w:val="0"/>
        <w:pageBreakBefore w:val="0"/>
        <w:tabs>
          <w:tab w:val="left" w:pos="3160"/>
        </w:tabs>
        <w:kinsoku/>
        <w:wordWrap/>
        <w:overflowPunct/>
        <w:topLinePunct w:val="0"/>
        <w:autoSpaceDE/>
        <w:autoSpaceDN/>
        <w:bidi w:val="0"/>
        <w:adjustRightInd/>
        <w:spacing w:line="580" w:lineRule="exact"/>
        <w:ind w:firstLine="632" w:firstLineChars="200"/>
        <w:textAlignment w:val="auto"/>
        <w:rPr>
          <w:rFonts w:hint="default"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lang w:eastAsia="zh-CN"/>
        </w:rPr>
        <w:t>市贸促会</w:t>
      </w:r>
      <w:r>
        <w:rPr>
          <w:rFonts w:hint="eastAsia" w:ascii="仿宋_GB2312" w:hAnsi="仿宋_GB2312" w:eastAsia="仿宋_GB2312" w:cs="仿宋_GB2312"/>
          <w:spacing w:val="-2"/>
          <w:sz w:val="32"/>
          <w:szCs w:val="32"/>
          <w:lang w:val="en-US" w:eastAsia="zh-CN"/>
        </w:rPr>
        <w:t>2025年实有编制</w:t>
      </w:r>
      <w:r>
        <w:rPr>
          <w:rFonts w:hint="default" w:ascii="仿宋_GB2312" w:hAnsi="仿宋_GB2312" w:eastAsia="仿宋_GB2312" w:cs="仿宋_GB2312"/>
          <w:spacing w:val="-2"/>
          <w:sz w:val="32"/>
          <w:szCs w:val="32"/>
          <w:lang w:eastAsia="zh-CN"/>
        </w:rPr>
        <w:t>9</w:t>
      </w:r>
      <w:r>
        <w:rPr>
          <w:rFonts w:hint="eastAsia" w:ascii="仿宋_GB2312" w:hAnsi="仿宋_GB2312" w:eastAsia="仿宋_GB2312" w:cs="仿宋_GB2312"/>
          <w:spacing w:val="-2"/>
          <w:sz w:val="32"/>
          <w:szCs w:val="32"/>
          <w:lang w:val="en-US" w:eastAsia="zh-CN"/>
        </w:rPr>
        <w:t>个，实际在职人数</w:t>
      </w:r>
      <w:r>
        <w:rPr>
          <w:rFonts w:hint="default" w:ascii="仿宋_GB2312" w:hAnsi="仿宋_GB2312" w:eastAsia="仿宋_GB2312" w:cs="仿宋_GB2312"/>
          <w:spacing w:val="-2"/>
          <w:sz w:val="32"/>
          <w:szCs w:val="32"/>
          <w:lang w:eastAsia="zh-CN"/>
        </w:rPr>
        <w:t>9</w:t>
      </w:r>
      <w:r>
        <w:rPr>
          <w:rFonts w:hint="eastAsia" w:ascii="仿宋_GB2312" w:hAnsi="仿宋_GB2312" w:eastAsia="仿宋_GB2312" w:cs="仿宋_GB2312"/>
          <w:spacing w:val="-2"/>
          <w:sz w:val="32"/>
          <w:szCs w:val="32"/>
          <w:lang w:val="en-US" w:eastAsia="zh-CN"/>
        </w:rPr>
        <w:t>人</w:t>
      </w:r>
      <w:r>
        <w:rPr>
          <w:rFonts w:hint="default" w:ascii="仿宋_GB2312" w:hAnsi="仿宋_GB2312" w:eastAsia="仿宋_GB2312" w:cs="仿宋_GB2312"/>
          <w:spacing w:val="-2"/>
          <w:sz w:val="32"/>
          <w:szCs w:val="32"/>
          <w:lang w:eastAsia="zh-CN"/>
        </w:rPr>
        <w:t>。</w:t>
      </w:r>
    </w:p>
    <w:p>
      <w:pPr>
        <w:keepNext w:val="0"/>
        <w:keepLines w:val="0"/>
        <w:pageBreakBefore w:val="0"/>
        <w:numPr>
          <w:ilvl w:val="0"/>
          <w:numId w:val="0"/>
        </w:numPr>
        <w:tabs>
          <w:tab w:val="left" w:pos="3160"/>
        </w:tabs>
        <w:kinsoku/>
        <w:wordWrap/>
        <w:overflowPunct/>
        <w:topLinePunct w:val="0"/>
        <w:autoSpaceDE/>
        <w:autoSpaceDN/>
        <w:bidi w:val="0"/>
        <w:adjustRightInd/>
        <w:spacing w:line="580" w:lineRule="exact"/>
        <w:ind w:firstLine="632" w:firstLineChars="200"/>
        <w:textAlignment w:val="auto"/>
        <w:rPr>
          <w:rFonts w:hint="eastAsia" w:ascii="仿宋_GB2312" w:hAnsi="仿宋_GB2312" w:eastAsia="仿宋_GB2312" w:cs="仿宋_GB2312"/>
          <w:b/>
          <w:bCs/>
          <w:spacing w:val="-2"/>
          <w:sz w:val="32"/>
          <w:szCs w:val="32"/>
          <w:lang w:eastAsia="zh-CN"/>
        </w:rPr>
      </w:pPr>
      <w:r>
        <w:rPr>
          <w:rFonts w:hint="eastAsia" w:ascii="仿宋_GB2312" w:hAnsi="仿宋_GB2312" w:eastAsia="仿宋_GB2312" w:cs="仿宋_GB2312"/>
          <w:b/>
          <w:bCs/>
          <w:spacing w:val="-2"/>
          <w:sz w:val="32"/>
          <w:szCs w:val="32"/>
          <w:lang w:val="en-US" w:eastAsia="zh-CN"/>
        </w:rPr>
        <w:t>3.主要职能</w:t>
      </w:r>
      <w:r>
        <w:rPr>
          <w:rFonts w:hint="eastAsia" w:ascii="仿宋_GB2312" w:hAnsi="仿宋_GB2312" w:eastAsia="仿宋_GB2312" w:cs="仿宋_GB2312"/>
          <w:b/>
          <w:bCs/>
          <w:spacing w:val="-2"/>
          <w:sz w:val="32"/>
          <w:szCs w:val="32"/>
          <w:lang w:eastAsia="zh-CN"/>
        </w:rPr>
        <w:t>职责</w:t>
      </w:r>
    </w:p>
    <w:p>
      <w:pPr>
        <w:keepNext w:val="0"/>
        <w:keepLines w:val="0"/>
        <w:pageBreakBefore w:val="0"/>
        <w:numPr>
          <w:ilvl w:val="0"/>
          <w:numId w:val="0"/>
        </w:numPr>
        <w:tabs>
          <w:tab w:val="left" w:pos="3160"/>
        </w:tabs>
        <w:kinsoku/>
        <w:wordWrap/>
        <w:overflowPunct/>
        <w:topLinePunct w:val="0"/>
        <w:autoSpaceDE/>
        <w:autoSpaceDN/>
        <w:bidi w:val="0"/>
        <w:adjustRightInd/>
        <w:spacing w:line="580" w:lineRule="exact"/>
        <w:ind w:firstLine="632" w:firstLineChars="200"/>
        <w:textAlignment w:val="auto"/>
        <w:rPr>
          <w:rFonts w:hint="default" w:ascii="仿宋_GB2312" w:hAnsi="仿宋_GB2312" w:eastAsia="仿宋_GB2312" w:cs="仿宋_GB2312"/>
          <w:spacing w:val="-2"/>
          <w:sz w:val="32"/>
          <w:szCs w:val="32"/>
          <w:lang w:eastAsia="zh-CN"/>
        </w:rPr>
      </w:pPr>
      <w:r>
        <w:rPr>
          <w:rFonts w:hint="eastAsia" w:ascii="仿宋_GB2312" w:hAnsi="仿宋_GB2312" w:eastAsia="仿宋_GB2312" w:cs="仿宋_GB2312"/>
          <w:spacing w:val="-2"/>
          <w:sz w:val="32"/>
          <w:szCs w:val="32"/>
          <w:lang w:val="en-US" w:eastAsia="zh-CN"/>
        </w:rPr>
        <w:t>一是开展全市对外贸易、经济合作和文化、技术、金融等交流的促进工作；二是开展全市国际招商引资的促进工作；三是开展同世界各国、各地区经济贸易界、商协会和其他经贸团体以及有关国际组织的联络工作；四是开展涉外法律服务工作；五是组织企业参加境内外展览等。</w:t>
      </w:r>
    </w:p>
    <w:p>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市贸促会整体支出规模、使用方向和主要内容、涉及范围等</w:t>
      </w:r>
    </w:p>
    <w:p>
      <w:pPr>
        <w:pStyle w:val="2"/>
        <w:numPr>
          <w:ilvl w:val="0"/>
          <w:numId w:val="0"/>
        </w:numPr>
        <w:rPr>
          <w:rFonts w:hint="eastAsia" w:ascii="仿宋_GB2312" w:hAnsi="仿宋_GB2312" w:eastAsia="仿宋_GB2312" w:cs="仿宋_GB2312"/>
          <w:sz w:val="32"/>
          <w:szCs w:val="32"/>
          <w:lang w:val="en-US" w:eastAsia="zh-CN"/>
        </w:rPr>
      </w:pPr>
      <w:r>
        <w:rPr>
          <w:rFonts w:hint="eastAsia"/>
          <w:lang w:val="en-US" w:eastAsia="zh-CN"/>
        </w:rPr>
        <w:t xml:space="preserve">    </w:t>
      </w:r>
      <w:r>
        <w:rPr>
          <w:rFonts w:hint="eastAsia" w:ascii="仿宋_GB2312" w:hAnsi="仿宋_GB2312" w:eastAsia="仿宋_GB2312" w:cs="仿宋_GB2312"/>
          <w:sz w:val="32"/>
          <w:szCs w:val="32"/>
          <w:lang w:val="en-US" w:eastAsia="zh-CN"/>
        </w:rPr>
        <w:t>2025年市贸促会整体支出为290.2万元</w:t>
      </w:r>
      <w:r>
        <w:rPr>
          <w:rFonts w:hint="eastAsia" w:ascii="仿宋_GB2312" w:hAnsi="仿宋_GB2312" w:eastAsia="仿宋_GB2312" w:cs="仿宋_GB2312"/>
          <w:sz w:val="32"/>
          <w:szCs w:val="32"/>
          <w:lang w:eastAsia="zh-CN"/>
        </w:rPr>
        <w:t>，其中，一般公共服务支出</w:t>
      </w:r>
      <w:r>
        <w:rPr>
          <w:rFonts w:hint="eastAsia" w:ascii="仿宋_GB2312" w:hAnsi="仿宋_GB2312" w:eastAsia="仿宋_GB2312" w:cs="仿宋_GB2312"/>
          <w:sz w:val="32"/>
          <w:szCs w:val="32"/>
          <w:lang w:val="en-US" w:eastAsia="zh-CN"/>
        </w:rPr>
        <w:t>236.84</w:t>
      </w:r>
      <w:r>
        <w:rPr>
          <w:rFonts w:hint="eastAsia" w:ascii="仿宋_GB2312" w:hAnsi="仿宋_GB2312" w:eastAsia="仿宋_GB2312" w:cs="仿宋_GB2312"/>
          <w:sz w:val="32"/>
          <w:szCs w:val="32"/>
          <w:lang w:eastAsia="zh-CN"/>
        </w:rPr>
        <w:t>万元、社会保障和就业支出</w:t>
      </w:r>
      <w:r>
        <w:rPr>
          <w:rFonts w:hint="eastAsia" w:ascii="仿宋_GB2312" w:hAnsi="仿宋_GB2312" w:eastAsia="仿宋_GB2312" w:cs="仿宋_GB2312"/>
          <w:sz w:val="32"/>
          <w:szCs w:val="32"/>
          <w:lang w:val="en-US" w:eastAsia="zh-CN"/>
        </w:rPr>
        <w:t>17.3万元、卫生健康支出6.99万元、商业服务业等支出26.9万元、住房保障支出2.17万元。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二、一般公共预算支出情况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（一）基本支出</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32" w:firstLineChars="200"/>
        <w:jc w:val="both"/>
        <w:rPr>
          <w:rFonts w:hint="eastAsia" w:ascii="仿宋_GB2312" w:hAnsi="仿宋_GB2312" w:eastAsia="仿宋_GB2312" w:cs="仿宋_GB2312"/>
          <w:spacing w:val="-2"/>
          <w:kern w:val="2"/>
          <w:sz w:val="32"/>
          <w:szCs w:val="32"/>
          <w:lang w:val="en-US" w:eastAsia="zh-CN" w:bidi="ar-SA"/>
        </w:rPr>
      </w:pPr>
      <w:r>
        <w:rPr>
          <w:rFonts w:hint="eastAsia" w:ascii="仿宋_GB2312" w:hAnsi="仿宋_GB2312" w:eastAsia="仿宋_GB2312" w:cs="仿宋_GB2312"/>
          <w:spacing w:val="-2"/>
          <w:kern w:val="2"/>
          <w:sz w:val="32"/>
          <w:szCs w:val="32"/>
          <w:lang w:val="en-US" w:eastAsia="zh-CN" w:bidi="ar-SA"/>
        </w:rPr>
        <w:t>基本支出系保障我会正常运转、完成日常工作任务而发生的各项支出，包括用于在职人员基本工资、津补贴等人员经费以及办公费、印刷费、水电费、办公设备购置等日常公用经费。基本支出按照财政相关要求进行管理。</w:t>
      </w:r>
    </w:p>
    <w:p>
      <w:pPr>
        <w:widowControl/>
        <w:numPr>
          <w:ilvl w:val="0"/>
          <w:numId w:val="0"/>
        </w:numPr>
        <w:shd w:val="clear" w:color="auto" w:fill="FFFFFF"/>
        <w:spacing w:line="600" w:lineRule="atLeast"/>
        <w:ind w:firstLine="632" w:firstLineChars="200"/>
        <w:rPr>
          <w:rFonts w:hint="default"/>
          <w:lang w:val="en-US" w:eastAsia="zh-CN"/>
        </w:rPr>
      </w:pPr>
      <w:r>
        <w:rPr>
          <w:rFonts w:hint="default" w:ascii="仿宋_GB2312" w:hAnsi="仿宋_GB2312" w:eastAsia="仿宋_GB2312" w:cs="仿宋_GB2312"/>
          <w:spacing w:val="-2"/>
          <w:sz w:val="32"/>
          <w:szCs w:val="32"/>
          <w:lang w:eastAsia="zh-CN"/>
        </w:rPr>
        <w:t>202</w:t>
      </w:r>
      <w:r>
        <w:rPr>
          <w:rFonts w:hint="eastAsia" w:ascii="仿宋_GB2312" w:hAnsi="仿宋_GB2312" w:eastAsia="仿宋_GB2312" w:cs="仿宋_GB2312"/>
          <w:spacing w:val="-2"/>
          <w:sz w:val="32"/>
          <w:szCs w:val="32"/>
          <w:lang w:val="en-US" w:eastAsia="zh-CN"/>
        </w:rPr>
        <w:t>5</w:t>
      </w:r>
      <w:r>
        <w:rPr>
          <w:rFonts w:hint="default" w:ascii="仿宋_GB2312" w:hAnsi="仿宋_GB2312" w:eastAsia="仿宋_GB2312" w:cs="仿宋_GB2312"/>
          <w:spacing w:val="-2"/>
          <w:sz w:val="32"/>
          <w:szCs w:val="32"/>
          <w:lang w:eastAsia="zh-CN"/>
        </w:rPr>
        <w:t>年</w:t>
      </w:r>
      <w:r>
        <w:rPr>
          <w:rFonts w:hint="eastAsia" w:ascii="仿宋_GB2312" w:hAnsi="仿宋_GB2312" w:eastAsia="仿宋_GB2312" w:cs="仿宋_GB2312"/>
          <w:spacing w:val="-2"/>
          <w:sz w:val="32"/>
          <w:szCs w:val="32"/>
          <w:lang w:eastAsia="zh-CN"/>
        </w:rPr>
        <w:t>基本支出主要用于：</w:t>
      </w:r>
      <w:r>
        <w:rPr>
          <w:rFonts w:hint="eastAsia" w:ascii="仿宋_GB2312" w:hAnsi="仿宋_GB2312" w:eastAsia="仿宋_GB2312" w:cs="仿宋_GB2312"/>
          <w:spacing w:val="-2"/>
          <w:sz w:val="32"/>
          <w:szCs w:val="32"/>
          <w:lang w:val="en-US" w:eastAsia="zh-CN"/>
        </w:rPr>
        <w:t>人员经费18.96万元；二是公用经费19.31万元</w:t>
      </w:r>
      <w:r>
        <w:rPr>
          <w:rFonts w:hint="eastAsia"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lang w:val="en-US" w:eastAsia="zh-CN"/>
        </w:rPr>
        <w:t>均按财政部门要求进行使用和管理。其中</w:t>
      </w:r>
      <w:r>
        <w:rPr>
          <w:rFonts w:hint="default" w:ascii="仿宋_GB2312" w:hAnsi="仿宋_GB2312" w:eastAsia="仿宋_GB2312" w:cs="仿宋_GB2312"/>
          <w:spacing w:val="-2"/>
          <w:sz w:val="32"/>
          <w:szCs w:val="32"/>
          <w:lang w:eastAsia="zh-CN"/>
        </w:rPr>
        <w:t>我会“</w:t>
      </w:r>
      <w:r>
        <w:rPr>
          <w:rFonts w:hint="eastAsia" w:ascii="仿宋_GB2312" w:hAnsi="仿宋_GB2312" w:eastAsia="仿宋_GB2312" w:cs="仿宋_GB2312"/>
          <w:spacing w:val="-2"/>
          <w:sz w:val="32"/>
          <w:szCs w:val="32"/>
          <w:lang w:val="en-US" w:eastAsia="zh-CN"/>
        </w:rPr>
        <w:t>三公</w:t>
      </w:r>
      <w:r>
        <w:rPr>
          <w:rFonts w:hint="default"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经费的使用和管理严格规范，接待费支出完全按照省市关于公务接待的有关文件执行，</w:t>
      </w:r>
      <w:r>
        <w:rPr>
          <w:rFonts w:hint="default" w:ascii="仿宋_GB2312" w:hAnsi="仿宋_GB2312" w:eastAsia="仿宋_GB2312" w:cs="仿宋_GB2312"/>
          <w:spacing w:val="-2"/>
          <w:sz w:val="32"/>
          <w:szCs w:val="32"/>
          <w:lang w:eastAsia="zh-CN"/>
        </w:rPr>
        <w:t>除因公出国（境）经费按照一事一议的要求，年初预算为零，其余公务用车购置及运行维护费和公务接待费</w:t>
      </w:r>
      <w:r>
        <w:rPr>
          <w:rFonts w:hint="eastAsia" w:ascii="仿宋_GB2312" w:hAnsi="仿宋_GB2312" w:eastAsia="仿宋_GB2312" w:cs="仿宋_GB2312"/>
          <w:spacing w:val="-2"/>
          <w:sz w:val="32"/>
          <w:szCs w:val="32"/>
          <w:lang w:val="en-US" w:eastAsia="zh-CN"/>
        </w:rPr>
        <w:t>均低于2025年预算数。2025年</w:t>
      </w:r>
      <w:r>
        <w:rPr>
          <w:rFonts w:hint="default"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三公</w:t>
      </w:r>
      <w:r>
        <w:rPr>
          <w:rFonts w:hint="default" w:ascii="仿宋_GB2312" w:hAnsi="仿宋_GB2312" w:eastAsia="仿宋_GB2312" w:cs="仿宋_GB2312"/>
          <w:spacing w:val="-2"/>
          <w:sz w:val="32"/>
          <w:szCs w:val="32"/>
          <w:lang w:eastAsia="zh-CN"/>
        </w:rPr>
        <w:t>”年初预算数为2.</w:t>
      </w:r>
      <w:r>
        <w:rPr>
          <w:rFonts w:hint="eastAsia" w:ascii="仿宋_GB2312" w:hAnsi="仿宋_GB2312" w:eastAsia="仿宋_GB2312" w:cs="仿宋_GB2312"/>
          <w:spacing w:val="-2"/>
          <w:sz w:val="32"/>
          <w:szCs w:val="32"/>
          <w:lang w:val="en-US" w:eastAsia="zh-CN"/>
        </w:rPr>
        <w:t>9</w:t>
      </w:r>
      <w:r>
        <w:rPr>
          <w:rFonts w:hint="default" w:ascii="仿宋_GB2312" w:hAnsi="仿宋_GB2312" w:eastAsia="仿宋_GB2312" w:cs="仿宋_GB2312"/>
          <w:spacing w:val="-2"/>
          <w:sz w:val="32"/>
          <w:szCs w:val="32"/>
          <w:lang w:eastAsia="zh-CN"/>
        </w:rPr>
        <w:t>万元，其中：</w:t>
      </w:r>
      <w:r>
        <w:rPr>
          <w:rFonts w:hint="eastAsia" w:ascii="仿宋_GB2312" w:hAnsi="仿宋_GB2312" w:eastAsia="仿宋_GB2312" w:cs="仿宋_GB2312"/>
          <w:spacing w:val="-2"/>
          <w:sz w:val="32"/>
          <w:szCs w:val="32"/>
          <w:lang w:val="en-US" w:eastAsia="zh-CN"/>
        </w:rPr>
        <w:t>因公出国（境）费</w:t>
      </w:r>
      <w:r>
        <w:rPr>
          <w:rFonts w:hint="default" w:ascii="仿宋_GB2312" w:hAnsi="仿宋_GB2312" w:eastAsia="仿宋_GB2312" w:cs="仿宋_GB2312"/>
          <w:spacing w:val="-2"/>
          <w:sz w:val="32"/>
          <w:szCs w:val="32"/>
          <w:lang w:eastAsia="zh-CN"/>
        </w:rPr>
        <w:t>0</w:t>
      </w:r>
      <w:r>
        <w:rPr>
          <w:rFonts w:hint="eastAsia" w:ascii="仿宋_GB2312" w:hAnsi="仿宋_GB2312" w:eastAsia="仿宋_GB2312" w:cs="仿宋_GB2312"/>
          <w:spacing w:val="-2"/>
          <w:sz w:val="32"/>
          <w:szCs w:val="32"/>
          <w:lang w:val="en-US" w:eastAsia="zh-CN"/>
        </w:rPr>
        <w:t>万元；公务用车运行维护费</w:t>
      </w:r>
      <w:r>
        <w:rPr>
          <w:rFonts w:hint="default" w:ascii="仿宋_GB2312" w:hAnsi="仿宋_GB2312" w:eastAsia="仿宋_GB2312" w:cs="仿宋_GB2312"/>
          <w:spacing w:val="-2"/>
          <w:sz w:val="32"/>
          <w:szCs w:val="32"/>
          <w:lang w:eastAsia="zh-CN"/>
        </w:rPr>
        <w:t>1</w:t>
      </w:r>
      <w:r>
        <w:rPr>
          <w:rFonts w:hint="eastAsia" w:ascii="仿宋_GB2312" w:hAnsi="仿宋_GB2312" w:eastAsia="仿宋_GB2312" w:cs="仿宋_GB2312"/>
          <w:spacing w:val="-2"/>
          <w:sz w:val="32"/>
          <w:szCs w:val="32"/>
          <w:lang w:val="en-US" w:eastAsia="zh-CN"/>
        </w:rPr>
        <w:t>.2万元；接待费</w:t>
      </w:r>
      <w:r>
        <w:rPr>
          <w:rFonts w:hint="default" w:ascii="仿宋_GB2312" w:hAnsi="仿宋_GB2312" w:eastAsia="仿宋_GB2312" w:cs="仿宋_GB2312"/>
          <w:spacing w:val="-2"/>
          <w:sz w:val="32"/>
          <w:szCs w:val="32"/>
          <w:lang w:eastAsia="zh-CN"/>
        </w:rPr>
        <w:t>1.</w:t>
      </w:r>
      <w:r>
        <w:rPr>
          <w:rFonts w:hint="eastAsia" w:ascii="仿宋_GB2312" w:hAnsi="仿宋_GB2312" w:eastAsia="仿宋_GB2312" w:cs="仿宋_GB2312"/>
          <w:spacing w:val="-2"/>
          <w:sz w:val="32"/>
          <w:szCs w:val="32"/>
          <w:lang w:val="en-US" w:eastAsia="zh-CN"/>
        </w:rPr>
        <w:t>7万元。</w:t>
      </w:r>
      <w:r>
        <w:rPr>
          <w:rFonts w:hint="default" w:ascii="仿宋_GB2312" w:hAnsi="仿宋_GB2312" w:eastAsia="仿宋_GB2312" w:cs="仿宋_GB2312"/>
          <w:spacing w:val="-2"/>
          <w:sz w:val="32"/>
          <w:szCs w:val="32"/>
          <w:lang w:eastAsia="zh-CN"/>
        </w:rPr>
        <w:t>202</w:t>
      </w:r>
      <w:r>
        <w:rPr>
          <w:rFonts w:hint="eastAsia" w:ascii="仿宋_GB2312" w:hAnsi="仿宋_GB2312" w:eastAsia="仿宋_GB2312" w:cs="仿宋_GB2312"/>
          <w:spacing w:val="-2"/>
          <w:sz w:val="32"/>
          <w:szCs w:val="32"/>
          <w:lang w:val="en-US" w:eastAsia="zh-CN"/>
        </w:rPr>
        <w:t>5</w:t>
      </w:r>
      <w:r>
        <w:rPr>
          <w:rFonts w:hint="default" w:ascii="仿宋_GB2312" w:hAnsi="仿宋_GB2312" w:eastAsia="仿宋_GB2312" w:cs="仿宋_GB2312"/>
          <w:spacing w:val="-2"/>
          <w:sz w:val="32"/>
          <w:szCs w:val="32"/>
          <w:lang w:eastAsia="zh-CN"/>
        </w:rPr>
        <w:t>年实际使用“</w:t>
      </w:r>
      <w:r>
        <w:rPr>
          <w:rFonts w:hint="eastAsia" w:ascii="仿宋_GB2312" w:hAnsi="仿宋_GB2312" w:eastAsia="仿宋_GB2312" w:cs="仿宋_GB2312"/>
          <w:spacing w:val="-2"/>
          <w:sz w:val="32"/>
          <w:szCs w:val="32"/>
          <w:lang w:val="en-US" w:eastAsia="zh-CN"/>
        </w:rPr>
        <w:t>三公</w:t>
      </w:r>
      <w:r>
        <w:rPr>
          <w:rFonts w:hint="default" w:ascii="仿宋_GB2312" w:hAnsi="仿宋_GB2312" w:eastAsia="仿宋_GB2312" w:cs="仿宋_GB2312"/>
          <w:spacing w:val="-2"/>
          <w:sz w:val="32"/>
          <w:szCs w:val="32"/>
          <w:lang w:eastAsia="zh-CN"/>
        </w:rPr>
        <w:t>”为</w:t>
      </w:r>
      <w:r>
        <w:rPr>
          <w:rFonts w:hint="eastAsia" w:ascii="仿宋_GB2312" w:hAnsi="仿宋_GB2312" w:eastAsia="仿宋_GB2312" w:cs="仿宋_GB2312"/>
          <w:spacing w:val="-2"/>
          <w:sz w:val="32"/>
          <w:szCs w:val="32"/>
          <w:lang w:val="en-US" w:eastAsia="zh-CN"/>
        </w:rPr>
        <w:t>13.01</w:t>
      </w:r>
      <w:r>
        <w:rPr>
          <w:rFonts w:hint="default" w:ascii="仿宋_GB2312" w:hAnsi="仿宋_GB2312" w:eastAsia="仿宋_GB2312" w:cs="仿宋_GB2312"/>
          <w:spacing w:val="-2"/>
          <w:sz w:val="32"/>
          <w:szCs w:val="32"/>
          <w:lang w:eastAsia="zh-CN"/>
        </w:rPr>
        <w:t>万元，其中：</w:t>
      </w:r>
      <w:r>
        <w:rPr>
          <w:rFonts w:hint="eastAsia" w:ascii="仿宋_GB2312" w:hAnsi="仿宋_GB2312" w:eastAsia="仿宋_GB2312" w:cs="仿宋_GB2312"/>
          <w:spacing w:val="-2"/>
          <w:sz w:val="32"/>
          <w:szCs w:val="32"/>
          <w:lang w:val="en-US" w:eastAsia="zh-CN"/>
        </w:rPr>
        <w:t>公务用车运行维护费1.2万元；接待费0.38万元。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（二）项目支出</w:t>
      </w:r>
    </w:p>
    <w:p>
      <w:pPr>
        <w:widowControl/>
        <w:numPr>
          <w:ilvl w:val="0"/>
          <w:numId w:val="0"/>
        </w:numPr>
        <w:shd w:val="clear" w:color="auto" w:fill="FFFFFF"/>
        <w:spacing w:line="600" w:lineRule="atLeast"/>
        <w:ind w:firstLine="632" w:firstLineChars="200"/>
        <w:rPr>
          <w:rFonts w:hint="default" w:ascii="仿宋_GB2312" w:hAnsi="仿宋_GB2312" w:eastAsia="仿宋_GB2312" w:cs="仿宋_GB2312"/>
          <w:spacing w:val="-2"/>
          <w:sz w:val="32"/>
          <w:szCs w:val="32"/>
          <w:lang w:val="en-US" w:eastAsia="zh-CN"/>
        </w:rPr>
      </w:pPr>
      <w:r>
        <w:rPr>
          <w:rFonts w:hint="default" w:ascii="仿宋_GB2312" w:hAnsi="仿宋_GB2312" w:eastAsia="仿宋_GB2312" w:cs="仿宋_GB2312"/>
          <w:spacing w:val="-2"/>
          <w:sz w:val="32"/>
          <w:szCs w:val="32"/>
          <w:lang w:val="en-US" w:eastAsia="zh-CN"/>
        </w:rPr>
        <w:t>1</w:t>
      </w:r>
      <w:r>
        <w:rPr>
          <w:rFonts w:hint="eastAsia" w:ascii="仿宋_GB2312" w:hAnsi="仿宋_GB2312" w:eastAsia="仿宋_GB2312" w:cs="仿宋_GB2312"/>
          <w:spacing w:val="-2"/>
          <w:sz w:val="32"/>
          <w:szCs w:val="32"/>
          <w:lang w:val="en-US" w:eastAsia="zh-CN"/>
        </w:rPr>
        <w:t>.</w:t>
      </w:r>
      <w:r>
        <w:rPr>
          <w:rFonts w:hint="default" w:ascii="仿宋_GB2312" w:hAnsi="仿宋_GB2312" w:eastAsia="仿宋_GB2312" w:cs="仿宋_GB2312"/>
          <w:spacing w:val="-2"/>
          <w:sz w:val="32"/>
          <w:szCs w:val="32"/>
          <w:lang w:val="en-US" w:eastAsia="zh-CN"/>
        </w:rPr>
        <w:t>项目资金（包括财政资金、自筹资金等）安排落实、总投入等情况分析。</w:t>
      </w:r>
    </w:p>
    <w:p>
      <w:pPr>
        <w:widowControl/>
        <w:numPr>
          <w:ilvl w:val="0"/>
          <w:numId w:val="0"/>
        </w:numPr>
        <w:shd w:val="clear" w:color="auto" w:fill="FFFFFF"/>
        <w:spacing w:line="600" w:lineRule="atLeast"/>
        <w:ind w:firstLine="632" w:firstLineChars="2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2025年度我会共有3</w:t>
      </w:r>
      <w:r>
        <w:rPr>
          <w:rFonts w:hint="default" w:ascii="仿宋_GB2312" w:hAnsi="仿宋_GB2312" w:eastAsia="仿宋_GB2312" w:cs="仿宋_GB2312"/>
          <w:spacing w:val="-2"/>
          <w:sz w:val="32"/>
          <w:szCs w:val="32"/>
          <w:lang w:val="en-US" w:eastAsia="zh-CN"/>
        </w:rPr>
        <w:t>个</w:t>
      </w:r>
      <w:r>
        <w:rPr>
          <w:rFonts w:hint="eastAsia" w:ascii="仿宋_GB2312" w:hAnsi="仿宋_GB2312" w:eastAsia="仿宋_GB2312" w:cs="仿宋_GB2312"/>
          <w:spacing w:val="-2"/>
          <w:sz w:val="32"/>
          <w:szCs w:val="32"/>
          <w:lang w:val="en-US" w:eastAsia="zh-CN"/>
        </w:rPr>
        <w:t>专项业务经费</w:t>
      </w:r>
      <w:r>
        <w:rPr>
          <w:rFonts w:hint="default" w:ascii="仿宋_GB2312" w:hAnsi="仿宋_GB2312" w:eastAsia="仿宋_GB2312" w:cs="仿宋_GB2312"/>
          <w:spacing w:val="-2"/>
          <w:sz w:val="32"/>
          <w:szCs w:val="32"/>
          <w:lang w:val="en-US" w:eastAsia="zh-CN"/>
        </w:rPr>
        <w:t>：</w:t>
      </w:r>
      <w:r>
        <w:rPr>
          <w:rFonts w:hint="eastAsia" w:ascii="仿宋_GB2312" w:hAnsi="仿宋_GB2312" w:eastAsia="仿宋_GB2312" w:cs="仿宋_GB2312"/>
          <w:sz w:val="32"/>
          <w:szCs w:val="32"/>
          <w:lang w:val="en-US" w:eastAsia="zh-CN"/>
        </w:rPr>
        <w:t>贸促事业发展专项资金48.68万元、</w:t>
      </w:r>
      <w:r>
        <w:rPr>
          <w:rFonts w:hint="eastAsia" w:ascii="仿宋_GB2312" w:hAnsi="仿宋_GB2312" w:eastAsia="仿宋_GB2312" w:cs="仿宋_GB2312"/>
          <w:sz w:val="32"/>
          <w:szCs w:val="32"/>
          <w:lang w:val="en" w:eastAsia="zh-CN"/>
        </w:rPr>
        <w:t>因公出访肯尼亚、埃及经费</w:t>
      </w:r>
      <w:r>
        <w:rPr>
          <w:rFonts w:hint="eastAsia" w:ascii="仿宋_GB2312" w:hAnsi="仿宋_GB2312" w:eastAsia="仿宋_GB2312" w:cs="仿宋_GB2312"/>
          <w:sz w:val="32"/>
          <w:szCs w:val="32"/>
          <w:lang w:val="en-US" w:eastAsia="zh-CN"/>
        </w:rPr>
        <w:t>5.65万元、香港国际美食茶叶展经费26.9万元</w:t>
      </w:r>
      <w:r>
        <w:rPr>
          <w:rFonts w:hint="eastAsia" w:ascii="仿宋_GB2312" w:hAnsi="仿宋_GB2312" w:eastAsia="仿宋_GB2312" w:cs="仿宋_GB2312"/>
          <w:spacing w:val="-2"/>
          <w:sz w:val="32"/>
          <w:szCs w:val="32"/>
          <w:lang w:val="en-US" w:eastAsia="zh-CN"/>
        </w:rPr>
        <w:t>，</w:t>
      </w:r>
      <w:r>
        <w:rPr>
          <w:rFonts w:hint="default" w:ascii="仿宋_GB2312" w:hAnsi="仿宋_GB2312" w:eastAsia="仿宋_GB2312" w:cs="仿宋_GB2312"/>
          <w:spacing w:val="-2"/>
          <w:sz w:val="32"/>
          <w:szCs w:val="32"/>
          <w:lang w:val="en-US" w:eastAsia="zh-CN"/>
        </w:rPr>
        <w:t>共计</w:t>
      </w:r>
      <w:r>
        <w:rPr>
          <w:rFonts w:hint="eastAsia" w:ascii="仿宋_GB2312" w:hAnsi="仿宋_GB2312" w:eastAsia="仿宋_GB2312" w:cs="仿宋_GB2312"/>
          <w:spacing w:val="-2"/>
          <w:sz w:val="32"/>
          <w:szCs w:val="32"/>
          <w:lang w:val="en-US" w:eastAsia="zh-CN"/>
        </w:rPr>
        <w:t>专项资金</w:t>
      </w:r>
      <w:r>
        <w:rPr>
          <w:rFonts w:hint="eastAsia" w:ascii="仿宋_GB2312" w:hAnsi="仿宋_GB2312" w:eastAsia="仿宋_GB2312" w:cs="仿宋_GB2312"/>
          <w:sz w:val="32"/>
          <w:szCs w:val="32"/>
          <w:lang w:val="en-US" w:eastAsia="zh-CN"/>
        </w:rPr>
        <w:t>81.23</w:t>
      </w:r>
      <w:r>
        <w:rPr>
          <w:rFonts w:hint="eastAsia" w:ascii="仿宋_GB2312" w:hAnsi="仿宋_GB2312" w:eastAsia="仿宋_GB2312" w:cs="仿宋_GB2312"/>
          <w:spacing w:val="-2"/>
          <w:sz w:val="32"/>
          <w:szCs w:val="32"/>
          <w:lang w:val="en-US" w:eastAsia="zh-CN"/>
        </w:rPr>
        <w:t>万元，</w:t>
      </w:r>
      <w:r>
        <w:rPr>
          <w:rFonts w:hint="default" w:ascii="仿宋_GB2312" w:hAnsi="仿宋_GB2312" w:eastAsia="仿宋_GB2312" w:cs="仿宋_GB2312"/>
          <w:spacing w:val="-2"/>
          <w:sz w:val="32"/>
          <w:szCs w:val="32"/>
          <w:lang w:val="en-US" w:eastAsia="zh-CN"/>
        </w:rPr>
        <w:t>均</w:t>
      </w:r>
      <w:r>
        <w:rPr>
          <w:rFonts w:hint="eastAsia" w:ascii="仿宋_GB2312" w:hAnsi="仿宋_GB2312" w:eastAsia="仿宋_GB2312" w:cs="仿宋_GB2312"/>
          <w:spacing w:val="-2"/>
          <w:sz w:val="32"/>
          <w:szCs w:val="32"/>
          <w:lang w:val="en-US" w:eastAsia="zh-CN"/>
        </w:rPr>
        <w:t xml:space="preserve">为市本级财政专项资金项目。    </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pPr>
        <w:pStyle w:val="2"/>
        <w:numPr>
          <w:ilvl w:val="0"/>
          <w:numId w:val="0"/>
        </w:numPr>
        <w:rPr>
          <w:rFonts w:hint="eastAsia" w:ascii="仿宋_GB2312" w:hAnsi="仿宋_GB2312" w:eastAsia="仿宋_GB2312" w:cs="仿宋_GB2312"/>
          <w:spacing w:val="-2"/>
          <w:sz w:val="32"/>
          <w:szCs w:val="32"/>
          <w:lang w:val="en-US" w:eastAsia="zh-CN"/>
        </w:rPr>
      </w:pPr>
      <w:r>
        <w:rPr>
          <w:rFonts w:hint="eastAsia"/>
          <w:lang w:val="en-US" w:eastAsia="zh-CN"/>
        </w:rPr>
        <w:t xml:space="preserve">   </w:t>
      </w:r>
      <w:r>
        <w:rPr>
          <w:rFonts w:hint="eastAsia" w:ascii="仿宋_GB2312" w:hAnsi="仿宋_GB2312" w:eastAsia="仿宋_GB2312" w:cs="仿宋_GB2312"/>
          <w:lang w:val="en-US" w:eastAsia="zh-CN"/>
        </w:rPr>
        <w:t>（1）</w:t>
      </w:r>
      <w:r>
        <w:rPr>
          <w:rFonts w:hint="eastAsia" w:ascii="仿宋_GB2312" w:hAnsi="仿宋_GB2312" w:eastAsia="仿宋_GB2312" w:cs="仿宋_GB2312"/>
          <w:sz w:val="32"/>
          <w:szCs w:val="32"/>
          <w:lang w:val="en-US" w:eastAsia="zh-CN"/>
        </w:rPr>
        <w:t>贸促事业发展专项</w:t>
      </w:r>
      <w:r>
        <w:rPr>
          <w:rFonts w:hint="eastAsia" w:ascii="仿宋_GB2312" w:hAnsi="仿宋_GB2312" w:eastAsia="仿宋_GB2312" w:cs="仿宋_GB2312"/>
          <w:spacing w:val="-2"/>
          <w:sz w:val="32"/>
          <w:szCs w:val="32"/>
          <w:lang w:val="en-US" w:eastAsia="zh-CN"/>
        </w:rPr>
        <w:t xml:space="preserve">资金  </w:t>
      </w:r>
    </w:p>
    <w:p>
      <w:pPr>
        <w:widowControl/>
        <w:numPr>
          <w:ilvl w:val="0"/>
          <w:numId w:val="0"/>
        </w:numPr>
        <w:shd w:val="clear" w:color="auto" w:fill="FFFFFF"/>
        <w:spacing w:line="600" w:lineRule="atLeast"/>
        <w:ind w:firstLine="632" w:firstLineChars="200"/>
        <w:rPr>
          <w:rFonts w:hint="default" w:ascii="仿宋_GB2312" w:hAnsi="仿宋_GB2312" w:eastAsia="仿宋_GB2312" w:cs="仿宋_GB2312"/>
          <w:spacing w:val="-2"/>
          <w:sz w:val="32"/>
          <w:szCs w:val="32"/>
          <w:lang w:val="en-US" w:eastAsia="zh-CN"/>
        </w:rPr>
      </w:pPr>
      <w:r>
        <w:rPr>
          <w:rFonts w:hint="default" w:ascii="仿宋_GB2312" w:hAnsi="仿宋_GB2312" w:eastAsia="仿宋_GB2312" w:cs="仿宋_GB2312"/>
          <w:spacing w:val="-2"/>
          <w:sz w:val="32"/>
          <w:szCs w:val="32"/>
          <w:lang w:val="en-US" w:eastAsia="zh-CN"/>
        </w:rPr>
        <w:t>本年度共安排中小企业参加国际展览补贴资金</w:t>
      </w:r>
      <w:r>
        <w:rPr>
          <w:rFonts w:hint="eastAsia" w:ascii="仿宋_GB2312" w:hAnsi="仿宋_GB2312" w:eastAsia="仿宋_GB2312" w:cs="仿宋_GB2312"/>
          <w:spacing w:val="-2"/>
          <w:sz w:val="32"/>
          <w:szCs w:val="32"/>
          <w:lang w:val="en-US" w:eastAsia="zh-CN"/>
        </w:rPr>
        <w:t>50</w:t>
      </w:r>
      <w:r>
        <w:rPr>
          <w:rFonts w:hint="default" w:ascii="仿宋_GB2312" w:hAnsi="仿宋_GB2312" w:eastAsia="仿宋_GB2312" w:cs="仿宋_GB2312"/>
          <w:spacing w:val="-2"/>
          <w:sz w:val="32"/>
          <w:szCs w:val="32"/>
          <w:lang w:val="en-US" w:eastAsia="zh-CN"/>
        </w:rPr>
        <w:t>万元，实际使用</w:t>
      </w:r>
      <w:r>
        <w:rPr>
          <w:rFonts w:hint="eastAsia" w:ascii="仿宋_GB2312" w:hAnsi="仿宋_GB2312" w:eastAsia="仿宋_GB2312" w:cs="仿宋_GB2312"/>
          <w:sz w:val="32"/>
          <w:szCs w:val="32"/>
          <w:lang w:val="en-US" w:eastAsia="zh-CN"/>
        </w:rPr>
        <w:t>48.68</w:t>
      </w:r>
      <w:r>
        <w:rPr>
          <w:rFonts w:hint="default" w:ascii="仿宋_GB2312" w:hAnsi="仿宋_GB2312" w:eastAsia="仿宋_GB2312" w:cs="仿宋_GB2312"/>
          <w:spacing w:val="-2"/>
          <w:sz w:val="32"/>
          <w:szCs w:val="32"/>
          <w:lang w:val="en-US" w:eastAsia="zh-CN"/>
        </w:rPr>
        <w:t>万元，使用率为</w:t>
      </w:r>
      <w:r>
        <w:rPr>
          <w:rFonts w:hint="eastAsia" w:ascii="仿宋_GB2312" w:hAnsi="仿宋_GB2312" w:eastAsia="仿宋_GB2312" w:cs="仿宋_GB2312"/>
          <w:sz w:val="32"/>
          <w:szCs w:val="32"/>
          <w:lang w:val="en-US" w:eastAsia="zh-CN"/>
        </w:rPr>
        <w:t>97.36</w:t>
      </w:r>
      <w:r>
        <w:rPr>
          <w:rFonts w:hint="eastAsia" w:ascii="仿宋_GB2312" w:hAnsi="仿宋_GB2312" w:eastAsia="仿宋_GB2312" w:cs="仿宋_GB2312"/>
          <w:sz w:val="32"/>
          <w:szCs w:val="32"/>
        </w:rPr>
        <w:t>%</w:t>
      </w:r>
      <w:r>
        <w:rPr>
          <w:rFonts w:hint="default" w:ascii="仿宋_GB2312" w:hAnsi="仿宋_GB2312" w:eastAsia="仿宋_GB2312" w:cs="仿宋_GB2312"/>
          <w:spacing w:val="-2"/>
          <w:sz w:val="32"/>
          <w:szCs w:val="32"/>
          <w:lang w:val="en-US" w:eastAsia="zh-CN"/>
        </w:rPr>
        <w:t>。该资金主要用于支持本地中小企业参加各类国际展览活动，帮助其拓展国际市场，提升企业品牌知名度和产品竞争力</w:t>
      </w:r>
      <w:r>
        <w:rPr>
          <w:rFonts w:hint="eastAsia" w:ascii="仿宋_GB2312" w:hAnsi="仿宋_GB2312" w:eastAsia="仿宋_GB2312" w:cs="仿宋_GB2312"/>
          <w:spacing w:val="-2"/>
          <w:sz w:val="32"/>
          <w:szCs w:val="32"/>
          <w:lang w:val="en-US" w:eastAsia="zh-CN"/>
        </w:rPr>
        <w:t>以及机关日常开支</w:t>
      </w:r>
      <w:r>
        <w:rPr>
          <w:rFonts w:hint="default" w:ascii="仿宋_GB2312" w:hAnsi="仿宋_GB2312" w:eastAsia="仿宋_GB2312" w:cs="仿宋_GB2312"/>
          <w:spacing w:val="-2"/>
          <w:sz w:val="32"/>
          <w:szCs w:val="32"/>
          <w:lang w:val="en-US" w:eastAsia="zh-CN"/>
        </w:rPr>
        <w:t>。</w:t>
      </w:r>
    </w:p>
    <w:p>
      <w:pPr>
        <w:widowControl/>
        <w:numPr>
          <w:ilvl w:val="0"/>
          <w:numId w:val="0"/>
        </w:numPr>
        <w:shd w:val="clear" w:color="auto" w:fill="FFFFFF"/>
        <w:spacing w:line="600" w:lineRule="atLeast"/>
        <w:ind w:firstLine="632" w:firstLineChars="200"/>
        <w:rPr>
          <w:rFonts w:hint="default" w:ascii="仿宋_GB2312" w:hAnsi="仿宋_GB2312" w:eastAsia="仿宋_GB2312" w:cs="仿宋_GB2312"/>
          <w:spacing w:val="-2"/>
          <w:sz w:val="32"/>
          <w:szCs w:val="32"/>
          <w:lang w:val="en-US" w:eastAsia="zh-CN"/>
        </w:rPr>
      </w:pPr>
      <w:r>
        <w:rPr>
          <w:rFonts w:hint="default" w:ascii="仿宋_GB2312" w:hAnsi="仿宋_GB2312" w:eastAsia="仿宋_GB2312" w:cs="仿宋_GB2312"/>
          <w:spacing w:val="-2"/>
          <w:sz w:val="32"/>
          <w:szCs w:val="32"/>
          <w:lang w:val="en-US" w:eastAsia="zh-CN"/>
        </w:rPr>
        <w:t>从企业反馈来看，通过参加国际展览，企业的市场视野得到了拓宽，产品销售渠道进一步拓展。</w:t>
      </w:r>
      <w:r>
        <w:rPr>
          <w:rFonts w:hint="eastAsia" w:ascii="仿宋_GB2312" w:hAnsi="仿宋_GB2312" w:eastAsia="仿宋_GB2312" w:cs="仿宋_GB2312"/>
          <w:spacing w:val="-2"/>
          <w:sz w:val="32"/>
          <w:szCs w:val="32"/>
          <w:lang w:val="en-US" w:eastAsia="zh-CN"/>
        </w:rPr>
        <w:t>同时</w:t>
      </w:r>
      <w:r>
        <w:rPr>
          <w:rFonts w:hint="default" w:ascii="仿宋_GB2312" w:hAnsi="仿宋_GB2312" w:eastAsia="仿宋_GB2312" w:cs="仿宋_GB2312"/>
          <w:spacing w:val="-2"/>
          <w:sz w:val="32"/>
          <w:szCs w:val="32"/>
          <w:lang w:val="en-US" w:eastAsia="zh-CN"/>
        </w:rPr>
        <w:t>通过国际展览平台，本地中小企业能够更好地了解国际市场动态，提升自身的核心竞争力，为本地经济的可持续发展注入了新的活力。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632" w:firstLineChars="200"/>
        <w:jc w:val="left"/>
        <w:textAlignment w:val="baseline"/>
      </w:pPr>
      <w:r>
        <w:rPr>
          <w:rFonts w:hint="eastAsia" w:ascii="仿宋_GB2312" w:hAnsi="仿宋_GB2312" w:eastAsia="仿宋_GB2312" w:cs="仿宋_GB2312"/>
          <w:spacing w:val="-2"/>
          <w:sz w:val="32"/>
          <w:szCs w:val="32"/>
          <w:lang w:val="en-US" w:eastAsia="zh-CN"/>
        </w:rPr>
        <w:t>（2）</w:t>
      </w:r>
      <w:r>
        <w:rPr>
          <w:rFonts w:hint="eastAsia" w:ascii="仿宋_GB2312" w:hAnsi="仿宋_GB2312" w:eastAsia="仿宋_GB2312" w:cs="仿宋_GB2312"/>
          <w:sz w:val="32"/>
          <w:szCs w:val="32"/>
          <w:lang w:val="en" w:eastAsia="zh-CN"/>
        </w:rPr>
        <w:t>因公出访肯尼亚、埃及经费</w:t>
      </w:r>
    </w:p>
    <w:p>
      <w:pPr>
        <w:widowControl/>
        <w:numPr>
          <w:ilvl w:val="0"/>
          <w:numId w:val="0"/>
        </w:numPr>
        <w:shd w:val="clear" w:color="auto" w:fill="FFFFFF"/>
        <w:spacing w:line="600" w:lineRule="atLeast"/>
        <w:ind w:firstLine="632" w:firstLineChars="200"/>
        <w:rPr>
          <w:rFonts w:hint="default" w:ascii="仿宋_GB2312" w:hAnsi="仿宋_GB2312" w:eastAsia="仿宋_GB2312" w:cs="仿宋_GB2312"/>
          <w:spacing w:val="-2"/>
          <w:sz w:val="32"/>
          <w:szCs w:val="32"/>
          <w:lang w:val="en-US" w:eastAsia="zh-CN"/>
        </w:rPr>
      </w:pPr>
      <w:r>
        <w:rPr>
          <w:rFonts w:hint="default" w:ascii="仿宋_GB2312" w:hAnsi="仿宋_GB2312" w:eastAsia="仿宋_GB2312" w:cs="仿宋_GB2312"/>
          <w:spacing w:val="-2"/>
          <w:sz w:val="32"/>
          <w:szCs w:val="32"/>
          <w:lang w:val="en-US" w:eastAsia="zh-CN"/>
        </w:rPr>
        <w:t>本年度安排招商引资经费</w:t>
      </w:r>
      <w:r>
        <w:rPr>
          <w:rFonts w:hint="eastAsia" w:ascii="仿宋_GB2312" w:hAnsi="仿宋_GB2312" w:eastAsia="仿宋_GB2312" w:cs="仿宋_GB2312"/>
          <w:spacing w:val="-2"/>
          <w:sz w:val="32"/>
          <w:szCs w:val="32"/>
          <w:lang w:val="en-US" w:eastAsia="zh-CN"/>
        </w:rPr>
        <w:t>5.65</w:t>
      </w:r>
      <w:r>
        <w:rPr>
          <w:rFonts w:hint="default" w:ascii="仿宋_GB2312" w:hAnsi="仿宋_GB2312" w:eastAsia="仿宋_GB2312" w:cs="仿宋_GB2312"/>
          <w:spacing w:val="-2"/>
          <w:sz w:val="32"/>
          <w:szCs w:val="32"/>
          <w:lang w:val="en-US" w:eastAsia="zh-CN"/>
        </w:rPr>
        <w:t>万元，实际使用</w:t>
      </w:r>
      <w:r>
        <w:rPr>
          <w:rFonts w:hint="eastAsia" w:ascii="仿宋_GB2312" w:hAnsi="仿宋_GB2312" w:eastAsia="仿宋_GB2312" w:cs="仿宋_GB2312"/>
          <w:spacing w:val="-2"/>
          <w:sz w:val="32"/>
          <w:szCs w:val="32"/>
          <w:lang w:val="en-US" w:eastAsia="zh-CN"/>
        </w:rPr>
        <w:t>5.65</w:t>
      </w:r>
      <w:r>
        <w:rPr>
          <w:rFonts w:hint="default" w:ascii="仿宋_GB2312" w:hAnsi="仿宋_GB2312" w:eastAsia="仿宋_GB2312" w:cs="仿宋_GB2312"/>
          <w:spacing w:val="-2"/>
          <w:sz w:val="32"/>
          <w:szCs w:val="32"/>
          <w:lang w:val="en-US" w:eastAsia="zh-CN"/>
        </w:rPr>
        <w:t>万元，使用率为</w:t>
      </w:r>
      <w:r>
        <w:rPr>
          <w:rFonts w:hint="eastAsia" w:ascii="仿宋_GB2312" w:hAnsi="仿宋_GB2312" w:eastAsia="仿宋_GB2312" w:cs="仿宋_GB2312"/>
          <w:spacing w:val="-2"/>
          <w:sz w:val="32"/>
          <w:szCs w:val="32"/>
          <w:lang w:val="en-US" w:eastAsia="zh-CN"/>
        </w:rPr>
        <w:t>100</w:t>
      </w:r>
      <w:r>
        <w:rPr>
          <w:rFonts w:hint="default" w:ascii="仿宋_GB2312" w:hAnsi="仿宋_GB2312" w:eastAsia="仿宋_GB2312" w:cs="仿宋_GB2312"/>
          <w:spacing w:val="-2"/>
          <w:sz w:val="32"/>
          <w:szCs w:val="32"/>
          <w:lang w:val="en-US" w:eastAsia="zh-CN"/>
        </w:rPr>
        <w:t>%。该资金主要用于</w:t>
      </w:r>
      <w:r>
        <w:rPr>
          <w:rFonts w:hint="eastAsia" w:ascii="仿宋_GB2312" w:hAnsi="仿宋_GB2312" w:eastAsia="仿宋_GB2312" w:cs="仿宋_GB2312"/>
          <w:spacing w:val="-2"/>
          <w:sz w:val="32"/>
          <w:szCs w:val="32"/>
          <w:lang w:val="en-US" w:eastAsia="zh-CN"/>
        </w:rPr>
        <w:t>前往肯尼亚、埃及进行考察，了解非洲经贸市场情况</w:t>
      </w:r>
      <w:r>
        <w:rPr>
          <w:rFonts w:hint="default" w:ascii="仿宋_GB2312" w:hAnsi="仿宋_GB2312" w:eastAsia="仿宋_GB2312" w:cs="仿宋_GB2312"/>
          <w:spacing w:val="-2"/>
          <w:sz w:val="32"/>
          <w:szCs w:val="32"/>
          <w:lang w:val="en-US" w:eastAsia="zh-CN"/>
        </w:rPr>
        <w:t>。</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firstLine="632" w:firstLineChars="200"/>
        <w:jc w:val="both"/>
        <w:textAlignment w:val="auto"/>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从出访效果来看，本年度</w:t>
      </w:r>
      <w:r>
        <w:rPr>
          <w:rFonts w:hint="default" w:ascii="仿宋_GB2312" w:hAnsi="仿宋_GB2312" w:eastAsia="仿宋_GB2312" w:cs="仿宋_GB2312"/>
          <w:b w:val="0"/>
          <w:bCs w:val="0"/>
          <w:kern w:val="0"/>
          <w:sz w:val="32"/>
          <w:szCs w:val="32"/>
          <w:lang w:val="en-US" w:eastAsia="zh-CN" w:bidi="ar"/>
        </w:rPr>
        <w:t>参加湖南省非洲经贸考察团，与埃及、肯尼亚</w:t>
      </w:r>
      <w:r>
        <w:rPr>
          <w:rFonts w:hint="eastAsia" w:ascii="仿宋_GB2312" w:hAnsi="仿宋_GB2312" w:eastAsia="仿宋_GB2312" w:cs="仿宋_GB2312"/>
          <w:b w:val="0"/>
          <w:bCs w:val="0"/>
          <w:kern w:val="0"/>
          <w:sz w:val="32"/>
          <w:szCs w:val="32"/>
          <w:lang w:val="en-US" w:eastAsia="zh-CN" w:bidi="ar"/>
        </w:rPr>
        <w:t>等国</w:t>
      </w:r>
      <w:r>
        <w:rPr>
          <w:rFonts w:hint="default" w:ascii="仿宋_GB2312" w:hAnsi="仿宋_GB2312" w:eastAsia="仿宋_GB2312" w:cs="仿宋_GB2312"/>
          <w:b w:val="0"/>
          <w:bCs w:val="0"/>
          <w:kern w:val="0"/>
          <w:sz w:val="32"/>
          <w:szCs w:val="32"/>
          <w:lang w:val="en-US" w:eastAsia="zh-CN" w:bidi="ar"/>
        </w:rPr>
        <w:t>贸易投资促进机构、工商协会、产业园区进行深度对接，与肯尼亚湖南商会签订合作协议</w:t>
      </w:r>
      <w:r>
        <w:rPr>
          <w:rFonts w:hint="eastAsia" w:ascii="仿宋_GB2312" w:hAnsi="仿宋_GB2312" w:eastAsia="仿宋_GB2312" w:cs="仿宋_GB2312"/>
          <w:b w:val="0"/>
          <w:bCs w:val="0"/>
          <w:kern w:val="0"/>
          <w:sz w:val="32"/>
          <w:szCs w:val="32"/>
          <w:lang w:val="en-US" w:eastAsia="zh-CN" w:bidi="ar"/>
        </w:rPr>
        <w:t>。在</w:t>
      </w:r>
      <w:r>
        <w:rPr>
          <w:rFonts w:hint="default" w:ascii="仿宋_GB2312" w:hAnsi="仿宋_GB2312" w:eastAsia="仿宋_GB2312" w:cs="仿宋_GB2312"/>
          <w:b w:val="0"/>
          <w:bCs w:val="0"/>
          <w:kern w:val="0"/>
          <w:sz w:val="32"/>
          <w:szCs w:val="32"/>
          <w:lang w:val="en-US" w:eastAsia="zh-CN" w:bidi="ar"/>
        </w:rPr>
        <w:t>湖南-埃及线上线下经贸对接会</w:t>
      </w:r>
      <w:r>
        <w:rPr>
          <w:rFonts w:hint="eastAsia" w:ascii="仿宋_GB2312" w:hAnsi="仿宋_GB2312" w:eastAsia="仿宋_GB2312" w:cs="仿宋_GB2312"/>
          <w:b w:val="0"/>
          <w:bCs w:val="0"/>
          <w:kern w:val="0"/>
          <w:sz w:val="32"/>
          <w:szCs w:val="32"/>
          <w:lang w:val="en-US" w:eastAsia="zh-CN" w:bidi="ar"/>
        </w:rPr>
        <w:t>上</w:t>
      </w:r>
      <w:r>
        <w:rPr>
          <w:rFonts w:hint="default" w:ascii="仿宋_GB2312" w:hAnsi="仿宋_GB2312" w:eastAsia="仿宋_GB2312" w:cs="仿宋_GB2312"/>
          <w:b w:val="0"/>
          <w:bCs w:val="0"/>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bidi="ar"/>
        </w:rPr>
        <w:t>促成我市</w:t>
      </w:r>
      <w:r>
        <w:rPr>
          <w:rFonts w:hint="default" w:ascii="仿宋_GB2312" w:hAnsi="仿宋_GB2312" w:eastAsia="仿宋_GB2312" w:cs="仿宋_GB2312"/>
          <w:b w:val="0"/>
          <w:bCs w:val="0"/>
          <w:kern w:val="0"/>
          <w:sz w:val="32"/>
          <w:szCs w:val="32"/>
          <w:lang w:val="en-US" w:eastAsia="zh-CN" w:bidi="ar"/>
        </w:rPr>
        <w:t>湖南康瑞涂料公司</w:t>
      </w:r>
      <w:r>
        <w:rPr>
          <w:rFonts w:hint="eastAsia" w:ascii="仿宋_GB2312" w:hAnsi="仿宋_GB2312" w:eastAsia="仿宋_GB2312" w:cs="仿宋_GB2312"/>
          <w:b w:val="0"/>
          <w:bCs w:val="0"/>
          <w:kern w:val="0"/>
          <w:sz w:val="32"/>
          <w:szCs w:val="32"/>
          <w:lang w:val="en-US" w:eastAsia="zh-CN" w:bidi="ar"/>
        </w:rPr>
        <w:t>与埃及企业的贸易出口合作</w:t>
      </w:r>
      <w:r>
        <w:rPr>
          <w:rFonts w:hint="default" w:ascii="仿宋_GB2312" w:hAnsi="仿宋_GB2312" w:eastAsia="仿宋_GB2312" w:cs="仿宋_GB2312"/>
          <w:b w:val="0"/>
          <w:bCs w:val="0"/>
          <w:kern w:val="0"/>
          <w:sz w:val="32"/>
          <w:szCs w:val="32"/>
          <w:lang w:val="en-US" w:eastAsia="zh-CN" w:bidi="ar"/>
        </w:rPr>
        <w:t>。</w:t>
      </w:r>
    </w:p>
    <w:p>
      <w:pPr>
        <w:pStyle w:val="2"/>
        <w:numPr>
          <w:ilvl w:val="0"/>
          <w:numId w:val="3"/>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香港国际美食茶叶展经费</w:t>
      </w:r>
    </w:p>
    <w:p>
      <w:pPr>
        <w:keepNext w:val="0"/>
        <w:keepLines w:val="0"/>
        <w:widowControl/>
        <w:suppressLineNumbers w:val="0"/>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香港国际美食茶叶展经费</w:t>
      </w:r>
      <w:r>
        <w:rPr>
          <w:rFonts w:hint="eastAsia" w:ascii="仿宋_GB2312" w:hAnsi="仿宋_GB2312" w:eastAsia="仿宋_GB2312" w:cs="仿宋_GB2312"/>
          <w:kern w:val="2"/>
          <w:sz w:val="32"/>
          <w:szCs w:val="32"/>
          <w:lang w:val="en-US" w:eastAsia="zh-CN" w:bidi="ar-SA"/>
        </w:rPr>
        <w:t>27万元，该资金主要用于组织本地企业参加</w:t>
      </w:r>
      <w:r>
        <w:rPr>
          <w:rFonts w:hint="eastAsia" w:ascii="仿宋_GB2312" w:hAnsi="仿宋_GB2312" w:eastAsia="仿宋_GB2312" w:cs="仿宋_GB2312"/>
          <w:sz w:val="32"/>
          <w:szCs w:val="32"/>
          <w:lang w:val="en-US" w:eastAsia="zh-CN"/>
        </w:rPr>
        <w:t>香港国际美食茶叶展</w:t>
      </w:r>
      <w:r>
        <w:rPr>
          <w:rFonts w:hint="eastAsia" w:ascii="仿宋_GB2312" w:hAnsi="仿宋_GB2312" w:eastAsia="仿宋_GB2312" w:cs="仿宋_GB2312"/>
          <w:kern w:val="2"/>
          <w:sz w:val="32"/>
          <w:szCs w:val="32"/>
          <w:lang w:val="en-US" w:eastAsia="zh-CN" w:bidi="ar-SA"/>
        </w:rPr>
        <w:t>，包括同期开展考察、租车费用、人员差旅等费用。</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spacing w:val="-2"/>
          <w:kern w:val="2"/>
          <w:sz w:val="32"/>
          <w:szCs w:val="32"/>
          <w:lang w:val="en-US" w:eastAsia="zh-CN" w:bidi="ar-SA"/>
        </w:rPr>
        <w:t>从成果来看，本年度通过使用</w:t>
      </w:r>
      <w:r>
        <w:rPr>
          <w:rFonts w:hint="eastAsia" w:ascii="仿宋_GB2312" w:hAnsi="仿宋_GB2312" w:eastAsia="仿宋_GB2312" w:cs="仿宋_GB2312"/>
          <w:sz w:val="32"/>
          <w:szCs w:val="32"/>
          <w:lang w:val="en-US" w:eastAsia="zh-CN"/>
        </w:rPr>
        <w:t>香港国际美食茶叶展经费</w:t>
      </w:r>
      <w:r>
        <w:rPr>
          <w:rFonts w:hint="default" w:ascii="仿宋_GB2312" w:hAnsi="仿宋_GB2312" w:eastAsia="仿宋_GB2312" w:cs="仿宋_GB2312"/>
          <w:spacing w:val="-2"/>
          <w:kern w:val="2"/>
          <w:sz w:val="32"/>
          <w:szCs w:val="32"/>
          <w:lang w:val="en-US" w:eastAsia="zh-CN" w:bidi="ar-SA"/>
        </w:rPr>
        <w:t>，</w:t>
      </w:r>
      <w:r>
        <w:rPr>
          <w:rFonts w:hint="eastAsia" w:ascii="仿宋_GB2312" w:hAnsi="仿宋_GB2312" w:eastAsia="仿宋_GB2312" w:cs="仿宋_GB2312"/>
          <w:b w:val="0"/>
          <w:bCs w:val="0"/>
          <w:kern w:val="0"/>
          <w:sz w:val="32"/>
          <w:szCs w:val="32"/>
          <w:lang w:val="en-US" w:eastAsia="zh-CN" w:bidi="ar"/>
        </w:rPr>
        <w:t>牵头组织9家企业参加香港国际美食茶叶展及招商考察活动，意向采购订单数额超2000万元</w:t>
      </w:r>
      <w:r>
        <w:rPr>
          <w:rFonts w:hint="eastAsia" w:ascii="仿宋_GB2312" w:hAnsi="仿宋_GB2312" w:cs="仿宋_GB2312"/>
          <w:b w:val="0"/>
          <w:bCs w:val="0"/>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bidi="ar"/>
        </w:rPr>
        <w:t>麻阳蓝凤凰公司与环宇发展（香港）公司现场签署6000万元农产品采购协议。市农林集团与香港裕华国货、与印度瑞迪·拉赫马公司分别签订老蔡牛肉、100吨干芡采购协议。</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三、项目组织实施情况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（一）项目组织情况分析，主要包括项目招投标、调整、竣工验收等情况。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3</w:t>
      </w:r>
      <w:r>
        <w:rPr>
          <w:rFonts w:hint="default" w:ascii="仿宋_GB2312" w:hAnsi="仿宋" w:eastAsia="仿宋_GB2312" w:cs="Times New Roman"/>
          <w:sz w:val="32"/>
          <w:szCs w:val="32"/>
          <w:lang w:eastAsia="zh-CN"/>
        </w:rPr>
        <w:t>个专项资助金均</w:t>
      </w:r>
      <w:r>
        <w:rPr>
          <w:rFonts w:hint="eastAsia" w:ascii="仿宋_GB2312" w:hAnsi="仿宋" w:eastAsia="仿宋_GB2312" w:cs="Times New Roman"/>
          <w:sz w:val="32"/>
          <w:szCs w:val="32"/>
          <w:lang w:val="en-US" w:eastAsia="zh-CN"/>
        </w:rPr>
        <w:t>由</w:t>
      </w:r>
      <w:r>
        <w:rPr>
          <w:rFonts w:hint="default" w:ascii="仿宋_GB2312" w:hAnsi="仿宋" w:eastAsia="仿宋_GB2312" w:cs="Times New Roman"/>
          <w:sz w:val="32"/>
          <w:szCs w:val="32"/>
          <w:lang w:eastAsia="zh-CN"/>
        </w:rPr>
        <w:t>市</w:t>
      </w:r>
      <w:r>
        <w:rPr>
          <w:rFonts w:hint="eastAsia" w:ascii="仿宋_GB2312" w:hAnsi="仿宋" w:eastAsia="仿宋_GB2312" w:cs="Times New Roman"/>
          <w:sz w:val="32"/>
          <w:szCs w:val="32"/>
          <w:lang w:val="en-US" w:eastAsia="zh-CN"/>
        </w:rPr>
        <w:t>财政</w:t>
      </w:r>
      <w:r>
        <w:rPr>
          <w:rFonts w:hint="default" w:ascii="仿宋_GB2312" w:hAnsi="仿宋" w:eastAsia="仿宋_GB2312" w:cs="Times New Roman"/>
          <w:sz w:val="32"/>
          <w:szCs w:val="32"/>
          <w:lang w:eastAsia="zh-CN"/>
        </w:rPr>
        <w:t>下拨额度至我会，具体款项由我会支付</w:t>
      </w:r>
      <w:r>
        <w:rPr>
          <w:rFonts w:hint="eastAsia" w:ascii="仿宋_GB2312" w:hAnsi="仿宋" w:eastAsia="仿宋_GB2312" w:cs="Times New Roman"/>
          <w:sz w:val="32"/>
          <w:szCs w:val="32"/>
          <w:lang w:val="en-US" w:eastAsia="zh-CN"/>
        </w:rPr>
        <w:t>。</w:t>
      </w:r>
      <w:r>
        <w:rPr>
          <w:rFonts w:hint="eastAsia" w:ascii="仿宋_GB2312" w:hAnsi="仿宋_GB2312" w:eastAsia="仿宋_GB2312" w:cs="仿宋_GB2312"/>
          <w:spacing w:val="-2"/>
          <w:kern w:val="2"/>
          <w:sz w:val="32"/>
          <w:szCs w:val="32"/>
          <w:lang w:eastAsia="zh-CN" w:bidi="ar-SA"/>
        </w:rPr>
        <w:t>由于</w:t>
      </w:r>
      <w:r>
        <w:rPr>
          <w:rFonts w:hint="eastAsia" w:ascii="仿宋_GB2312" w:hAnsi="仿宋_GB2312" w:eastAsia="仿宋_GB2312" w:cs="仿宋_GB2312"/>
          <w:spacing w:val="-2"/>
          <w:kern w:val="2"/>
          <w:sz w:val="32"/>
          <w:szCs w:val="32"/>
          <w:lang w:val="en-US" w:eastAsia="zh-CN" w:bidi="ar-SA"/>
        </w:rPr>
        <w:t>3个专项资金额度较小未达到公开招投标金额，且部分资金需用于弥补单位工作经费不足，所以不存在</w:t>
      </w:r>
      <w:r>
        <w:rPr>
          <w:rFonts w:hint="default" w:ascii="Times New Roman Regular" w:hAnsi="Times New Roman Regular" w:eastAsia="仿宋_GB2312" w:cs="Times New Roman Regular"/>
          <w:color w:val="auto"/>
          <w:sz w:val="32"/>
          <w:szCs w:val="32"/>
          <w:highlight w:val="none"/>
          <w:lang w:val="en-US" w:eastAsia="zh-CN"/>
        </w:rPr>
        <w:t>项目招投标、调整、竣工验收等情况</w:t>
      </w:r>
      <w:r>
        <w:rPr>
          <w:rFonts w:hint="eastAsia" w:ascii="Times New Roman Regular" w:hAnsi="Times New Roman Regular" w:eastAsia="仿宋_GB2312" w:cs="Times New Roman Regular"/>
          <w:color w:val="auto"/>
          <w:sz w:val="32"/>
          <w:szCs w:val="32"/>
          <w:highlight w:val="none"/>
          <w:lang w:val="en-US" w:eastAsia="zh-CN"/>
        </w:rPr>
        <w:t>，资金拨付</w:t>
      </w:r>
      <w:r>
        <w:rPr>
          <w:rFonts w:hint="default" w:ascii="仿宋_GB2312" w:hAnsi="仿宋" w:eastAsia="仿宋_GB2312" w:cs="Times New Roman"/>
          <w:sz w:val="32"/>
          <w:szCs w:val="32"/>
          <w:lang w:eastAsia="zh-CN"/>
        </w:rPr>
        <w:t>通过正常财务报账流程</w:t>
      </w:r>
      <w:r>
        <w:rPr>
          <w:rFonts w:hint="eastAsia" w:ascii="仿宋_GB2312" w:hAnsi="仿宋" w:eastAsia="仿宋_GB2312" w:cs="Times New Roman"/>
          <w:sz w:val="32"/>
          <w:szCs w:val="32"/>
          <w:lang w:eastAsia="zh-CN"/>
        </w:rPr>
        <w:t>即完成结算</w:t>
      </w:r>
      <w:r>
        <w:rPr>
          <w:rFonts w:hint="default" w:ascii="仿宋_GB2312" w:hAnsi="仿宋_GB2312" w:eastAsia="仿宋_GB2312" w:cs="仿宋_GB2312"/>
          <w:spacing w:val="-2"/>
          <w:kern w:val="2"/>
          <w:sz w:val="32"/>
          <w:szCs w:val="32"/>
          <w:lang w:eastAsia="zh-CN" w:bidi="ar-SA"/>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（二）项目管理情况分析，主要包括项目管理制度建设、日常检查监督管理等情况。</w:t>
      </w:r>
    </w:p>
    <w:p>
      <w:pPr>
        <w:keepNext w:val="0"/>
        <w:keepLines w:val="0"/>
        <w:pageBreakBefore w:val="0"/>
        <w:tabs>
          <w:tab w:val="left" w:pos="3160"/>
        </w:tabs>
        <w:kinsoku/>
        <w:wordWrap/>
        <w:overflowPunct/>
        <w:topLinePunct w:val="0"/>
        <w:autoSpaceDE/>
        <w:autoSpaceDN/>
        <w:bidi w:val="0"/>
        <w:adjustRightInd/>
        <w:spacing w:line="58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_GB2312" w:hAnsi="仿宋_GB2312" w:eastAsia="仿宋_GB2312" w:cs="仿宋_GB2312"/>
          <w:kern w:val="2"/>
          <w:sz w:val="32"/>
          <w:szCs w:val="32"/>
          <w:lang w:val="en-US" w:eastAsia="zh-CN" w:bidi="ar-SA"/>
        </w:rPr>
        <w:t>严格遵循按照《怀化市本机财政专项资金管理办法》的要求进行专款专用、独立核算。专项项目申报严格按照市财政资金管</w:t>
      </w:r>
      <w:r>
        <w:rPr>
          <w:rFonts w:hint="eastAsia" w:ascii="仿宋_GB2312" w:hAnsi="仿宋" w:eastAsia="仿宋_GB2312" w:cs="Times New Roman"/>
          <w:sz w:val="32"/>
          <w:szCs w:val="32"/>
          <w:lang w:val="en-US" w:eastAsia="zh-CN"/>
        </w:rPr>
        <w:t>理的要求进行，专项资金财政拨款到位后及时进行了项目开展和资金投入。</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四、资产管理情况</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3" w:lineRule="atLeast"/>
        <w:ind w:right="0" w:firstLine="632" w:firstLineChars="200"/>
        <w:jc w:val="both"/>
        <w:rPr>
          <w:rFonts w:hint="default" w:ascii="仿宋" w:hAnsi="仿宋" w:eastAsia="仿宋_GB2312"/>
          <w:spacing w:val="-2"/>
          <w:sz w:val="32"/>
          <w:szCs w:val="21"/>
          <w:lang w:val="en-US" w:eastAsia="zh-CN"/>
        </w:rPr>
      </w:pPr>
      <w:r>
        <w:rPr>
          <w:rFonts w:hint="eastAsia" w:ascii="仿宋_GB2312" w:hAnsi="仿宋_GB2312" w:eastAsia="仿宋_GB2312" w:cs="仿宋_GB2312"/>
          <w:spacing w:val="-2"/>
          <w:sz w:val="32"/>
          <w:szCs w:val="32"/>
          <w:lang w:val="en-US" w:eastAsia="zh-CN"/>
        </w:rPr>
        <w:t>2025我会的资产配置严格按照《怀化市市直行政业单位国有资产配置管</w:t>
      </w:r>
      <w:r>
        <w:rPr>
          <w:rFonts w:hint="eastAsia" w:ascii="仿宋_GB2312" w:hAnsi="仿宋_GB2312" w:eastAsia="仿宋_GB2312" w:cs="仿宋_GB2312"/>
          <w:spacing w:val="-2"/>
          <w:sz w:val="32"/>
          <w:szCs w:val="32"/>
        </w:rPr>
        <w:t>理办法》执行，资产的管理由财务部门进行价值核算并设置专人进行资产实物卡片管理及使用情况监督</w:t>
      </w:r>
      <w:r>
        <w:rPr>
          <w:rFonts w:hint="default" w:ascii="仿宋_GB2312" w:hAnsi="仿宋_GB2312" w:eastAsia="仿宋_GB2312" w:cs="仿宋_GB2312"/>
          <w:spacing w:val="-2"/>
          <w:sz w:val="32"/>
          <w:szCs w:val="32"/>
        </w:rPr>
        <w:t>。</w:t>
      </w:r>
      <w:r>
        <w:rPr>
          <w:rFonts w:hint="eastAsia" w:ascii="仿宋_GB2312" w:hAnsi="仿宋_GB2312" w:eastAsia="仿宋_GB2312" w:cs="仿宋_GB2312"/>
          <w:spacing w:val="-2"/>
          <w:sz w:val="32"/>
          <w:szCs w:val="32"/>
        </w:rPr>
        <w:t>办公设备由办公室设置专人进行实物卡片管理及使用情况监督。20</w:t>
      </w:r>
      <w:r>
        <w:rPr>
          <w:rFonts w:hint="eastAsia" w:ascii="仿宋_GB2312" w:hAnsi="仿宋_GB2312" w:eastAsia="仿宋_GB2312" w:cs="仿宋_GB2312"/>
          <w:spacing w:val="-2"/>
          <w:sz w:val="32"/>
          <w:szCs w:val="32"/>
          <w:lang w:val="en-US" w:eastAsia="zh-CN"/>
        </w:rPr>
        <w:t>25</w:t>
      </w:r>
      <w:r>
        <w:rPr>
          <w:rFonts w:hint="eastAsia" w:ascii="仿宋_GB2312" w:hAnsi="仿宋_GB2312" w:eastAsia="仿宋_GB2312" w:cs="仿宋_GB2312"/>
          <w:spacing w:val="-2"/>
          <w:sz w:val="32"/>
          <w:szCs w:val="32"/>
        </w:rPr>
        <w:t>年</w:t>
      </w:r>
      <w:r>
        <w:rPr>
          <w:rFonts w:hint="default" w:ascii="仿宋_GB2312" w:hAnsi="仿宋_GB2312" w:eastAsia="仿宋_GB2312" w:cs="仿宋_GB2312"/>
          <w:spacing w:val="-2"/>
          <w:sz w:val="32"/>
          <w:szCs w:val="32"/>
        </w:rPr>
        <w:t>无处置固定资产情况</w:t>
      </w:r>
      <w:r>
        <w:rPr>
          <w:rFonts w:hint="eastAsia" w:ascii="仿宋_GB2312" w:hAnsi="仿宋_GB2312" w:eastAsia="仿宋_GB2312" w:cs="仿宋_GB2312"/>
          <w:spacing w:val="-2"/>
          <w:sz w:val="32"/>
          <w:szCs w:val="32"/>
          <w:lang w:eastAsia="zh-CN"/>
        </w:rPr>
        <w:t>，也无资产购置情况</w:t>
      </w:r>
      <w:r>
        <w:rPr>
          <w:rFonts w:hint="eastAsia" w:ascii="仿宋_GB2312" w:hAnsi="仿宋_GB2312" w:eastAsia="仿宋_GB2312" w:cs="仿宋_GB2312"/>
          <w:spacing w:val="-2"/>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五、政府性基金预算支出情况</w:t>
      </w:r>
    </w:p>
    <w:p>
      <w:pPr>
        <w:pStyle w:val="2"/>
        <w:numPr>
          <w:ilvl w:val="0"/>
          <w:numId w:val="0"/>
        </w:numPr>
        <w:ind w:left="640" w:leftChars="0"/>
        <w:rPr>
          <w:rFonts w:hint="eastAsia" w:ascii="仿宋_GB2312" w:hAnsi="仿宋_GB2312" w:eastAsia="仿宋_GB2312" w:cs="仿宋_GB2312"/>
          <w:b w:val="0"/>
          <w:bCs/>
          <w:spacing w:val="-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年我会无</w:t>
      </w:r>
      <w:r>
        <w:rPr>
          <w:rFonts w:hint="eastAsia" w:ascii="仿宋_GB2312" w:hAnsi="仿宋_GB2312" w:eastAsia="仿宋_GB2312" w:cs="仿宋_GB2312"/>
          <w:b w:val="0"/>
          <w:bCs/>
          <w:spacing w:val="-2"/>
          <w:sz w:val="32"/>
          <w:szCs w:val="32"/>
        </w:rPr>
        <w:t>政府性基金预算支出。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六、国有资本经营预算支出情况</w:t>
      </w:r>
    </w:p>
    <w:p>
      <w:pPr>
        <w:pStyle w:val="2"/>
        <w:numPr>
          <w:ilvl w:val="0"/>
          <w:numId w:val="0"/>
        </w:numPr>
        <w:ind w:left="640" w:leftChars="0"/>
        <w:rPr>
          <w:rFonts w:hint="eastAsia" w:ascii="仿宋_GB2312" w:hAnsi="仿宋_GB2312" w:eastAsia="仿宋_GB2312" w:cs="仿宋_GB2312"/>
          <w:b w:val="0"/>
          <w:bCs/>
          <w:spacing w:val="-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年我会无国有资本经营预算支出</w:t>
      </w:r>
      <w:r>
        <w:rPr>
          <w:rFonts w:hint="eastAsia" w:ascii="仿宋_GB2312" w:hAnsi="仿宋_GB2312" w:eastAsia="仿宋_GB2312" w:cs="仿宋_GB2312"/>
          <w:b w:val="0"/>
          <w:bCs/>
          <w:spacing w:val="-2"/>
          <w:sz w:val="32"/>
          <w:szCs w:val="32"/>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七、社会保险基金预算支出情况</w:t>
      </w:r>
    </w:p>
    <w:p>
      <w:pPr>
        <w:pStyle w:val="2"/>
        <w:numPr>
          <w:ilvl w:val="0"/>
          <w:numId w:val="0"/>
        </w:numPr>
        <w:ind w:left="640" w:leftChars="0"/>
        <w:rPr>
          <w:rFonts w:hint="eastAsia" w:ascii="仿宋_GB2312" w:hAnsi="仿宋_GB2312" w:eastAsia="仿宋_GB2312" w:cs="仿宋_GB2312"/>
          <w:b w:val="0"/>
          <w:bCs/>
          <w:spacing w:val="-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年我会无社会保险基金预算支出</w:t>
      </w:r>
      <w:r>
        <w:rPr>
          <w:rFonts w:hint="eastAsia" w:ascii="仿宋_GB2312" w:hAnsi="仿宋_GB2312" w:eastAsia="仿宋_GB2312" w:cs="仿宋_GB2312"/>
          <w:b w:val="0"/>
          <w:bCs/>
          <w:spacing w:val="-2"/>
          <w:sz w:val="32"/>
          <w:szCs w:val="32"/>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八、部门整体支出绩效情况</w:t>
      </w:r>
    </w:p>
    <w:p>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firstLine="648" w:firstLineChars="200"/>
        <w:jc w:val="both"/>
        <w:textAlignment w:val="auto"/>
        <w:rPr>
          <w:rFonts w:hint="eastAsia" w:ascii="仿宋_GB2312" w:hAnsi="仿宋_GB2312" w:eastAsia="仿宋_GB2312" w:cs="仿宋_GB2312"/>
          <w:color w:val="000000"/>
          <w:spacing w:val="2"/>
          <w:sz w:val="32"/>
          <w:szCs w:val="32"/>
          <w:lang w:val="en-US" w:eastAsia="zh-CN"/>
        </w:rPr>
      </w:pPr>
      <w:r>
        <w:rPr>
          <w:rFonts w:hint="eastAsia" w:ascii="仿宋_GB2312" w:hAnsi="仿宋_GB2312" w:eastAsia="仿宋_GB2312" w:cs="仿宋_GB2312"/>
          <w:color w:val="000000"/>
          <w:spacing w:val="2"/>
          <w:sz w:val="32"/>
          <w:szCs w:val="32"/>
          <w:lang w:val="en-US" w:eastAsia="zh-CN"/>
        </w:rPr>
        <w:t xml:space="preserve">2025年怀化市贸促会锚定“三高四新”美好蓝图，深入实施“五新四城”战略，全力服务我市高水平开放高质量发展，为怀化进出口实现翻番，增速居全省第一贡献贸促力量。 </w:t>
      </w:r>
    </w:p>
    <w:p>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ight="0" w:firstLine="640" w:firstLineChars="200"/>
        <w:jc w:val="both"/>
        <w:textAlignment w:val="auto"/>
        <w:rPr>
          <w:rFonts w:hint="eastAsia" w:ascii="楷体" w:hAnsi="楷体" w:eastAsia="楷体" w:cs="楷体"/>
          <w:b/>
          <w:bCs/>
          <w:color w:val="auto"/>
          <w:kern w:val="2"/>
          <w:sz w:val="32"/>
          <w:szCs w:val="32"/>
          <w:highlight w:val="none"/>
          <w:lang w:val="en-US" w:eastAsia="zh-CN" w:bidi="ar-SA"/>
        </w:rPr>
      </w:pPr>
      <w:r>
        <w:rPr>
          <w:rFonts w:hint="eastAsia" w:ascii="楷体" w:hAnsi="楷体" w:eastAsia="楷体" w:cs="楷体"/>
          <w:b/>
          <w:bCs/>
          <w:color w:val="auto"/>
          <w:kern w:val="2"/>
          <w:sz w:val="32"/>
          <w:szCs w:val="32"/>
          <w:highlight w:val="none"/>
          <w:lang w:val="en-US" w:eastAsia="zh-CN" w:bidi="ar-SA"/>
        </w:rPr>
        <w:t>（一）一般公共预算</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本年度一般公共预算安排390.27万元，实际支出290.2万元，执行率为74.36%。资金主要用于保障部门日常运转、人员经费支出以及业务工作开展。本年度绩效目的锚定目标加压奋进，竭力贡献高水平开放</w:t>
      </w:r>
      <w:r>
        <w:rPr>
          <w:rFonts w:hint="eastAsia" w:ascii="仿宋_GB2312" w:hAnsi="仿宋_GB2312" w:eastAsia="仿宋_GB2312" w:cs="仿宋_GB2312"/>
          <w:b w:val="0"/>
          <w:color w:val="auto"/>
          <w:kern w:val="2"/>
          <w:sz w:val="32"/>
          <w:szCs w:val="32"/>
          <w:highlight w:val="none"/>
          <w:lang w:val="en" w:eastAsia="zh-CN" w:bidi="ar-SA"/>
        </w:rPr>
        <w:t>高质量发展。</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48" w:firstLineChars="200"/>
        <w:jc w:val="both"/>
        <w:textAlignment w:val="auto"/>
        <w:rPr>
          <w:rFonts w:hint="eastAsia" w:ascii="仿宋_GB2312" w:hAnsi="仿宋_GB2312" w:eastAsia="仿宋_GB2312" w:cs="仿宋_GB2312"/>
          <w:spacing w:val="10"/>
          <w:sz w:val="32"/>
          <w:szCs w:val="32"/>
          <w:lang w:val="en-US" w:eastAsia="zh-CN"/>
        </w:rPr>
      </w:pPr>
      <w:r>
        <w:rPr>
          <w:rFonts w:hint="eastAsia" w:ascii="仿宋_GB2312" w:hAnsi="仿宋_GB2312" w:eastAsia="仿宋_GB2312" w:cs="仿宋_GB2312"/>
          <w:b/>
          <w:bCs/>
          <w:color w:val="000000"/>
          <w:spacing w:val="2"/>
          <w:kern w:val="2"/>
          <w:sz w:val="32"/>
          <w:szCs w:val="32"/>
          <w:lang w:val="en-US" w:eastAsia="zh-CN" w:bidi="ar-SA"/>
        </w:rPr>
        <w:t>1.成功搭建产业对接高端平台</w:t>
      </w:r>
      <w:r>
        <w:rPr>
          <w:rFonts w:hint="eastAsia" w:ascii="仿宋_GB2312" w:hAnsi="仿宋_GB2312" w:eastAsia="仿宋_GB2312" w:cs="仿宋_GB2312"/>
          <w:b/>
          <w:bCs/>
          <w:spacing w:val="10"/>
          <w:sz w:val="32"/>
          <w:szCs w:val="32"/>
          <w:lang w:val="en-US" w:eastAsia="zh-CN"/>
        </w:rPr>
        <w:t>。</w:t>
      </w:r>
      <w:r>
        <w:rPr>
          <w:rFonts w:hint="eastAsia" w:ascii="仿宋_GB2312" w:hAnsi="仿宋_GB2312" w:eastAsia="仿宋_GB2312" w:cs="仿宋_GB2312"/>
          <w:spacing w:val="10"/>
          <w:sz w:val="32"/>
          <w:szCs w:val="32"/>
          <w:lang w:val="en-US" w:eastAsia="zh-CN"/>
        </w:rPr>
        <w:t>举</w:t>
      </w:r>
      <w:r>
        <w:rPr>
          <w:rFonts w:hint="eastAsia" w:ascii="仿宋_GB2312" w:hAnsi="仿宋_GB2312" w:eastAsia="仿宋_GB2312" w:cs="仿宋_GB2312"/>
          <w:b w:val="0"/>
          <w:bCs w:val="0"/>
          <w:kern w:val="0"/>
          <w:sz w:val="32"/>
          <w:szCs w:val="32"/>
          <w:lang w:val="en-US" w:eastAsia="zh-CN" w:bidi="ar"/>
        </w:rPr>
        <w:t>办湖南国际商会物流与供应链专业委员会成立仪式暨湖南（怀化）—东盟产业链供应链合作对接会。</w:t>
      </w:r>
      <w:r>
        <w:rPr>
          <w:rFonts w:hint="eastAsia" w:ascii="仿宋_GB2312" w:hAnsi="仿宋_GB2312" w:eastAsia="仿宋_GB2312" w:cs="仿宋_GB2312"/>
          <w:spacing w:val="10"/>
          <w:sz w:val="32"/>
          <w:szCs w:val="32"/>
          <w:lang w:val="en-US" w:eastAsia="zh-CN"/>
        </w:rPr>
        <w:t>邀请参会嘉宾152人，其</w:t>
      </w:r>
      <w:r>
        <w:rPr>
          <w:rFonts w:hint="eastAsia" w:ascii="仿宋_GB2312" w:hAnsi="仿宋_GB2312" w:eastAsia="仿宋_GB2312" w:cs="仿宋_GB2312"/>
          <w:spacing w:val="10"/>
          <w:sz w:val="32"/>
          <w:szCs w:val="32"/>
        </w:rPr>
        <w:t>中</w:t>
      </w:r>
      <w:r>
        <w:rPr>
          <w:rFonts w:hint="eastAsia" w:ascii="仿宋_GB2312" w:hAnsi="仿宋_GB2312" w:eastAsia="仿宋_GB2312" w:cs="仿宋_GB2312"/>
          <w:spacing w:val="10"/>
          <w:sz w:val="32"/>
          <w:szCs w:val="32"/>
          <w:lang w:eastAsia="zh-CN"/>
        </w:rPr>
        <w:t>东盟国家</w:t>
      </w:r>
      <w:r>
        <w:rPr>
          <w:rFonts w:hint="eastAsia" w:ascii="仿宋_GB2312" w:hAnsi="仿宋_GB2312" w:eastAsia="仿宋_GB2312" w:cs="仿宋_GB2312"/>
          <w:spacing w:val="10"/>
          <w:sz w:val="32"/>
          <w:szCs w:val="32"/>
        </w:rPr>
        <w:t>驻华使节、</w:t>
      </w:r>
      <w:r>
        <w:rPr>
          <w:rFonts w:hint="eastAsia" w:ascii="仿宋_GB2312" w:hAnsi="仿宋_GB2312" w:eastAsia="仿宋_GB2312" w:cs="仿宋_GB2312"/>
          <w:spacing w:val="10"/>
          <w:sz w:val="32"/>
          <w:szCs w:val="32"/>
          <w:lang w:val="en-US" w:eastAsia="zh-CN"/>
        </w:rPr>
        <w:t>商协会负责人和企业代表等境外嘉宾21</w:t>
      </w:r>
      <w:r>
        <w:rPr>
          <w:rFonts w:hint="eastAsia" w:ascii="仿宋_GB2312" w:hAnsi="仿宋_GB2312" w:eastAsia="仿宋_GB2312" w:cs="仿宋_GB2312"/>
          <w:spacing w:val="10"/>
          <w:sz w:val="32"/>
          <w:szCs w:val="32"/>
        </w:rPr>
        <w:t>名。</w:t>
      </w:r>
      <w:r>
        <w:rPr>
          <w:rFonts w:hint="eastAsia" w:ascii="仿宋_GB2312" w:hAnsi="仿宋_GB2312" w:eastAsia="仿宋_GB2312" w:cs="仿宋_GB2312"/>
          <w:spacing w:val="10"/>
          <w:sz w:val="32"/>
          <w:szCs w:val="32"/>
          <w:lang w:val="en-US" w:eastAsia="zh-CN"/>
        </w:rPr>
        <w:t>对接会现场共签约项目12个，总金额10.7亿元。</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80" w:firstLineChars="200"/>
        <w:jc w:val="both"/>
        <w:textAlignment w:val="auto"/>
        <w:rPr>
          <w:rFonts w:hint="eastAsia" w:ascii="仿宋_GB2312" w:hAnsi="仿宋_GB2312" w:eastAsia="仿宋_GB2312" w:cs="仿宋_GB2312"/>
          <w:b w:val="0"/>
          <w:bCs w:val="0"/>
          <w:kern w:val="0"/>
          <w:sz w:val="32"/>
          <w:szCs w:val="32"/>
          <w:lang w:eastAsia="zh-CN" w:bidi="ar"/>
        </w:rPr>
      </w:pPr>
      <w:r>
        <w:rPr>
          <w:rFonts w:hint="eastAsia" w:ascii="仿宋_GB2312" w:hAnsi="仿宋_GB2312" w:eastAsia="仿宋_GB2312" w:cs="仿宋_GB2312"/>
          <w:b/>
          <w:bCs/>
          <w:spacing w:val="10"/>
          <w:sz w:val="32"/>
          <w:szCs w:val="32"/>
          <w:lang w:val="en-US" w:eastAsia="zh-CN"/>
        </w:rPr>
        <w:t>2.深度参与RCEP博览会成效显著</w:t>
      </w:r>
      <w:r>
        <w:rPr>
          <w:rFonts w:hint="eastAsia" w:ascii="仿宋_GB2312" w:hAnsi="仿宋_GB2312" w:eastAsia="仿宋_GB2312" w:cs="仿宋_GB2312"/>
          <w:b/>
          <w:bCs/>
          <w:kern w:val="0"/>
          <w:sz w:val="32"/>
          <w:szCs w:val="32"/>
          <w:lang w:eastAsia="zh-CN" w:bidi="ar"/>
        </w:rPr>
        <w:t>。</w:t>
      </w:r>
      <w:r>
        <w:rPr>
          <w:rFonts w:hint="eastAsia" w:ascii="仿宋_GB2312" w:hAnsi="仿宋_GB2312" w:eastAsia="仿宋_GB2312" w:cs="仿宋_GB2312"/>
          <w:b w:val="0"/>
          <w:bCs w:val="0"/>
          <w:kern w:val="0"/>
          <w:sz w:val="32"/>
          <w:szCs w:val="32"/>
          <w:lang w:eastAsia="zh-CN" w:bidi="ar"/>
        </w:rPr>
        <w:t>促成奥普隆公司与马来西亚佑兴隆集团杂交水稻合作，湖南融璟竹叶与泰国湖南怀化总商会进出口贸易，与西日本湖南商会签订友好合作协议。被评为</w:t>
      </w:r>
      <w:r>
        <w:rPr>
          <w:rFonts w:hint="eastAsia" w:ascii="仿宋_GB2312" w:hAnsi="仿宋_GB2312" w:eastAsia="仿宋_GB2312" w:cs="仿宋_GB2312"/>
          <w:b w:val="0"/>
          <w:bCs w:val="0"/>
          <w:kern w:val="0"/>
          <w:sz w:val="32"/>
          <w:szCs w:val="32"/>
          <w:lang w:val="en-US" w:eastAsia="zh-CN" w:bidi="ar"/>
        </w:rPr>
        <w:t>RCEP经贸博览会</w:t>
      </w:r>
      <w:r>
        <w:rPr>
          <w:rFonts w:hint="eastAsia" w:ascii="仿宋_GB2312" w:hAnsi="仿宋_GB2312" w:eastAsia="仿宋_GB2312" w:cs="仿宋_GB2312"/>
          <w:b w:val="0"/>
          <w:bCs w:val="0"/>
          <w:kern w:val="0"/>
          <w:sz w:val="32"/>
          <w:szCs w:val="32"/>
          <w:lang w:eastAsia="zh-CN" w:bidi="ar"/>
        </w:rPr>
        <w:t>筹办工作表现突出先进单位。</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80" w:firstLineChars="200"/>
        <w:jc w:val="both"/>
        <w:textAlignment w:val="auto"/>
        <w:rPr>
          <w:rFonts w:hint="eastAsia" w:ascii="仿宋_GB2312" w:hAnsi="仿宋_GB2312" w:eastAsia="仿宋_GB2312" w:cs="仿宋_GB2312"/>
          <w:b w:val="0"/>
          <w:bCs w:val="0"/>
          <w:kern w:val="0"/>
          <w:sz w:val="32"/>
          <w:szCs w:val="32"/>
          <w:lang w:eastAsia="zh-CN" w:bidi="ar"/>
        </w:rPr>
      </w:pPr>
      <w:r>
        <w:rPr>
          <w:rFonts w:hint="eastAsia" w:ascii="仿宋_GB2312" w:hAnsi="仿宋_GB2312" w:eastAsia="仿宋_GB2312" w:cs="仿宋_GB2312"/>
          <w:b/>
          <w:bCs/>
          <w:spacing w:val="10"/>
          <w:sz w:val="32"/>
          <w:szCs w:val="32"/>
          <w:lang w:val="en-US" w:eastAsia="zh-CN"/>
        </w:rPr>
        <w:t>3.助力“湘品出湘”拓展市场</w:t>
      </w:r>
      <w:r>
        <w:rPr>
          <w:rFonts w:hint="default" w:ascii="仿宋_GB2312" w:hAnsi="仿宋_GB2312" w:eastAsia="仿宋_GB2312" w:cs="仿宋_GB2312"/>
          <w:b/>
          <w:bCs/>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bidi="ar"/>
        </w:rPr>
        <w:t>组织7家企业134款特色产品参加北京</w:t>
      </w:r>
      <w:r>
        <w:rPr>
          <w:rFonts w:hint="default" w:ascii="仿宋_GB2312" w:hAnsi="仿宋_GB2312" w:eastAsia="仿宋_GB2312" w:cs="仿宋_GB2312"/>
          <w:b w:val="0"/>
          <w:bCs w:val="0"/>
          <w:kern w:val="0"/>
          <w:sz w:val="32"/>
          <w:szCs w:val="32"/>
          <w:lang w:val="en-US" w:eastAsia="zh-CN" w:bidi="ar"/>
        </w:rPr>
        <w:t>湘菜湘品文化周</w:t>
      </w:r>
      <w:r>
        <w:rPr>
          <w:rFonts w:hint="eastAsia" w:ascii="仿宋_GB2312" w:hAnsi="仿宋_GB2312" w:eastAsia="仿宋_GB2312" w:cs="仿宋_GB2312"/>
          <w:b w:val="0"/>
          <w:bCs w:val="0"/>
          <w:kern w:val="0"/>
          <w:sz w:val="32"/>
          <w:szCs w:val="32"/>
          <w:lang w:val="en-US" w:eastAsia="zh-CN" w:bidi="ar"/>
        </w:rPr>
        <w:t>活动，促成新晃沛霖龙脑公司在京开设专营直销店，增加1500万销售。促成湖南名堂与北京</w:t>
      </w:r>
      <w:r>
        <w:rPr>
          <w:rFonts w:hint="default" w:ascii="仿宋_GB2312" w:hAnsi="仿宋_GB2312" w:eastAsia="仿宋_GB2312" w:cs="仿宋_GB2312"/>
          <w:b w:val="0"/>
          <w:bCs w:val="0"/>
          <w:kern w:val="0"/>
          <w:sz w:val="32"/>
          <w:szCs w:val="32"/>
          <w:lang w:val="en-US" w:eastAsia="zh-CN" w:bidi="ar"/>
        </w:rPr>
        <w:t>宴</w:t>
      </w:r>
      <w:r>
        <w:rPr>
          <w:rFonts w:hint="eastAsia" w:ascii="仿宋_GB2312" w:hAnsi="仿宋_GB2312" w:eastAsia="仿宋_GB2312" w:cs="仿宋_GB2312"/>
          <w:b w:val="0"/>
          <w:bCs w:val="0"/>
          <w:kern w:val="0"/>
          <w:sz w:val="32"/>
          <w:szCs w:val="32"/>
          <w:lang w:val="en-US" w:eastAsia="zh-CN" w:bidi="ar"/>
        </w:rPr>
        <w:t>等</w:t>
      </w:r>
      <w:r>
        <w:rPr>
          <w:rFonts w:hint="default" w:ascii="仿宋_GB2312" w:hAnsi="仿宋_GB2312" w:eastAsia="仿宋_GB2312" w:cs="仿宋_GB2312"/>
          <w:b w:val="0"/>
          <w:bCs w:val="0"/>
          <w:kern w:val="0"/>
          <w:sz w:val="32"/>
          <w:szCs w:val="32"/>
          <w:lang w:val="en-US" w:eastAsia="zh-CN" w:bidi="ar"/>
        </w:rPr>
        <w:t>北京湘菜品牌店</w:t>
      </w:r>
      <w:r>
        <w:rPr>
          <w:rFonts w:hint="eastAsia" w:ascii="仿宋_GB2312" w:hAnsi="仿宋_GB2312" w:eastAsia="仿宋_GB2312" w:cs="仿宋_GB2312"/>
          <w:b w:val="0"/>
          <w:bCs w:val="0"/>
          <w:kern w:val="0"/>
          <w:sz w:val="32"/>
          <w:szCs w:val="32"/>
          <w:lang w:val="en-US" w:eastAsia="zh-CN" w:bidi="ar"/>
        </w:rPr>
        <w:t>达成腊肉</w:t>
      </w:r>
      <w:r>
        <w:rPr>
          <w:rFonts w:hint="default" w:ascii="仿宋_GB2312" w:hAnsi="仿宋_GB2312" w:eastAsia="仿宋_GB2312" w:cs="仿宋_GB2312"/>
          <w:b w:val="0"/>
          <w:bCs w:val="0"/>
          <w:kern w:val="0"/>
          <w:sz w:val="32"/>
          <w:szCs w:val="32"/>
          <w:lang w:val="en-US" w:eastAsia="zh-CN" w:bidi="ar"/>
        </w:rPr>
        <w:t>销售协议</w:t>
      </w:r>
      <w:r>
        <w:rPr>
          <w:rFonts w:hint="eastAsia" w:ascii="仿宋_GB2312" w:hAnsi="仿宋_GB2312" w:eastAsia="仿宋_GB2312" w:cs="仿宋_GB2312"/>
          <w:b w:val="0"/>
          <w:bCs w:val="0"/>
          <w:kern w:val="0"/>
          <w:sz w:val="32"/>
          <w:szCs w:val="32"/>
          <w:lang w:val="en-US" w:eastAsia="zh-CN" w:bidi="ar"/>
        </w:rPr>
        <w:t>。参会</w:t>
      </w:r>
      <w:r>
        <w:rPr>
          <w:rFonts w:hint="default" w:ascii="仿宋_GB2312" w:hAnsi="仿宋_GB2312" w:eastAsia="仿宋_GB2312" w:cs="仿宋_GB2312"/>
          <w:b w:val="0"/>
          <w:bCs w:val="0"/>
          <w:kern w:val="0"/>
          <w:sz w:val="32"/>
          <w:szCs w:val="32"/>
          <w:lang w:eastAsia="zh-CN" w:bidi="ar"/>
        </w:rPr>
        <w:t>5家企业获省贸促会“湘品进京出海先锋奖”表彰</w:t>
      </w:r>
      <w:r>
        <w:rPr>
          <w:rFonts w:hint="eastAsia" w:ascii="仿宋_GB2312" w:hAnsi="仿宋_GB2312" w:eastAsia="仿宋_GB2312" w:cs="仿宋_GB2312"/>
          <w:b w:val="0"/>
          <w:bCs w:val="0"/>
          <w:kern w:val="0"/>
          <w:sz w:val="32"/>
          <w:szCs w:val="32"/>
          <w:lang w:eastAsia="zh-CN" w:bidi="ar"/>
        </w:rPr>
        <w:t>。</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40" w:firstLineChars="200"/>
        <w:jc w:val="both"/>
        <w:textAlignment w:val="auto"/>
        <w:rPr>
          <w:rFonts w:hint="default" w:ascii="仿宋_GB2312" w:hAnsi="仿宋_GB2312" w:eastAsia="仿宋_GB2312" w:cs="仿宋_GB2312"/>
          <w:b w:val="0"/>
          <w:bCs w:val="0"/>
          <w:kern w:val="0"/>
          <w:sz w:val="32"/>
          <w:szCs w:val="32"/>
          <w:lang w:val="en-US" w:eastAsia="zh-CN" w:bidi="ar"/>
        </w:rPr>
      </w:pPr>
      <w:r>
        <w:rPr>
          <w:rFonts w:hint="eastAsia" w:ascii="仿宋_GB2312" w:hAnsi="仿宋_GB2312" w:eastAsia="仿宋_GB2312" w:cs="仿宋_GB2312"/>
          <w:b/>
          <w:bCs/>
          <w:i w:val="0"/>
          <w:caps w:val="0"/>
          <w:color w:val="000000"/>
          <w:spacing w:val="0"/>
          <w:sz w:val="32"/>
          <w:szCs w:val="32"/>
          <w:lang w:val="en-US" w:eastAsia="zh-CN"/>
        </w:rPr>
        <w:t>4.参展服务精准有力</w:t>
      </w:r>
      <w:r>
        <w:rPr>
          <w:rFonts w:hint="eastAsia" w:ascii="仿宋_GB2312" w:hAnsi="仿宋_GB2312" w:eastAsia="仿宋_GB2312" w:cs="仿宋_GB2312"/>
          <w:b/>
          <w:bCs/>
          <w:kern w:val="0"/>
          <w:sz w:val="32"/>
          <w:szCs w:val="32"/>
          <w:lang w:val="en-US" w:eastAsia="zh-CN" w:bidi="ar"/>
        </w:rPr>
        <w:t>。</w:t>
      </w:r>
      <w:r>
        <w:rPr>
          <w:rFonts w:hint="eastAsia" w:ascii="仿宋_GB2312" w:hAnsi="仿宋_GB2312" w:eastAsia="仿宋_GB2312" w:cs="仿宋_GB2312"/>
          <w:b w:val="0"/>
          <w:bCs w:val="0"/>
          <w:kern w:val="0"/>
          <w:sz w:val="32"/>
          <w:szCs w:val="32"/>
          <w:lang w:eastAsia="zh-CN" w:bidi="ar"/>
        </w:rPr>
        <w:t>结合我市实际，精编</w:t>
      </w:r>
      <w:r>
        <w:rPr>
          <w:rFonts w:hint="default" w:ascii="仿宋_GB2312" w:hAnsi="仿宋_GB2312" w:eastAsia="仿宋_GB2312" w:cs="仿宋_GB2312"/>
          <w:b w:val="0"/>
          <w:bCs w:val="0"/>
          <w:kern w:val="0"/>
          <w:sz w:val="32"/>
          <w:szCs w:val="32"/>
          <w:lang w:eastAsia="zh-CN" w:bidi="ar"/>
        </w:rPr>
        <w:t>2025年展会</w:t>
      </w:r>
      <w:r>
        <w:rPr>
          <w:rFonts w:hint="eastAsia" w:ascii="仿宋_GB2312" w:hAnsi="仿宋_GB2312" w:eastAsia="仿宋_GB2312" w:cs="仿宋_GB2312"/>
          <w:b w:val="0"/>
          <w:bCs w:val="0"/>
          <w:kern w:val="0"/>
          <w:sz w:val="32"/>
          <w:szCs w:val="32"/>
          <w:lang w:eastAsia="zh-CN" w:bidi="ar"/>
        </w:rPr>
        <w:t>工作手册</w:t>
      </w:r>
      <w:r>
        <w:rPr>
          <w:rFonts w:hint="default" w:ascii="仿宋_GB2312" w:hAnsi="仿宋_GB2312" w:eastAsia="仿宋_GB2312" w:cs="仿宋_GB2312"/>
          <w:b w:val="0"/>
          <w:bCs w:val="0"/>
          <w:kern w:val="0"/>
          <w:sz w:val="32"/>
          <w:szCs w:val="32"/>
          <w:lang w:eastAsia="zh-CN" w:bidi="ar"/>
        </w:rPr>
        <w:t>，</w:t>
      </w:r>
      <w:r>
        <w:rPr>
          <w:rFonts w:hint="eastAsia" w:ascii="仿宋_GB2312" w:hAnsi="仿宋_GB2312" w:eastAsia="仿宋_GB2312" w:cs="仿宋_GB2312"/>
          <w:b w:val="0"/>
          <w:bCs w:val="0"/>
          <w:kern w:val="0"/>
          <w:sz w:val="32"/>
          <w:szCs w:val="32"/>
          <w:lang w:eastAsia="zh-CN" w:bidi="ar"/>
        </w:rPr>
        <w:t>印</w:t>
      </w:r>
      <w:r>
        <w:rPr>
          <w:rFonts w:hint="default" w:ascii="仿宋_GB2312" w:hAnsi="仿宋_GB2312" w:eastAsia="仿宋_GB2312" w:cs="仿宋_GB2312"/>
          <w:b w:val="0"/>
          <w:bCs w:val="0"/>
          <w:kern w:val="0"/>
          <w:sz w:val="32"/>
          <w:szCs w:val="32"/>
          <w:lang w:eastAsia="zh-CN" w:bidi="ar"/>
        </w:rPr>
        <w:t>发</w:t>
      </w:r>
      <w:r>
        <w:rPr>
          <w:rFonts w:hint="eastAsia" w:ascii="仿宋_GB2312" w:hAnsi="仿宋_GB2312" w:eastAsia="仿宋_GB2312" w:cs="仿宋_GB2312"/>
          <w:b w:val="0"/>
          <w:bCs w:val="0"/>
          <w:kern w:val="0"/>
          <w:sz w:val="32"/>
          <w:szCs w:val="32"/>
          <w:lang w:val="en-US" w:eastAsia="zh-CN" w:bidi="ar"/>
        </w:rPr>
        <w:t>47家</w:t>
      </w:r>
      <w:r>
        <w:rPr>
          <w:rFonts w:hint="default" w:ascii="仿宋_GB2312" w:hAnsi="仿宋_GB2312" w:eastAsia="仿宋_GB2312" w:cs="仿宋_GB2312"/>
          <w:b w:val="0"/>
          <w:bCs w:val="0"/>
          <w:kern w:val="0"/>
          <w:sz w:val="32"/>
          <w:szCs w:val="32"/>
          <w:lang w:eastAsia="zh-CN" w:bidi="ar"/>
        </w:rPr>
        <w:t>相关企业</w:t>
      </w:r>
      <w:r>
        <w:rPr>
          <w:rFonts w:hint="eastAsia" w:ascii="仿宋_GB2312" w:hAnsi="仿宋_GB2312" w:eastAsia="仿宋_GB2312" w:cs="仿宋_GB2312"/>
          <w:b w:val="0"/>
          <w:bCs w:val="0"/>
          <w:kern w:val="0"/>
          <w:sz w:val="32"/>
          <w:szCs w:val="32"/>
          <w:lang w:eastAsia="zh-CN" w:bidi="ar"/>
        </w:rPr>
        <w:t>。及时发布会展信息，开展会展专题调研，走访 10个县市区37家企业，精准对接企业需求，组织</w:t>
      </w:r>
      <w:r>
        <w:rPr>
          <w:rFonts w:hint="eastAsia" w:ascii="仿宋_GB2312" w:hAnsi="仿宋_GB2312" w:eastAsia="仿宋_GB2312" w:cs="仿宋_GB2312"/>
          <w:b w:val="0"/>
          <w:bCs w:val="0"/>
          <w:kern w:val="0"/>
          <w:sz w:val="32"/>
          <w:szCs w:val="32"/>
          <w:lang w:val="en-US" w:eastAsia="zh-CN" w:bidi="ar"/>
        </w:rPr>
        <w:t>28家</w:t>
      </w:r>
      <w:r>
        <w:rPr>
          <w:rFonts w:hint="eastAsia" w:ascii="仿宋_GB2312" w:hAnsi="仿宋_GB2312" w:eastAsia="仿宋_GB2312" w:cs="仿宋_GB2312"/>
          <w:b w:val="0"/>
          <w:bCs w:val="0"/>
          <w:kern w:val="0"/>
          <w:sz w:val="32"/>
          <w:szCs w:val="32"/>
          <w:lang w:eastAsia="zh-CN" w:bidi="ar"/>
        </w:rPr>
        <w:t>企业</w:t>
      </w:r>
      <w:r>
        <w:rPr>
          <w:rFonts w:hint="eastAsia" w:ascii="仿宋_GB2312" w:hAnsi="仿宋_GB2312" w:eastAsia="仿宋_GB2312" w:cs="仿宋_GB2312"/>
          <w:b w:val="0"/>
          <w:bCs w:val="0"/>
          <w:kern w:val="0"/>
          <w:sz w:val="32"/>
          <w:szCs w:val="32"/>
          <w:lang w:val="en-US" w:eastAsia="zh-CN" w:bidi="ar"/>
        </w:rPr>
        <w:t>参加</w:t>
      </w:r>
      <w:r>
        <w:rPr>
          <w:rFonts w:hint="eastAsia" w:ascii="仿宋_GB2312" w:hAnsi="仿宋_GB2312" w:eastAsia="仿宋_GB2312" w:cs="仿宋_GB2312"/>
          <w:b w:val="0"/>
          <w:bCs w:val="0"/>
          <w:kern w:val="0"/>
          <w:sz w:val="32"/>
          <w:szCs w:val="32"/>
          <w:lang w:eastAsia="zh-CN" w:bidi="ar"/>
        </w:rPr>
        <w:t>境内外展会</w:t>
      </w:r>
      <w:r>
        <w:rPr>
          <w:rFonts w:hint="eastAsia" w:ascii="仿宋_GB2312" w:hAnsi="仿宋_GB2312" w:eastAsia="仿宋_GB2312" w:cs="仿宋_GB2312"/>
          <w:b w:val="0"/>
          <w:bCs w:val="0"/>
          <w:kern w:val="0"/>
          <w:sz w:val="32"/>
          <w:szCs w:val="32"/>
          <w:lang w:val="en-US" w:eastAsia="zh-CN" w:bidi="ar"/>
        </w:rPr>
        <w:t>。</w:t>
      </w:r>
      <w:r>
        <w:rPr>
          <w:rFonts w:hint="default" w:ascii="仿宋_GB2312" w:hAnsi="仿宋_GB2312" w:eastAsia="仿宋_GB2312" w:cs="仿宋_GB2312"/>
          <w:b w:val="0"/>
          <w:bCs w:val="0"/>
          <w:kern w:val="0"/>
          <w:sz w:val="32"/>
          <w:szCs w:val="32"/>
          <w:lang w:val="en-US" w:eastAsia="zh-CN" w:bidi="ar"/>
        </w:rPr>
        <w:t>积极</w:t>
      </w:r>
      <w:r>
        <w:rPr>
          <w:rFonts w:hint="eastAsia" w:ascii="仿宋_GB2312" w:hAnsi="仿宋_GB2312" w:eastAsia="仿宋_GB2312" w:cs="仿宋_GB2312"/>
          <w:b w:val="0"/>
          <w:bCs w:val="0"/>
          <w:kern w:val="0"/>
          <w:sz w:val="32"/>
          <w:szCs w:val="32"/>
          <w:lang w:val="en-US" w:eastAsia="zh-CN" w:bidi="ar"/>
        </w:rPr>
        <w:t>为21</w:t>
      </w:r>
      <w:r>
        <w:rPr>
          <w:rFonts w:hint="default" w:ascii="仿宋_GB2312" w:hAnsi="仿宋_GB2312" w:eastAsia="仿宋_GB2312" w:cs="仿宋_GB2312"/>
          <w:b w:val="0"/>
          <w:bCs w:val="0"/>
          <w:kern w:val="0"/>
          <w:sz w:val="32"/>
          <w:szCs w:val="32"/>
          <w:lang w:val="en-US" w:eastAsia="zh-CN" w:bidi="ar"/>
        </w:rPr>
        <w:t>家企业</w:t>
      </w:r>
      <w:r>
        <w:rPr>
          <w:rFonts w:hint="eastAsia" w:ascii="仿宋_GB2312" w:hAnsi="仿宋_GB2312" w:eastAsia="仿宋_GB2312" w:cs="仿宋_GB2312"/>
          <w:b w:val="0"/>
          <w:bCs w:val="0"/>
          <w:kern w:val="0"/>
          <w:sz w:val="32"/>
          <w:szCs w:val="32"/>
          <w:lang w:val="en-US" w:eastAsia="zh-CN" w:bidi="ar"/>
        </w:rPr>
        <w:t>28</w:t>
      </w:r>
      <w:r>
        <w:rPr>
          <w:rFonts w:hint="default" w:ascii="仿宋_GB2312" w:hAnsi="仿宋_GB2312" w:eastAsia="仿宋_GB2312" w:cs="仿宋_GB2312"/>
          <w:b w:val="0"/>
          <w:bCs w:val="0"/>
          <w:kern w:val="0"/>
          <w:sz w:val="32"/>
          <w:szCs w:val="32"/>
          <w:lang w:val="en-US" w:eastAsia="zh-CN" w:bidi="ar"/>
        </w:rPr>
        <w:t>个参展项目</w:t>
      </w:r>
      <w:r>
        <w:rPr>
          <w:rFonts w:hint="eastAsia" w:ascii="仿宋_GB2312" w:hAnsi="仿宋_GB2312" w:eastAsia="仿宋_GB2312" w:cs="仿宋_GB2312"/>
          <w:b w:val="0"/>
          <w:bCs w:val="0"/>
          <w:kern w:val="0"/>
          <w:sz w:val="32"/>
          <w:szCs w:val="32"/>
          <w:lang w:val="en-US" w:eastAsia="zh-CN" w:bidi="ar"/>
        </w:rPr>
        <w:t>申报参展</w:t>
      </w:r>
      <w:r>
        <w:rPr>
          <w:rFonts w:hint="default" w:ascii="仿宋_GB2312" w:hAnsi="仿宋_GB2312" w:eastAsia="仿宋_GB2312" w:cs="仿宋_GB2312"/>
          <w:b w:val="0"/>
          <w:bCs w:val="0"/>
          <w:kern w:val="0"/>
          <w:sz w:val="32"/>
          <w:szCs w:val="32"/>
          <w:lang w:val="en-US" w:eastAsia="zh-CN" w:bidi="ar"/>
        </w:rPr>
        <w:t>补贴</w:t>
      </w:r>
      <w:r>
        <w:rPr>
          <w:rFonts w:hint="eastAsia" w:ascii="仿宋_GB2312" w:hAnsi="仿宋_GB2312" w:eastAsia="仿宋_GB2312" w:cs="仿宋_GB2312"/>
          <w:b w:val="0"/>
          <w:bCs w:val="0"/>
          <w:kern w:val="0"/>
          <w:sz w:val="32"/>
          <w:szCs w:val="32"/>
          <w:lang w:val="en-US" w:eastAsia="zh-CN" w:bidi="ar"/>
        </w:rPr>
        <w:t>共计136.83</w:t>
      </w:r>
      <w:r>
        <w:rPr>
          <w:rFonts w:hint="default" w:ascii="仿宋_GB2312" w:hAnsi="仿宋_GB2312" w:eastAsia="仿宋_GB2312" w:cs="仿宋_GB2312"/>
          <w:b w:val="0"/>
          <w:bCs w:val="0"/>
          <w:kern w:val="0"/>
          <w:sz w:val="32"/>
          <w:szCs w:val="32"/>
          <w:lang w:val="en-US" w:eastAsia="zh-CN" w:bidi="ar"/>
        </w:rPr>
        <w:t>万元。</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20" w:lineRule="exact"/>
        <w:ind w:left="0" w:leftChars="0" w:right="0" w:rightChars="0" w:firstLine="640" w:firstLineChars="200"/>
        <w:jc w:val="both"/>
        <w:textAlignment w:val="auto"/>
        <w:rPr>
          <w:rFonts w:hint="eastAsia" w:ascii="仿宋_GB2312" w:hAnsi="仿宋_GB2312" w:eastAsia="仿宋_GB2312" w:cs="仿宋_GB2312"/>
          <w:b w:val="0"/>
          <w:bCs w:val="0"/>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5.重点展会收获颇丰。</w:t>
      </w:r>
      <w:r>
        <w:rPr>
          <w:rFonts w:hint="eastAsia" w:ascii="仿宋_GB2312" w:hAnsi="仿宋_GB2312" w:eastAsia="仿宋_GB2312" w:cs="仿宋_GB2312"/>
          <w:b w:val="0"/>
          <w:bCs w:val="0"/>
          <w:kern w:val="0"/>
          <w:sz w:val="32"/>
          <w:szCs w:val="32"/>
          <w:lang w:val="en-US" w:eastAsia="zh-CN" w:bidi="ar"/>
        </w:rPr>
        <w:t>牵头组织9家企业参加香港国际美食茶叶展及招商考察活动，意向采购订单数额超2000万元</w:t>
      </w:r>
      <w:r>
        <w:rPr>
          <w:rFonts w:hint="eastAsia" w:ascii="仿宋_GB2312" w:hAnsi="仿宋_GB2312" w:cs="仿宋_GB2312"/>
          <w:b w:val="0"/>
          <w:bCs w:val="0"/>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bidi="ar"/>
        </w:rPr>
        <w:t>麻阳蓝凤凰公司与环宇发展（香港）公司现场签署6000万元农产品采购协议。市农林集团与香港裕华国货、与印度瑞迪·拉赫马公司分别签订老蔡牛肉、100吨干芡采购协议。</w:t>
      </w:r>
      <w:r>
        <w:rPr>
          <w:rFonts w:hint="default" w:ascii="仿宋_GB2312" w:hAnsi="仿宋_GB2312" w:eastAsia="仿宋_GB2312" w:cs="仿宋_GB2312"/>
          <w:b w:val="0"/>
          <w:bCs w:val="0"/>
          <w:kern w:val="0"/>
          <w:sz w:val="32"/>
          <w:szCs w:val="32"/>
          <w:lang w:val="en-US" w:eastAsia="zh-CN" w:bidi="ar"/>
        </w:rPr>
        <w:t>组织</w:t>
      </w:r>
      <w:r>
        <w:rPr>
          <w:rFonts w:hint="eastAsia" w:ascii="仿宋_GB2312" w:hAnsi="仿宋_GB2312" w:eastAsia="仿宋_GB2312" w:cs="仿宋_GB2312"/>
          <w:b w:val="0"/>
          <w:bCs w:val="0"/>
          <w:kern w:val="0"/>
          <w:sz w:val="32"/>
          <w:szCs w:val="32"/>
          <w:lang w:val="en-US" w:eastAsia="zh-CN" w:bidi="ar"/>
        </w:rPr>
        <w:t>7</w:t>
      </w:r>
      <w:r>
        <w:rPr>
          <w:rFonts w:hint="default" w:ascii="仿宋_GB2312" w:hAnsi="仿宋_GB2312" w:eastAsia="仿宋_GB2312" w:cs="仿宋_GB2312"/>
          <w:b w:val="0"/>
          <w:bCs w:val="0"/>
          <w:kern w:val="0"/>
          <w:sz w:val="32"/>
          <w:szCs w:val="32"/>
          <w:lang w:val="en-US" w:eastAsia="zh-CN" w:bidi="ar"/>
        </w:rPr>
        <w:t>家企业</w:t>
      </w:r>
      <w:r>
        <w:rPr>
          <w:rFonts w:hint="eastAsia" w:ascii="仿宋_GB2312" w:hAnsi="仿宋_GB2312" w:eastAsia="仿宋_GB2312" w:cs="仿宋_GB2312"/>
          <w:b w:val="0"/>
          <w:bCs w:val="0"/>
          <w:kern w:val="0"/>
          <w:sz w:val="32"/>
          <w:szCs w:val="32"/>
          <w:lang w:val="en-US" w:eastAsia="zh-CN" w:bidi="ar"/>
        </w:rPr>
        <w:t>参加</w:t>
      </w:r>
      <w:r>
        <w:rPr>
          <w:rFonts w:hint="default" w:ascii="仿宋_GB2312" w:hAnsi="仿宋_GB2312" w:eastAsia="仿宋_GB2312" w:cs="仿宋_GB2312"/>
          <w:b w:val="0"/>
          <w:bCs w:val="0"/>
          <w:kern w:val="0"/>
          <w:sz w:val="32"/>
          <w:szCs w:val="32"/>
          <w:lang w:val="en-US" w:eastAsia="zh-CN" w:bidi="ar"/>
        </w:rPr>
        <w:t>中国</w:t>
      </w:r>
      <w:r>
        <w:rPr>
          <w:rFonts w:hint="eastAsia" w:ascii="仿宋_GB2312" w:hAnsi="仿宋_GB2312" w:eastAsia="仿宋_GB2312" w:cs="仿宋_GB2312"/>
          <w:b w:val="0"/>
          <w:bCs w:val="0"/>
          <w:kern w:val="0"/>
          <w:sz w:val="32"/>
          <w:szCs w:val="32"/>
          <w:lang w:val="en-US" w:eastAsia="zh-CN" w:bidi="ar"/>
        </w:rPr>
        <w:t>（海南）</w:t>
      </w:r>
      <w:r>
        <w:rPr>
          <w:rFonts w:hint="default" w:ascii="仿宋_GB2312" w:hAnsi="仿宋_GB2312" w:eastAsia="仿宋_GB2312" w:cs="仿宋_GB2312"/>
          <w:b w:val="0"/>
          <w:bCs w:val="0"/>
          <w:kern w:val="0"/>
          <w:sz w:val="32"/>
          <w:szCs w:val="32"/>
          <w:lang w:val="en-US" w:eastAsia="zh-CN" w:bidi="ar"/>
        </w:rPr>
        <w:t>国际消费品博览会</w:t>
      </w:r>
      <w:r>
        <w:rPr>
          <w:rFonts w:hint="eastAsia" w:ascii="仿宋_GB2312" w:hAnsi="仿宋_GB2312" w:eastAsia="仿宋_GB2312" w:cs="仿宋_GB2312"/>
          <w:b w:val="0"/>
          <w:bCs w:val="0"/>
          <w:kern w:val="0"/>
          <w:sz w:val="32"/>
          <w:szCs w:val="32"/>
          <w:lang w:val="en-US" w:eastAsia="zh-CN" w:bidi="ar"/>
        </w:rPr>
        <w:t>，</w:t>
      </w:r>
      <w:r>
        <w:rPr>
          <w:rFonts w:hint="default" w:ascii="仿宋_GB2312" w:hAnsi="仿宋_GB2312" w:eastAsia="仿宋_GB2312" w:cs="仿宋_GB2312"/>
          <w:b w:val="0"/>
          <w:bCs w:val="0"/>
          <w:kern w:val="0"/>
          <w:sz w:val="32"/>
          <w:szCs w:val="32"/>
          <w:lang w:val="en-US" w:eastAsia="zh-CN" w:bidi="ar"/>
        </w:rPr>
        <w:t>现场销售额20</w:t>
      </w:r>
      <w:r>
        <w:rPr>
          <w:rFonts w:hint="eastAsia" w:ascii="仿宋_GB2312" w:hAnsi="仿宋_GB2312" w:eastAsia="仿宋_GB2312" w:cs="仿宋_GB2312"/>
          <w:b w:val="0"/>
          <w:bCs w:val="0"/>
          <w:kern w:val="0"/>
          <w:sz w:val="32"/>
          <w:szCs w:val="32"/>
          <w:lang w:val="en-US" w:eastAsia="zh-CN" w:bidi="ar"/>
        </w:rPr>
        <w:t>余</w:t>
      </w:r>
      <w:r>
        <w:rPr>
          <w:rFonts w:hint="default" w:ascii="仿宋_GB2312" w:hAnsi="仿宋_GB2312" w:eastAsia="仿宋_GB2312" w:cs="仿宋_GB2312"/>
          <w:b w:val="0"/>
          <w:bCs w:val="0"/>
          <w:kern w:val="0"/>
          <w:sz w:val="32"/>
          <w:szCs w:val="32"/>
          <w:lang w:val="en-US" w:eastAsia="zh-CN" w:bidi="ar"/>
        </w:rPr>
        <w:t>万元，吸引1200余人次洽谈咨询</w:t>
      </w:r>
      <w:r>
        <w:rPr>
          <w:rFonts w:hint="eastAsia" w:ascii="仿宋_GB2312" w:hAnsi="仿宋_GB2312" w:eastAsia="仿宋_GB2312" w:cs="仿宋_GB2312"/>
          <w:b w:val="0"/>
          <w:bCs w:val="0"/>
          <w:kern w:val="0"/>
          <w:sz w:val="32"/>
          <w:szCs w:val="32"/>
          <w:lang w:val="en-US" w:eastAsia="zh-CN" w:bidi="ar"/>
        </w:rPr>
        <w:t>，3家达成合作意向，其中</w:t>
      </w:r>
      <w:r>
        <w:rPr>
          <w:rFonts w:hint="default" w:ascii="仿宋_GB2312" w:hAnsi="仿宋_GB2312" w:eastAsia="仿宋_GB2312" w:cs="仿宋_GB2312"/>
          <w:b w:val="0"/>
          <w:bCs w:val="0"/>
          <w:kern w:val="0"/>
          <w:sz w:val="32"/>
          <w:szCs w:val="32"/>
          <w:lang w:val="en-US" w:eastAsia="zh-CN" w:bidi="ar"/>
        </w:rPr>
        <w:t>金硕公司与海南广福油脂公司签署5000万元合作协议</w:t>
      </w:r>
      <w:r>
        <w:rPr>
          <w:rFonts w:hint="eastAsia" w:ascii="仿宋_GB2312" w:hAnsi="仿宋_GB2312" w:eastAsia="仿宋_GB2312" w:cs="仿宋_GB2312"/>
          <w:b w:val="0"/>
          <w:bCs w:val="0"/>
          <w:kern w:val="0"/>
          <w:sz w:val="32"/>
          <w:szCs w:val="32"/>
          <w:lang w:val="en-US" w:eastAsia="zh-CN" w:bidi="ar"/>
        </w:rPr>
        <w:t>。</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6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0"/>
          <w:sz w:val="32"/>
          <w:szCs w:val="32"/>
          <w:lang w:val="en-US" w:eastAsia="zh-CN" w:bidi="ar"/>
        </w:rPr>
        <w:t>6.招商引资主动出击</w:t>
      </w:r>
      <w:r>
        <w:rPr>
          <w:rFonts w:hint="eastAsia" w:ascii="仿宋_GB2312" w:hAnsi="仿宋_GB2312" w:eastAsia="仿宋_GB2312" w:cs="仿宋_GB2312"/>
          <w:b/>
          <w:bCs/>
          <w:kern w:val="0"/>
          <w:sz w:val="32"/>
          <w:szCs w:val="32"/>
          <w:lang w:eastAsia="zh-CN" w:bidi="ar"/>
        </w:rPr>
        <w:t>。</w:t>
      </w:r>
      <w:r>
        <w:rPr>
          <w:rFonts w:hint="eastAsia" w:ascii="仿宋_GB2312" w:hAnsi="仿宋_GB2312" w:eastAsia="仿宋_GB2312" w:cs="仿宋_GB2312"/>
          <w:b w:val="0"/>
          <w:bCs w:val="0"/>
          <w:kern w:val="0"/>
          <w:sz w:val="32"/>
          <w:szCs w:val="32"/>
          <w:lang w:val="en-US" w:eastAsia="zh-CN" w:bidi="ar"/>
        </w:rPr>
        <w:t>联合</w:t>
      </w:r>
      <w:r>
        <w:rPr>
          <w:rFonts w:hint="eastAsia" w:ascii="仿宋_GB2312" w:hAnsi="仿宋_GB2312" w:eastAsia="仿宋_GB2312" w:cs="仿宋_GB2312"/>
          <w:b w:val="0"/>
          <w:bCs w:val="0"/>
          <w:kern w:val="0"/>
          <w:sz w:val="32"/>
          <w:szCs w:val="32"/>
          <w:lang w:eastAsia="zh-CN" w:bidi="ar"/>
        </w:rPr>
        <w:t>市驻大湾区招商办、怀化高新区等赴广州、深圳开展招商，对接广州狮岭皮革皮具协会、深圳湖南商会等4家商协会，实地考察5家高新技术企业，</w:t>
      </w:r>
      <w:r>
        <w:rPr>
          <w:rFonts w:hint="eastAsia" w:ascii="仿宋_GB2312" w:hAnsi="仿宋_GB2312" w:eastAsia="仿宋_GB2312" w:cs="仿宋_GB2312"/>
          <w:sz w:val="32"/>
          <w:szCs w:val="32"/>
          <w:lang w:eastAsia="zh-CN"/>
        </w:rPr>
        <w:t>初步达成投资合作意向。</w:t>
      </w:r>
      <w:r>
        <w:rPr>
          <w:rFonts w:hint="eastAsia" w:ascii="仿宋_GB2312" w:hAnsi="仿宋_GB2312" w:eastAsia="仿宋_GB2312" w:cs="仿宋_GB2312"/>
          <w:sz w:val="32"/>
          <w:szCs w:val="32"/>
          <w:lang w:val="en-US" w:eastAsia="zh-CN"/>
        </w:rPr>
        <w:t>带领7家企业前往昆明、长沙等地开展冷链、物流和竹产业链经贸对接活动。</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firstLine="640" w:firstLineChars="200"/>
        <w:jc w:val="both"/>
        <w:textAlignment w:val="auto"/>
        <w:rPr>
          <w:rFonts w:hint="default" w:ascii="仿宋_GB2312" w:hAnsi="仿宋_GB2312" w:eastAsia="仿宋_GB2312" w:cs="仿宋_GB2312"/>
          <w:b w:val="0"/>
          <w:bCs w:val="0"/>
          <w:kern w:val="0"/>
          <w:sz w:val="32"/>
          <w:szCs w:val="32"/>
          <w:lang w:val="en-US" w:eastAsia="zh-CN" w:bidi="ar"/>
        </w:rPr>
      </w:pPr>
      <w:r>
        <w:rPr>
          <w:rFonts w:hint="eastAsia" w:ascii="仿宋_GB2312" w:hAnsi="仿宋_GB2312" w:eastAsia="仿宋_GB2312" w:cs="仿宋_GB2312"/>
          <w:b/>
          <w:bCs/>
          <w:kern w:val="0"/>
          <w:sz w:val="32"/>
          <w:szCs w:val="32"/>
          <w:lang w:val="en-US" w:eastAsia="zh-CN" w:bidi="ar"/>
        </w:rPr>
        <w:t>7.新兴市场开拓取得进展。</w:t>
      </w:r>
      <w:r>
        <w:rPr>
          <w:rFonts w:hint="default" w:ascii="仿宋_GB2312" w:hAnsi="仿宋_GB2312" w:eastAsia="仿宋_GB2312" w:cs="仿宋_GB2312"/>
          <w:b w:val="0"/>
          <w:bCs w:val="0"/>
          <w:kern w:val="0"/>
          <w:sz w:val="32"/>
          <w:szCs w:val="32"/>
          <w:lang w:val="en-US" w:eastAsia="zh-CN" w:bidi="ar"/>
        </w:rPr>
        <w:t>参加湖南省非洲经贸考察团，与埃及、肯尼亚</w:t>
      </w:r>
      <w:r>
        <w:rPr>
          <w:rFonts w:hint="eastAsia" w:ascii="仿宋_GB2312" w:hAnsi="仿宋_GB2312" w:eastAsia="仿宋_GB2312" w:cs="仿宋_GB2312"/>
          <w:b w:val="0"/>
          <w:bCs w:val="0"/>
          <w:kern w:val="0"/>
          <w:sz w:val="32"/>
          <w:szCs w:val="32"/>
          <w:lang w:val="en-US" w:eastAsia="zh-CN" w:bidi="ar"/>
        </w:rPr>
        <w:t>等国</w:t>
      </w:r>
      <w:r>
        <w:rPr>
          <w:rFonts w:hint="default" w:ascii="仿宋_GB2312" w:hAnsi="仿宋_GB2312" w:eastAsia="仿宋_GB2312" w:cs="仿宋_GB2312"/>
          <w:b w:val="0"/>
          <w:bCs w:val="0"/>
          <w:kern w:val="0"/>
          <w:sz w:val="32"/>
          <w:szCs w:val="32"/>
          <w:lang w:val="en-US" w:eastAsia="zh-CN" w:bidi="ar"/>
        </w:rPr>
        <w:t>贸易投资促进机构、工商协会、产业园区进行深度对接，与肯尼亚湖南商会签订合作协议</w:t>
      </w:r>
      <w:r>
        <w:rPr>
          <w:rFonts w:hint="eastAsia" w:ascii="仿宋_GB2312" w:hAnsi="仿宋_GB2312" w:eastAsia="仿宋_GB2312" w:cs="仿宋_GB2312"/>
          <w:b w:val="0"/>
          <w:bCs w:val="0"/>
          <w:kern w:val="0"/>
          <w:sz w:val="32"/>
          <w:szCs w:val="32"/>
          <w:lang w:val="en-US" w:eastAsia="zh-CN" w:bidi="ar"/>
        </w:rPr>
        <w:t>。在</w:t>
      </w:r>
      <w:r>
        <w:rPr>
          <w:rFonts w:hint="default" w:ascii="仿宋_GB2312" w:hAnsi="仿宋_GB2312" w:eastAsia="仿宋_GB2312" w:cs="仿宋_GB2312"/>
          <w:b w:val="0"/>
          <w:bCs w:val="0"/>
          <w:kern w:val="0"/>
          <w:sz w:val="32"/>
          <w:szCs w:val="32"/>
          <w:lang w:val="en-US" w:eastAsia="zh-CN" w:bidi="ar"/>
        </w:rPr>
        <w:t>湖南-埃及线上线下经贸对接会</w:t>
      </w:r>
      <w:r>
        <w:rPr>
          <w:rFonts w:hint="eastAsia" w:ascii="仿宋_GB2312" w:hAnsi="仿宋_GB2312" w:eastAsia="仿宋_GB2312" w:cs="仿宋_GB2312"/>
          <w:b w:val="0"/>
          <w:bCs w:val="0"/>
          <w:kern w:val="0"/>
          <w:sz w:val="32"/>
          <w:szCs w:val="32"/>
          <w:lang w:val="en-US" w:eastAsia="zh-CN" w:bidi="ar"/>
        </w:rPr>
        <w:t>上</w:t>
      </w:r>
      <w:r>
        <w:rPr>
          <w:rFonts w:hint="default" w:ascii="仿宋_GB2312" w:hAnsi="仿宋_GB2312" w:eastAsia="仿宋_GB2312" w:cs="仿宋_GB2312"/>
          <w:b w:val="0"/>
          <w:bCs w:val="0"/>
          <w:kern w:val="0"/>
          <w:sz w:val="32"/>
          <w:szCs w:val="32"/>
          <w:lang w:val="en-US" w:eastAsia="zh-CN" w:bidi="ar"/>
        </w:rPr>
        <w:t>，</w:t>
      </w:r>
      <w:r>
        <w:rPr>
          <w:rFonts w:hint="eastAsia" w:ascii="仿宋_GB2312" w:hAnsi="仿宋_GB2312" w:eastAsia="仿宋_GB2312" w:cs="仿宋_GB2312"/>
          <w:b w:val="0"/>
          <w:bCs w:val="0"/>
          <w:kern w:val="0"/>
          <w:sz w:val="32"/>
          <w:szCs w:val="32"/>
          <w:lang w:val="en-US" w:eastAsia="zh-CN" w:bidi="ar"/>
        </w:rPr>
        <w:t>促成我市</w:t>
      </w:r>
      <w:r>
        <w:rPr>
          <w:rFonts w:hint="default" w:ascii="仿宋_GB2312" w:hAnsi="仿宋_GB2312" w:eastAsia="仿宋_GB2312" w:cs="仿宋_GB2312"/>
          <w:b w:val="0"/>
          <w:bCs w:val="0"/>
          <w:kern w:val="0"/>
          <w:sz w:val="32"/>
          <w:szCs w:val="32"/>
          <w:lang w:val="en-US" w:eastAsia="zh-CN" w:bidi="ar"/>
        </w:rPr>
        <w:t>湖南康瑞涂料公司</w:t>
      </w:r>
      <w:r>
        <w:rPr>
          <w:rFonts w:hint="eastAsia" w:ascii="仿宋_GB2312" w:hAnsi="仿宋_GB2312" w:eastAsia="仿宋_GB2312" w:cs="仿宋_GB2312"/>
          <w:b w:val="0"/>
          <w:bCs w:val="0"/>
          <w:kern w:val="0"/>
          <w:sz w:val="32"/>
          <w:szCs w:val="32"/>
          <w:lang w:val="en-US" w:eastAsia="zh-CN" w:bidi="ar"/>
        </w:rPr>
        <w:t>与埃及企业的贸易出口合作</w:t>
      </w:r>
      <w:r>
        <w:rPr>
          <w:rFonts w:hint="default" w:ascii="仿宋_GB2312" w:hAnsi="仿宋_GB2312" w:eastAsia="仿宋_GB2312" w:cs="仿宋_GB2312"/>
          <w:b w:val="0"/>
          <w:bCs w:val="0"/>
          <w:kern w:val="0"/>
          <w:sz w:val="32"/>
          <w:szCs w:val="32"/>
          <w:lang w:val="en-US" w:eastAsia="zh-CN" w:bidi="ar"/>
        </w:rPr>
        <w:t>。</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40" w:lineRule="exact"/>
        <w:ind w:left="0" w:leftChars="0" w:right="0" w:rightChars="0" w:firstLine="640" w:firstLineChars="200"/>
        <w:jc w:val="both"/>
        <w:textAlignment w:val="auto"/>
        <w:rPr>
          <w:rFonts w:hint="default" w:ascii="仿宋_GB2312" w:hAnsi="仿宋_GB2312" w:eastAsia="仿宋_GB2312" w:cs="仿宋_GB2312"/>
          <w:b w:val="0"/>
          <w:bCs w:val="0"/>
          <w:kern w:val="0"/>
          <w:sz w:val="32"/>
          <w:szCs w:val="32"/>
          <w:lang w:val="en" w:eastAsia="zh-CN" w:bidi="ar"/>
        </w:rPr>
      </w:pPr>
      <w:r>
        <w:rPr>
          <w:rFonts w:hint="eastAsia" w:ascii="仿宋_GB2312" w:hAnsi="仿宋_GB2312" w:eastAsia="仿宋_GB2312" w:cs="仿宋_GB2312"/>
          <w:b/>
          <w:bCs/>
          <w:kern w:val="0"/>
          <w:sz w:val="32"/>
          <w:szCs w:val="32"/>
          <w:lang w:val="en-US" w:eastAsia="zh-CN" w:bidi="ar"/>
        </w:rPr>
        <w:t>8.商协会纽带作用持续增强。</w:t>
      </w:r>
      <w:r>
        <w:rPr>
          <w:rFonts w:hint="eastAsia" w:ascii="仿宋_GB2312" w:hAnsi="仿宋_GB2312" w:eastAsia="仿宋_GB2312" w:cs="仿宋_GB2312"/>
          <w:b w:val="0"/>
          <w:bCs w:val="0"/>
          <w:kern w:val="0"/>
          <w:sz w:val="32"/>
          <w:szCs w:val="32"/>
          <w:lang w:val="en-US" w:eastAsia="zh-CN" w:bidi="ar"/>
        </w:rPr>
        <w:t>密切与境外商协会合作，接待境外商协会代表团来访10批次35人。积极与</w:t>
      </w:r>
      <w:r>
        <w:rPr>
          <w:rFonts w:hint="eastAsia" w:ascii="仿宋_GB2312" w:hAnsi="仿宋_GB2312" w:eastAsia="仿宋_GB2312" w:cs="仿宋_GB2312"/>
          <w:spacing w:val="10"/>
          <w:sz w:val="32"/>
          <w:szCs w:val="32"/>
          <w:lang w:val="en-US" w:eastAsia="zh-CN"/>
        </w:rPr>
        <w:t>缅甸、老挝、越南、泰国、菲律宾</w:t>
      </w:r>
      <w:r>
        <w:rPr>
          <w:rFonts w:hint="eastAsia" w:ascii="仿宋_GB2312" w:hAnsi="仿宋_GB2312" w:eastAsia="仿宋_GB2312" w:cs="仿宋_GB2312"/>
          <w:b w:val="0"/>
          <w:bCs w:val="0"/>
          <w:kern w:val="0"/>
          <w:sz w:val="32"/>
          <w:szCs w:val="32"/>
          <w:lang w:val="en-US" w:eastAsia="zh-CN" w:bidi="ar"/>
        </w:rPr>
        <w:t>商协会代表和企业开展国际经贸交流，促成我市企业与东盟国家企业在国际贸易、跨境电商、跨境物流等领域多项经贸合作，帮助怀化企业开拓东盟市场。同时，邀请南宁怀化商会、昆明怀化商会等境内商协会开展进出口贸易和投资项目对接。</w:t>
      </w:r>
      <w:r>
        <w:rPr>
          <w:rFonts w:hint="default" w:ascii="仿宋_GB2312" w:hAnsi="仿宋_GB2312" w:eastAsia="仿宋_GB2312" w:cs="仿宋_GB2312"/>
          <w:b w:val="0"/>
          <w:bCs w:val="0"/>
          <w:kern w:val="0"/>
          <w:sz w:val="32"/>
          <w:szCs w:val="32"/>
          <w:lang w:val="en" w:eastAsia="zh-CN" w:bidi="ar"/>
        </w:rPr>
        <w:t>积极参加陆海新通道国际工商会联盟活动。</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0"/>
          <w:sz w:val="32"/>
          <w:szCs w:val="32"/>
          <w:lang w:val="en-US" w:eastAsia="zh-CN" w:bidi="ar"/>
        </w:rPr>
        <w:t>9</w:t>
      </w:r>
      <w:r>
        <w:rPr>
          <w:rFonts w:hint="default" w:ascii="仿宋_GB2312" w:hAnsi="仿宋_GB2312" w:eastAsia="仿宋_GB2312" w:cs="仿宋_GB2312"/>
          <w:b/>
          <w:bCs/>
          <w:kern w:val="0"/>
          <w:sz w:val="32"/>
          <w:szCs w:val="32"/>
          <w:lang w:val="en" w:eastAsia="zh-CN" w:bidi="ar"/>
        </w:rPr>
        <w:t>.高端经贸平台积极参与</w:t>
      </w:r>
      <w:r>
        <w:rPr>
          <w:rFonts w:hint="eastAsia" w:ascii="仿宋_GB2312" w:hAnsi="仿宋_GB2312" w:eastAsia="仿宋_GB2312" w:cs="仿宋_GB2312"/>
          <w:b/>
          <w:bCs/>
          <w:kern w:val="0"/>
          <w:sz w:val="32"/>
          <w:szCs w:val="32"/>
          <w:lang w:val="en" w:eastAsia="zh-CN" w:bidi="ar"/>
        </w:rPr>
        <w:t>。</w:t>
      </w:r>
      <w:r>
        <w:rPr>
          <w:rFonts w:hint="eastAsia" w:ascii="仿宋_GB2312" w:hAnsi="仿宋_GB2312" w:eastAsia="仿宋_GB2312" w:cs="仿宋_GB2312"/>
          <w:b w:val="0"/>
          <w:bCs w:val="0"/>
          <w:kern w:val="0"/>
          <w:sz w:val="32"/>
          <w:szCs w:val="32"/>
          <w:lang w:val="en" w:eastAsia="zh-CN" w:bidi="ar"/>
        </w:rPr>
        <w:t>组织</w:t>
      </w:r>
      <w:r>
        <w:rPr>
          <w:rFonts w:hint="eastAsia" w:ascii="仿宋_GB2312" w:hAnsi="仿宋_GB2312" w:eastAsia="仿宋_GB2312" w:cs="仿宋_GB2312"/>
          <w:b w:val="0"/>
          <w:bCs w:val="0"/>
          <w:kern w:val="0"/>
          <w:sz w:val="32"/>
          <w:szCs w:val="32"/>
          <w:lang w:val="en-US" w:eastAsia="zh-CN" w:bidi="ar"/>
        </w:rPr>
        <w:t>30余家企业参加哈萨克斯坦湖南办事处成立及经贸洽谈会、中国（湖南）国际采购与投资大会、湖南贸易投资促进全球合作伙伴会议、中国供应链促进博览会、中国进口博览会等经贸活动。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firstLineChars="200"/>
        <w:jc w:val="left"/>
        <w:textAlignment w:val="baseline"/>
      </w:pPr>
      <w:r>
        <w:rPr>
          <w:rFonts w:hint="default" w:ascii="仿宋_GB2312" w:hAnsi="仿宋_GB2312" w:eastAsia="仿宋_GB2312" w:cs="仿宋_GB2312"/>
          <w:sz w:val="32"/>
          <w:szCs w:val="32"/>
          <w:lang w:val="en-US" w:eastAsia="zh-CN"/>
        </w:rPr>
        <w:t xml:space="preserve">满意度指标：服务对象满意度调查结果显示，满意度达到 </w:t>
      </w:r>
      <w:r>
        <w:rPr>
          <w:rFonts w:hint="eastAsia" w:ascii="仿宋_GB2312" w:hAnsi="仿宋_GB2312" w:eastAsia="仿宋_GB2312" w:cs="仿宋_GB2312"/>
          <w:sz w:val="32"/>
          <w:szCs w:val="32"/>
          <w:lang w:val="en-US" w:eastAsia="zh-CN"/>
        </w:rPr>
        <w:t>92</w:t>
      </w:r>
      <w:r>
        <w:rPr>
          <w:rFonts w:hint="default" w:ascii="仿宋_GB2312" w:hAnsi="仿宋_GB2312" w:eastAsia="仿宋_GB2312" w:cs="仿宋_GB2312"/>
          <w:sz w:val="32"/>
          <w:szCs w:val="32"/>
          <w:lang w:val="en-US" w:eastAsia="zh-CN"/>
        </w:rPr>
        <w:t>%，表明</w:t>
      </w:r>
      <w:r>
        <w:rPr>
          <w:rFonts w:hint="eastAsia" w:ascii="仿宋_GB2312" w:hAnsi="仿宋_GB2312" w:eastAsia="仿宋_GB2312" w:cs="仿宋_GB2312"/>
          <w:sz w:val="32"/>
          <w:szCs w:val="32"/>
          <w:lang w:val="en-US" w:eastAsia="zh-CN"/>
        </w:rPr>
        <w:t>工作</w:t>
      </w:r>
      <w:r>
        <w:rPr>
          <w:rFonts w:hint="default" w:ascii="仿宋_GB2312" w:hAnsi="仿宋_GB2312" w:eastAsia="仿宋_GB2312" w:cs="仿宋_GB2312"/>
          <w:sz w:val="32"/>
          <w:szCs w:val="32"/>
          <w:lang w:val="en-US" w:eastAsia="zh-CN"/>
        </w:rPr>
        <w:t>得到了服务对象的认可。</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（二）政府性基金预算</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2025年无政府性基金预算。</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（三）国有资本经营预算</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2025年无国有资本经营预算。</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（四）社会保险基金预算</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2025年无社会保险基金预算。</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lang w:val="en-US" w:eastAsia="zh-CN"/>
        </w:rPr>
      </w:pPr>
      <w:r>
        <w:rPr>
          <w:rFonts w:hint="eastAsia" w:ascii="Times New Roman Regular" w:hAnsi="Times New Roman Regular" w:eastAsia="仿宋_GB2312" w:cs="Times New Roman Regular"/>
          <w:color w:val="auto"/>
          <w:sz w:val="32"/>
          <w:szCs w:val="32"/>
          <w:highlight w:val="none"/>
          <w:lang w:val="en-US" w:eastAsia="zh-CN"/>
        </w:rPr>
        <w:t>综上所述，2025年怀化市贸促会</w:t>
      </w:r>
      <w:r>
        <w:rPr>
          <w:rFonts w:hint="default" w:ascii="Times New Roman Regular" w:hAnsi="Times New Roman Regular" w:eastAsia="仿宋_GB2312" w:cs="Times New Roman Regular"/>
          <w:color w:val="auto"/>
          <w:sz w:val="32"/>
          <w:szCs w:val="32"/>
          <w:highlight w:val="none"/>
          <w:lang w:val="en-US" w:eastAsia="zh-CN"/>
        </w:rPr>
        <w:t>整体绩效</w:t>
      </w:r>
      <w:r>
        <w:rPr>
          <w:rFonts w:hint="eastAsia" w:ascii="Times New Roman Regular" w:hAnsi="Times New Roman Regular" w:eastAsia="仿宋_GB2312" w:cs="Times New Roman Regular"/>
          <w:color w:val="auto"/>
          <w:sz w:val="32"/>
          <w:szCs w:val="32"/>
          <w:highlight w:val="none"/>
          <w:lang w:val="en-US" w:eastAsia="zh-CN"/>
        </w:rPr>
        <w:t>符合预期</w:t>
      </w:r>
      <w:r>
        <w:rPr>
          <w:rFonts w:hint="default" w:ascii="Times New Roman Regular" w:hAnsi="Times New Roman Regular" w:eastAsia="仿宋_GB2312" w:cs="Times New Roman Regular"/>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九、存在的问题及原因分析</w:t>
      </w:r>
    </w:p>
    <w:p>
      <w:pPr>
        <w:widowControl/>
        <w:shd w:val="clear" w:color="auto" w:fill="FFFFFF"/>
        <w:spacing w:line="600" w:lineRule="atLeast"/>
        <w:ind w:firstLine="640"/>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2025年市贸促会</w:t>
      </w:r>
      <w:r>
        <w:rPr>
          <w:rFonts w:hint="default" w:ascii="Times New Roman Regular" w:hAnsi="Times New Roman Regular" w:eastAsia="仿宋_GB2312" w:cs="Times New Roman Regular"/>
          <w:color w:val="auto"/>
          <w:sz w:val="32"/>
          <w:szCs w:val="32"/>
          <w:highlight w:val="none"/>
          <w:lang w:val="en-US" w:eastAsia="zh-CN"/>
        </w:rPr>
        <w:t>预算支出执行</w:t>
      </w:r>
      <w:r>
        <w:rPr>
          <w:rFonts w:hint="eastAsia" w:ascii="Times New Roman Regular" w:hAnsi="Times New Roman Regular" w:eastAsia="仿宋_GB2312" w:cs="Times New Roman Regular"/>
          <w:color w:val="auto"/>
          <w:sz w:val="32"/>
          <w:szCs w:val="32"/>
          <w:highlight w:val="none"/>
          <w:lang w:val="en-US" w:eastAsia="zh-CN"/>
        </w:rPr>
        <w:t>不存在</w:t>
      </w:r>
      <w:r>
        <w:rPr>
          <w:rFonts w:hint="default" w:ascii="Times New Roman Regular" w:hAnsi="Times New Roman Regular" w:eastAsia="仿宋_GB2312" w:cs="Times New Roman Regular"/>
          <w:color w:val="auto"/>
          <w:sz w:val="32"/>
          <w:szCs w:val="32"/>
          <w:highlight w:val="none"/>
          <w:lang w:val="en-US" w:eastAsia="zh-CN"/>
        </w:rPr>
        <w:t>偏离绩效目标的情况。</w:t>
      </w:r>
      <w:r>
        <w:rPr>
          <w:rFonts w:hint="eastAsia" w:ascii="Times New Roman Regular" w:hAnsi="Times New Roman Regular" w:eastAsia="仿宋_GB2312" w:cs="Times New Roman Regular"/>
          <w:color w:val="auto"/>
          <w:sz w:val="32"/>
          <w:szCs w:val="32"/>
          <w:highlight w:val="none"/>
          <w:lang w:val="en-US" w:eastAsia="zh-CN"/>
        </w:rPr>
        <w:t>但是存在资金较少不能满足工作开展的情况。比如：</w:t>
      </w:r>
      <w:r>
        <w:rPr>
          <w:rFonts w:hint="eastAsia" w:ascii="仿宋_GB2312" w:hAnsi="仿宋_GB2312" w:eastAsia="仿宋_GB2312" w:cs="仿宋_GB2312"/>
          <w:spacing w:val="-2"/>
          <w:sz w:val="32"/>
          <w:szCs w:val="32"/>
          <w:lang w:val="en-US" w:eastAsia="zh-CN"/>
        </w:rPr>
        <w:t>1</w:t>
      </w:r>
      <w:r>
        <w:rPr>
          <w:rFonts w:hint="default"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lang w:val="en-US" w:eastAsia="zh-CN"/>
        </w:rPr>
        <w:t>基本支出预算安排与实际需求存在差异。除基本工资、津补贴、绩效工资以外的人员经费，其他支出存在预算不足</w:t>
      </w:r>
      <w:r>
        <w:rPr>
          <w:rFonts w:hint="default" w:ascii="仿宋_GB2312" w:hAnsi="仿宋_GB2312" w:eastAsia="仿宋_GB2312" w:cs="仿宋_GB2312"/>
          <w:spacing w:val="-2"/>
          <w:sz w:val="32"/>
          <w:szCs w:val="32"/>
          <w:lang w:eastAsia="zh-CN"/>
        </w:rPr>
        <w:t>，</w:t>
      </w:r>
      <w:r>
        <w:rPr>
          <w:rFonts w:hint="eastAsia" w:ascii="仿宋_GB2312" w:hAnsi="仿宋_GB2312" w:eastAsia="仿宋_GB2312" w:cs="仿宋_GB2312"/>
          <w:sz w:val="32"/>
          <w:szCs w:val="32"/>
          <w:lang w:val="en-US" w:eastAsia="zh-CN"/>
        </w:rPr>
        <w:t>公用支出经费预算无法满足全年运转需要</w:t>
      </w:r>
      <w:r>
        <w:rPr>
          <w:rFonts w:hint="default" w:ascii="仿宋_GB2312" w:hAnsi="仿宋_GB2312" w:eastAsia="仿宋_GB2312" w:cs="仿宋_GB2312"/>
          <w:sz w:val="32"/>
          <w:szCs w:val="32"/>
          <w:lang w:eastAsia="zh-CN"/>
        </w:rPr>
        <w:t>。</w:t>
      </w:r>
      <w:r>
        <w:rPr>
          <w:rFonts w:hint="eastAsia" w:ascii="仿宋_GB2312" w:hAnsi="仿宋_GB2312" w:eastAsia="仿宋_GB2312" w:cs="仿宋_GB2312"/>
          <w:spacing w:val="-2"/>
          <w:sz w:val="32"/>
          <w:szCs w:val="32"/>
          <w:lang w:val="en-US" w:eastAsia="zh-CN"/>
        </w:rPr>
        <w:t>2</w:t>
      </w:r>
      <w:r>
        <w:rPr>
          <w:rFonts w:hint="default" w:ascii="仿宋_GB2312" w:hAnsi="仿宋_GB2312" w:eastAsia="仿宋_GB2312" w:cs="仿宋_GB2312"/>
          <w:spacing w:val="-2"/>
          <w:sz w:val="32"/>
          <w:szCs w:val="32"/>
          <w:lang w:eastAsia="zh-CN"/>
        </w:rPr>
        <w:t>.纳入年初预算的</w:t>
      </w:r>
      <w:r>
        <w:rPr>
          <w:rFonts w:hint="eastAsia" w:ascii="仿宋_GB2312" w:hAnsi="仿宋_GB2312" w:eastAsia="仿宋_GB2312" w:cs="仿宋_GB2312"/>
          <w:spacing w:val="-2"/>
          <w:sz w:val="32"/>
          <w:szCs w:val="32"/>
          <w:lang w:val="en-US" w:eastAsia="zh-CN"/>
        </w:rPr>
        <w:t>专项业务经费较少无法满足开展专项工作。</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十、下一步改进措施</w:t>
      </w:r>
    </w:p>
    <w:p>
      <w:pPr>
        <w:keepNext w:val="0"/>
        <w:keepLines w:val="0"/>
        <w:widowControl/>
        <w:suppressLineNumbers w:val="0"/>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根据整体支出绩效管理的要求，针对我</w:t>
      </w:r>
      <w:r>
        <w:rPr>
          <w:rFonts w:hint="default" w:ascii="仿宋_GB2312" w:hAnsi="仿宋_GB2312" w:eastAsia="仿宋_GB2312" w:cs="仿宋_GB2312"/>
          <w:i w:val="0"/>
          <w:caps w:val="0"/>
          <w:color w:val="000000"/>
          <w:spacing w:val="0"/>
          <w:kern w:val="0"/>
          <w:sz w:val="32"/>
          <w:szCs w:val="32"/>
          <w:shd w:val="clear" w:color="auto" w:fill="FFFFFF"/>
          <w:lang w:eastAsia="zh-CN" w:bidi="ar"/>
        </w:rPr>
        <w:t>会</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薄弱环节，下一步重点在</w:t>
      </w:r>
      <w:r>
        <w:rPr>
          <w:rFonts w:hint="default" w:ascii="仿宋_GB2312" w:hAnsi="仿宋_GB2312" w:eastAsia="仿宋_GB2312" w:cs="仿宋_GB2312"/>
          <w:i w:val="0"/>
          <w:caps w:val="0"/>
          <w:color w:val="000000"/>
          <w:spacing w:val="0"/>
          <w:kern w:val="0"/>
          <w:sz w:val="32"/>
          <w:szCs w:val="32"/>
          <w:shd w:val="clear" w:color="auto" w:fill="FFFFFF"/>
          <w:lang w:eastAsia="zh-CN" w:bidi="ar"/>
        </w:rPr>
        <w:t>三</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个方面着力：一是着力加强预算编制管理。科学规划预算编制工作，进一步提高预算编制的科学性、合理性、严谨性和可控性。二是针对2025年度财务管理工作中发现的问题，加强财务人员的培训与继续教育，不断提高预决算编制水平与数据分析能力。三是完善绩效评价体系，加强部门整体支出绩效管理，做好年初绩效评价指标的设计量化，强化预算执行期间的绩效监控及年终的绩效评价与评价的应用工作。</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十一、绩效自评结果拟应用和公开情况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市贸促会2025年度绩效自评结果为100分，按照工作要求进行公开。</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十二、其他需要说明的情况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i w:val="0"/>
          <w:caps w:val="0"/>
          <w:color w:val="000000"/>
          <w:spacing w:val="0"/>
          <w:kern w:val="0"/>
          <w:sz w:val="32"/>
          <w:szCs w:val="32"/>
          <w:shd w:val="clear" w:color="auto" w:fill="FFFFFF"/>
          <w:lang w:val="en-US" w:eastAsia="zh-CN" w:bidi="ar"/>
        </w:rPr>
      </w:pPr>
      <w:r>
        <w:rPr>
          <w:rFonts w:hint="default" w:ascii="仿宋_GB2312" w:hAnsi="仿宋_GB2312" w:eastAsia="仿宋_GB2312" w:cs="仿宋_GB2312"/>
          <w:i w:val="0"/>
          <w:caps w:val="0"/>
          <w:color w:val="000000"/>
          <w:spacing w:val="0"/>
          <w:kern w:val="0"/>
          <w:sz w:val="32"/>
          <w:szCs w:val="32"/>
          <w:shd w:val="clear" w:color="auto" w:fill="FFFFFF"/>
          <w:lang w:val="en-US" w:eastAsia="zh-CN" w:bidi="ar"/>
        </w:rPr>
        <w:t>我单位没有新建楼堂馆所，无新建楼堂馆所投资概算。</w:t>
      </w:r>
    </w:p>
    <w:p/>
    <w:p>
      <w:pPr>
        <w:pStyle w:val="15"/>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Arial Unicode MS"/>
    <w:panose1 w:val="02000000000000000000"/>
    <w:charset w:val="86"/>
    <w:family w:val="auto"/>
    <w:pitch w:val="default"/>
    <w:sig w:usb0="00000000" w:usb1="00000000" w:usb2="00082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Arial Unicode MS">
    <w:panose1 w:val="020B0604020202020204"/>
    <w:charset w:val="86"/>
    <w:family w:val="auto"/>
    <w:pitch w:val="default"/>
    <w:sig w:usb0="F7FFAEFF" w:usb1="F9DFFFFF" w:usb2="0000007F" w:usb3="00000000" w:csb0="203F01FF" w:csb1="D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0BA0EB"/>
    <w:multiLevelType w:val="singleLevel"/>
    <w:tmpl w:val="B50BA0EB"/>
    <w:lvl w:ilvl="0" w:tentative="0">
      <w:start w:val="2"/>
      <w:numFmt w:val="chineseCounting"/>
      <w:suff w:val="space"/>
      <w:lvlText w:val="第%1部分"/>
      <w:lvlJc w:val="left"/>
      <w:rPr>
        <w:rFonts w:hint="eastAsia"/>
      </w:rPr>
    </w:lvl>
  </w:abstractNum>
  <w:abstractNum w:abstractNumId="1">
    <w:nsid w:val="1BEBEFF1"/>
    <w:multiLevelType w:val="singleLevel"/>
    <w:tmpl w:val="1BEBEFF1"/>
    <w:lvl w:ilvl="0" w:tentative="0">
      <w:start w:val="3"/>
      <w:numFmt w:val="decimal"/>
      <w:suff w:val="nothing"/>
      <w:lvlText w:val="（%1）"/>
      <w:lvlJc w:val="left"/>
    </w:lvl>
  </w:abstractNum>
  <w:abstractNum w:abstractNumId="2">
    <w:nsid w:val="3FEA73F6"/>
    <w:multiLevelType w:val="singleLevel"/>
    <w:tmpl w:val="3FEA73F6"/>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yYzc5ZThmZjdlOWEyNDVhYjVmMDIxZTM4NmM3ZjU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290306"/>
    <w:rsid w:val="03FA2D95"/>
    <w:rsid w:val="079E4E3B"/>
    <w:rsid w:val="100827DD"/>
    <w:rsid w:val="16A12368"/>
    <w:rsid w:val="17915D10"/>
    <w:rsid w:val="1D97DEFF"/>
    <w:rsid w:val="1DFF72E5"/>
    <w:rsid w:val="1EFC6F07"/>
    <w:rsid w:val="24F87E0D"/>
    <w:rsid w:val="25402C59"/>
    <w:rsid w:val="27D66129"/>
    <w:rsid w:val="2FDF85B8"/>
    <w:rsid w:val="2FFFEE04"/>
    <w:rsid w:val="324B6061"/>
    <w:rsid w:val="34DF85B0"/>
    <w:rsid w:val="3657466A"/>
    <w:rsid w:val="39196AE9"/>
    <w:rsid w:val="3A981DFA"/>
    <w:rsid w:val="3B8F36BC"/>
    <w:rsid w:val="3DD02D00"/>
    <w:rsid w:val="3F977DAC"/>
    <w:rsid w:val="4092122A"/>
    <w:rsid w:val="46623CEE"/>
    <w:rsid w:val="491FF225"/>
    <w:rsid w:val="4FFD214C"/>
    <w:rsid w:val="50563DDE"/>
    <w:rsid w:val="53EB3F7B"/>
    <w:rsid w:val="554D5723"/>
    <w:rsid w:val="5777D4F5"/>
    <w:rsid w:val="5951419F"/>
    <w:rsid w:val="59DD8326"/>
    <w:rsid w:val="5A205D3C"/>
    <w:rsid w:val="5CC36978"/>
    <w:rsid w:val="5DEF592A"/>
    <w:rsid w:val="5E0C5908"/>
    <w:rsid w:val="5FC6BB1E"/>
    <w:rsid w:val="5FF720F1"/>
    <w:rsid w:val="61133828"/>
    <w:rsid w:val="674E2222"/>
    <w:rsid w:val="67FF5C0B"/>
    <w:rsid w:val="6EFC0924"/>
    <w:rsid w:val="6FB74722"/>
    <w:rsid w:val="6FEF8B7E"/>
    <w:rsid w:val="71A6591B"/>
    <w:rsid w:val="737D59BA"/>
    <w:rsid w:val="77C37683"/>
    <w:rsid w:val="7835328F"/>
    <w:rsid w:val="79D19834"/>
    <w:rsid w:val="79FF515B"/>
    <w:rsid w:val="7A992BC9"/>
    <w:rsid w:val="7B6D5ED5"/>
    <w:rsid w:val="7B975B51"/>
    <w:rsid w:val="7BF549BF"/>
    <w:rsid w:val="7CC31782"/>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customStyle="1" w:styleId="4">
    <w:name w:val="font5"/>
    <w:basedOn w:val="1"/>
    <w:qFormat/>
    <w:uiPriority w:val="0"/>
    <w:pPr>
      <w:widowControl/>
      <w:spacing w:before="100" w:beforeAutospacing="1" w:after="100" w:afterAutospacing="1"/>
      <w:jc w:val="left"/>
    </w:pPr>
    <w:rPr>
      <w:rFonts w:ascii="宋体"/>
      <w:kern w:val="0"/>
      <w:sz w:val="18"/>
      <w:szCs w:val="18"/>
    </w:rPr>
  </w:style>
  <w:style w:type="paragraph" w:styleId="5">
    <w:name w:val="Balloon Text"/>
    <w:basedOn w:val="1"/>
    <w:link w:val="17"/>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2"/>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Hyperlink"/>
    <w:basedOn w:val="11"/>
    <w:semiHidden/>
    <w:unhideWhenUsed/>
    <w:qFormat/>
    <w:uiPriority w:val="99"/>
    <w:rPr>
      <w:color w:val="0000FF"/>
      <w:u w:val="single"/>
    </w:rPr>
  </w:style>
  <w:style w:type="character" w:customStyle="1" w:styleId="13">
    <w:name w:val="页眉 Char"/>
    <w:basedOn w:val="11"/>
    <w:link w:val="7"/>
    <w:qFormat/>
    <w:uiPriority w:val="99"/>
    <w:rPr>
      <w:sz w:val="18"/>
      <w:szCs w:val="18"/>
    </w:rPr>
  </w:style>
  <w:style w:type="character" w:customStyle="1" w:styleId="14">
    <w:name w:val="页脚 Char"/>
    <w:basedOn w:val="11"/>
    <w:link w:val="6"/>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1"/>
    <w:link w:val="5"/>
    <w:semiHidden/>
    <w:qFormat/>
    <w:uiPriority w:val="99"/>
    <w:rPr>
      <w:sz w:val="18"/>
      <w:szCs w:val="18"/>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21"/>
    <w:basedOn w:val="11"/>
    <w:qFormat/>
    <w:uiPriority w:val="0"/>
    <w:rPr>
      <w:rFonts w:hint="eastAsia" w:ascii="宋体" w:hAnsi="宋体" w:eastAsia="宋体" w:cs="宋体"/>
      <w:color w:val="000000"/>
      <w:sz w:val="24"/>
      <w:szCs w:val="24"/>
      <w:u w:val="none"/>
    </w:rPr>
  </w:style>
  <w:style w:type="character" w:customStyle="1" w:styleId="20">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1</TotalTime>
  <ScaleCrop>false</ScaleCrop>
  <LinksUpToDate>false</LinksUpToDate>
  <CharactersWithSpaces>9786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MUA</cp:lastModifiedBy>
  <cp:lastPrinted>2024-08-10T02:20:00Z</cp:lastPrinted>
  <dcterms:modified xsi:type="dcterms:W3CDTF">2026-09-17T05:27:41Z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4F0B27C0AAC35EFA9177686ADDD5E058</vt:lpwstr>
  </property>
</Properties>
</file>