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32204">
      <w:pPr>
        <w:pStyle w:val="13"/>
        <w:jc w:val="both"/>
        <w:rPr>
          <w:rFonts w:hAnsi="黑体"/>
          <w:sz w:val="36"/>
          <w:szCs w:val="36"/>
        </w:rPr>
      </w:pPr>
      <w:r>
        <w:rPr>
          <w:rFonts w:hint="eastAsia" w:hAnsi="黑体"/>
          <w:sz w:val="36"/>
          <w:szCs w:val="36"/>
        </w:rPr>
        <w:t>附件1</w:t>
      </w:r>
    </w:p>
    <w:p w14:paraId="5238926E">
      <w:pPr>
        <w:pStyle w:val="13"/>
        <w:jc w:val="center"/>
        <w:rPr>
          <w:rFonts w:ascii="Times New Roman" w:hAnsi="Times New Roman" w:cs="Times New Roman"/>
          <w:sz w:val="56"/>
          <w:szCs w:val="56"/>
        </w:rPr>
      </w:pPr>
    </w:p>
    <w:p w14:paraId="6E38651B">
      <w:pPr>
        <w:pStyle w:val="13"/>
        <w:jc w:val="both"/>
        <w:rPr>
          <w:rFonts w:ascii="Times New Roman" w:hAnsi="Times New Roman" w:cs="Times New Roman"/>
          <w:sz w:val="84"/>
          <w:szCs w:val="84"/>
        </w:rPr>
      </w:pPr>
    </w:p>
    <w:p w14:paraId="4FB4823A">
      <w:pPr>
        <w:pStyle w:val="13"/>
        <w:jc w:val="center"/>
        <w:rPr>
          <w:rFonts w:ascii="Times New Roman" w:hAnsi="Times New Roman" w:cs="Times New Roman"/>
          <w:sz w:val="84"/>
          <w:szCs w:val="84"/>
        </w:rPr>
      </w:pPr>
    </w:p>
    <w:p w14:paraId="5AB880A3">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9E12C20">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w:t>
      </w:r>
      <w:r>
        <w:rPr>
          <w:rFonts w:hint="eastAsia" w:ascii="Times New Roman" w:hAnsi="Times New Roman" w:eastAsia="方正小标宋简体" w:cs="Times New Roman"/>
          <w:sz w:val="72"/>
          <w:szCs w:val="72"/>
        </w:rPr>
        <w:t>人民政府国有资产监督管理委员会</w:t>
      </w:r>
      <w:r>
        <w:rPr>
          <w:rFonts w:ascii="Times New Roman" w:hAnsi="Times New Roman" w:eastAsia="方正小标宋简体" w:cs="Times New Roman"/>
          <w:sz w:val="72"/>
          <w:szCs w:val="72"/>
        </w:rPr>
        <w:t>部门决算</w:t>
      </w:r>
    </w:p>
    <w:p w14:paraId="6BD54754">
      <w:pPr>
        <w:pStyle w:val="13"/>
        <w:rPr>
          <w:rFonts w:ascii="Times New Roman" w:hAnsi="Times New Roman" w:cs="Times New Roman"/>
          <w:sz w:val="56"/>
          <w:szCs w:val="56"/>
        </w:rPr>
      </w:pPr>
    </w:p>
    <w:p w14:paraId="1C98C597">
      <w:pPr>
        <w:pStyle w:val="13"/>
        <w:jc w:val="center"/>
        <w:rPr>
          <w:rFonts w:ascii="Times New Roman" w:hAnsi="Times New Roman" w:cs="Times New Roman"/>
          <w:sz w:val="32"/>
          <w:szCs w:val="32"/>
        </w:rPr>
      </w:pPr>
    </w:p>
    <w:p w14:paraId="38371E54">
      <w:pPr>
        <w:pStyle w:val="13"/>
        <w:jc w:val="center"/>
        <w:rPr>
          <w:rFonts w:ascii="Times New Roman" w:hAnsi="Times New Roman" w:cs="Times New Roman"/>
          <w:sz w:val="32"/>
          <w:szCs w:val="32"/>
        </w:rPr>
      </w:pPr>
    </w:p>
    <w:p w14:paraId="3110D4BF">
      <w:pPr>
        <w:pStyle w:val="13"/>
        <w:jc w:val="center"/>
        <w:rPr>
          <w:rFonts w:ascii="Times New Roman" w:hAnsi="Times New Roman" w:cs="Times New Roman"/>
          <w:sz w:val="32"/>
          <w:szCs w:val="32"/>
        </w:rPr>
      </w:pPr>
    </w:p>
    <w:p w14:paraId="0EB9547B">
      <w:pPr>
        <w:pStyle w:val="13"/>
        <w:jc w:val="center"/>
        <w:rPr>
          <w:rFonts w:ascii="Times New Roman" w:hAnsi="Times New Roman" w:cs="Times New Roman"/>
          <w:sz w:val="32"/>
          <w:szCs w:val="32"/>
        </w:rPr>
      </w:pPr>
    </w:p>
    <w:p w14:paraId="0DD67ED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A5355E3">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F213B3B">
      <w:pPr>
        <w:pStyle w:val="13"/>
        <w:spacing w:line="600" w:lineRule="exact"/>
        <w:jc w:val="both"/>
        <w:rPr>
          <w:rFonts w:ascii="Times New Roman" w:hAnsi="Times New Roman" w:cs="Times New Roman"/>
          <w:b/>
          <w:sz w:val="36"/>
          <w:szCs w:val="28"/>
        </w:rPr>
      </w:pPr>
    </w:p>
    <w:p w14:paraId="184171BA">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E97E385">
      <w:pPr>
        <w:pStyle w:val="13"/>
        <w:spacing w:line="600" w:lineRule="exact"/>
        <w:jc w:val="center"/>
        <w:rPr>
          <w:rFonts w:ascii="Times New Roman" w:hAnsi="Times New Roman" w:cs="Times New Roman"/>
          <w:b/>
          <w:sz w:val="36"/>
          <w:szCs w:val="28"/>
        </w:rPr>
      </w:pPr>
    </w:p>
    <w:p w14:paraId="7593202A">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w:t>
      </w:r>
      <w:r>
        <w:rPr>
          <w:rFonts w:hint="eastAsia" w:ascii="Times New Roman" w:hAnsi="Times New Roman" w:cs="Times New Roman"/>
          <w:bCs/>
          <w:sz w:val="32"/>
          <w:szCs w:val="32"/>
        </w:rPr>
        <w:t>市人民政府国有资产监督管理委员会</w:t>
      </w:r>
      <w:r>
        <w:rPr>
          <w:rFonts w:ascii="Times New Roman" w:hAnsi="Times New Roman" w:cs="Times New Roman"/>
          <w:bCs/>
          <w:sz w:val="32"/>
          <w:szCs w:val="32"/>
        </w:rPr>
        <w:t>概况</w:t>
      </w:r>
    </w:p>
    <w:p w14:paraId="44E6A69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9D8B1B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0A0C237">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57DC1E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11E534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E681A7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33EC41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18B2B3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C358D7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074DF3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0FD905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59A4B2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97753D">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DA7F21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37BCEE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809F4F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F0099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A2C6E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4915FB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D185C39">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六、一般公共预算财政拨款基本支出决算情况说明</w:t>
      </w:r>
    </w:p>
    <w:p w14:paraId="7E803DBD">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七、财政拨款“三公”经费支出决算情况说明</w:t>
      </w:r>
    </w:p>
    <w:p w14:paraId="1D5A02DC">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八、政府性基金预算收入支出决算情况</w:t>
      </w:r>
    </w:p>
    <w:p w14:paraId="60C87163">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九、</w:t>
      </w:r>
      <w:r>
        <w:rPr>
          <w:rFonts w:hint="eastAsia" w:ascii="Times New Roman" w:hAnsi="Times New Roman" w:eastAsia="仿宋_GB2312" w:cs="Times New Roman"/>
          <w:color w:val="000000"/>
          <w:kern w:val="0"/>
          <w:sz w:val="32"/>
          <w:szCs w:val="32"/>
          <w:lang w:val="en-US" w:eastAsia="zh-CN" w:bidi="ar-SA"/>
        </w:rPr>
        <w:t>国有资本经营预算收入支出决算情况</w:t>
      </w:r>
    </w:p>
    <w:p w14:paraId="18D1F1D7">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w:t>
      </w:r>
      <w:r>
        <w:rPr>
          <w:rFonts w:ascii="Times New Roman" w:hAnsi="Times New Roman" w:eastAsia="仿宋_GB2312" w:cs="Times New Roman"/>
          <w:color w:val="000000"/>
          <w:kern w:val="0"/>
          <w:sz w:val="32"/>
          <w:szCs w:val="32"/>
          <w:lang w:val="en-US" w:eastAsia="zh-CN" w:bidi="ar-SA"/>
        </w:rPr>
        <w:t>关于机关运行经费支出说明</w:t>
      </w:r>
    </w:p>
    <w:p w14:paraId="5671DBC6">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一</w:t>
      </w:r>
      <w:r>
        <w:rPr>
          <w:rFonts w:ascii="Times New Roman" w:hAnsi="Times New Roman" w:eastAsia="仿宋_GB2312" w:cs="Times New Roman"/>
          <w:color w:val="000000"/>
          <w:kern w:val="0"/>
          <w:sz w:val="32"/>
          <w:szCs w:val="32"/>
          <w:lang w:val="en-US" w:eastAsia="zh-CN" w:bidi="ar-SA"/>
        </w:rPr>
        <w:t>、一般性支出情况说明</w:t>
      </w:r>
    </w:p>
    <w:p w14:paraId="74898E32">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二</w:t>
      </w:r>
      <w:r>
        <w:rPr>
          <w:rFonts w:ascii="Times New Roman" w:hAnsi="Times New Roman" w:eastAsia="仿宋_GB2312" w:cs="Times New Roman"/>
          <w:color w:val="000000"/>
          <w:kern w:val="0"/>
          <w:sz w:val="32"/>
          <w:szCs w:val="32"/>
          <w:lang w:val="en-US" w:eastAsia="zh-CN" w:bidi="ar-SA"/>
        </w:rPr>
        <w:t>、关于政府采购支出说明</w:t>
      </w:r>
    </w:p>
    <w:p w14:paraId="3C2A6839">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三</w:t>
      </w:r>
      <w:r>
        <w:rPr>
          <w:rFonts w:ascii="Times New Roman" w:hAnsi="Times New Roman" w:eastAsia="仿宋_GB2312" w:cs="Times New Roman"/>
          <w:color w:val="000000"/>
          <w:kern w:val="0"/>
          <w:sz w:val="32"/>
          <w:szCs w:val="32"/>
          <w:lang w:val="en-US" w:eastAsia="zh-CN" w:bidi="ar-SA"/>
        </w:rPr>
        <w:t>、关于国有资产占用情况说明</w:t>
      </w:r>
    </w:p>
    <w:p w14:paraId="5EE185EF">
      <w:pPr>
        <w:autoSpaceDE w:val="0"/>
        <w:autoSpaceDN w:val="0"/>
        <w:adjustRightInd w:val="0"/>
        <w:spacing w:line="600" w:lineRule="exact"/>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十</w:t>
      </w:r>
      <w:r>
        <w:rPr>
          <w:rFonts w:hint="eastAsia" w:ascii="Times New Roman" w:hAnsi="Times New Roman" w:eastAsia="仿宋_GB2312" w:cs="Times New Roman"/>
          <w:color w:val="000000"/>
          <w:kern w:val="0"/>
          <w:sz w:val="32"/>
          <w:szCs w:val="32"/>
          <w:lang w:val="en-US" w:eastAsia="zh-CN" w:bidi="ar-SA"/>
        </w:rPr>
        <w:t>四</w:t>
      </w:r>
      <w:r>
        <w:rPr>
          <w:rFonts w:ascii="Times New Roman" w:hAnsi="Times New Roman" w:eastAsia="仿宋_GB2312" w:cs="Times New Roman"/>
          <w:color w:val="000000"/>
          <w:kern w:val="0"/>
          <w:sz w:val="32"/>
          <w:szCs w:val="32"/>
          <w:lang w:val="en-US" w:eastAsia="zh-CN" w:bidi="ar-SA"/>
        </w:rPr>
        <w:t>、关于202</w:t>
      </w:r>
      <w:r>
        <w:rPr>
          <w:rFonts w:hint="eastAsia" w:ascii="Times New Roman" w:hAnsi="Times New Roman" w:eastAsia="仿宋_GB2312" w:cs="Times New Roman"/>
          <w:color w:val="000000"/>
          <w:kern w:val="0"/>
          <w:sz w:val="32"/>
          <w:szCs w:val="32"/>
          <w:lang w:val="en-US" w:eastAsia="zh-CN" w:bidi="ar-SA"/>
        </w:rPr>
        <w:t>5</w:t>
      </w:r>
      <w:r>
        <w:rPr>
          <w:rFonts w:ascii="Times New Roman" w:hAnsi="Times New Roman" w:eastAsia="仿宋_GB2312" w:cs="Times New Roman"/>
          <w:color w:val="000000"/>
          <w:kern w:val="0"/>
          <w:sz w:val="32"/>
          <w:szCs w:val="32"/>
          <w:lang w:val="en-US" w:eastAsia="zh-CN" w:bidi="ar-SA"/>
        </w:rPr>
        <w:t>年度预算绩效管理情况的说明</w:t>
      </w:r>
    </w:p>
    <w:p w14:paraId="1B45D7ED">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23D94C9">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F7AECC8">
      <w:pPr>
        <w:pStyle w:val="13"/>
        <w:spacing w:line="600" w:lineRule="exact"/>
        <w:rPr>
          <w:rFonts w:ascii="Times New Roman" w:hAnsi="Times New Roman" w:cs="Times New Roman"/>
          <w:bCs/>
          <w:sz w:val="28"/>
          <w:szCs w:val="28"/>
        </w:rPr>
      </w:pPr>
    </w:p>
    <w:p w14:paraId="798C0893">
      <w:pPr>
        <w:jc w:val="center"/>
        <w:rPr>
          <w:rFonts w:ascii="Times New Roman" w:hAnsi="Times New Roman" w:cs="Times New Roman"/>
          <w:sz w:val="72"/>
          <w:szCs w:val="72"/>
        </w:rPr>
      </w:pPr>
    </w:p>
    <w:p w14:paraId="0C03C213">
      <w:pPr>
        <w:jc w:val="center"/>
        <w:rPr>
          <w:rFonts w:ascii="Times New Roman" w:hAnsi="Times New Roman" w:cs="Times New Roman"/>
          <w:sz w:val="72"/>
          <w:szCs w:val="72"/>
        </w:rPr>
      </w:pPr>
    </w:p>
    <w:p w14:paraId="21EB760E">
      <w:pPr>
        <w:jc w:val="center"/>
        <w:rPr>
          <w:rFonts w:ascii="Times New Roman" w:hAnsi="Times New Roman" w:cs="Times New Roman"/>
          <w:sz w:val="72"/>
          <w:szCs w:val="72"/>
        </w:rPr>
      </w:pPr>
    </w:p>
    <w:p w14:paraId="16896E6D">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CB5DFBA">
      <w:pPr>
        <w:rPr>
          <w:rFonts w:ascii="Times New Roman" w:hAnsi="Times New Roman" w:eastAsia="方正小标宋_GBK" w:cs="Times New Roman"/>
          <w:sz w:val="72"/>
          <w:szCs w:val="72"/>
        </w:rPr>
      </w:pPr>
    </w:p>
    <w:p w14:paraId="6F6C463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BC162E8">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w:t>
      </w:r>
      <w:r>
        <w:rPr>
          <w:rFonts w:hint="eastAsia" w:ascii="Times New Roman" w:hAnsi="Times New Roman" w:eastAsia="方正小标宋_GBK" w:cs="Times New Roman"/>
          <w:sz w:val="52"/>
          <w:szCs w:val="52"/>
        </w:rPr>
        <w:t>市人民政府国有资产监督管理委员会</w:t>
      </w:r>
      <w:r>
        <w:rPr>
          <w:rFonts w:ascii="Times New Roman" w:hAnsi="Times New Roman" w:eastAsia="方正小标宋_GBK" w:cs="Times New Roman"/>
          <w:sz w:val="52"/>
          <w:szCs w:val="52"/>
        </w:rPr>
        <w:t>概况</w:t>
      </w:r>
    </w:p>
    <w:p w14:paraId="4377F164">
      <w:pPr>
        <w:pStyle w:val="4"/>
        <w:ind w:left="0" w:leftChars="0" w:firstLine="0" w:firstLineChars="0"/>
        <w:rPr>
          <w:rFonts w:ascii="Times New Roman" w:hAnsi="Times New Roman" w:cs="Times New Roman"/>
        </w:rPr>
      </w:pPr>
    </w:p>
    <w:p w14:paraId="079C933A">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FE73EB9">
      <w:pPr>
        <w:keepNext w:val="0"/>
        <w:keepLines w:val="0"/>
        <w:pageBreakBefore w:val="0"/>
        <w:widowControl w:val="0"/>
        <w:kinsoku/>
        <w:wordWrap w:val="0"/>
        <w:overflowPunct/>
        <w:topLinePunct w:val="0"/>
        <w:autoSpaceDE/>
        <w:autoSpaceDN/>
        <w:bidi w:val="0"/>
        <w:adjustRightInd/>
        <w:snapToGrid/>
        <w:spacing w:line="560" w:lineRule="atLeast"/>
        <w:ind w:firstLine="640" w:firstLineChars="200"/>
        <w:textAlignment w:val="auto"/>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市国资委成立于2004年底，</w:t>
      </w:r>
      <w:r>
        <w:rPr>
          <w:rFonts w:hint="eastAsia" w:ascii="Times New Roman" w:hAnsi="Times New Roman" w:eastAsia="仿宋_GB2312" w:cs="仿宋_GB2312"/>
          <w:bCs/>
          <w:kern w:val="0"/>
          <w:sz w:val="32"/>
          <w:szCs w:val="32"/>
          <w:lang w:val="en-US" w:eastAsia="zh-CN"/>
        </w:rPr>
        <w:t>2019年调整</w:t>
      </w:r>
      <w:r>
        <w:rPr>
          <w:rFonts w:hint="eastAsia" w:ascii="Times New Roman" w:hAnsi="Times New Roman" w:eastAsia="仿宋_GB2312" w:cs="仿宋_GB2312"/>
          <w:bCs/>
          <w:kern w:val="0"/>
          <w:sz w:val="32"/>
          <w:szCs w:val="32"/>
          <w:lang w:eastAsia="zh-CN"/>
        </w:rPr>
        <w:t>为市人民政府工作部门，设6个职能科室和</w:t>
      </w:r>
      <w:r>
        <w:rPr>
          <w:rFonts w:hint="eastAsia" w:ascii="Times New Roman" w:hAnsi="Times New Roman" w:eastAsia="仿宋_GB2312" w:cs="仿宋_GB2312"/>
          <w:bCs/>
          <w:kern w:val="0"/>
          <w:sz w:val="32"/>
          <w:szCs w:val="32"/>
          <w:lang w:val="en-US" w:eastAsia="zh-CN"/>
        </w:rPr>
        <w:t>2</w:t>
      </w:r>
      <w:r>
        <w:rPr>
          <w:rFonts w:hint="eastAsia" w:ascii="Times New Roman" w:hAnsi="Times New Roman" w:eastAsia="仿宋_GB2312" w:cs="仿宋_GB2312"/>
          <w:bCs/>
          <w:kern w:val="0"/>
          <w:sz w:val="32"/>
          <w:szCs w:val="32"/>
          <w:lang w:eastAsia="zh-CN"/>
        </w:rPr>
        <w:t>个二级机构（其中：怀化市国有资产运营服务中心为独立核算单位），202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年末在职人数为3</w:t>
      </w:r>
      <w:r>
        <w:rPr>
          <w:rFonts w:hint="eastAsia" w:ascii="Times New Roman" w:hAnsi="Times New Roman" w:eastAsia="仿宋_GB2312" w:cs="仿宋_GB2312"/>
          <w:bCs/>
          <w:kern w:val="0"/>
          <w:sz w:val="32"/>
          <w:szCs w:val="32"/>
          <w:lang w:val="en-US" w:eastAsia="zh-CN"/>
        </w:rPr>
        <w:t>3</w:t>
      </w:r>
      <w:r>
        <w:rPr>
          <w:rFonts w:hint="eastAsia" w:ascii="Times New Roman" w:hAnsi="Times New Roman" w:eastAsia="仿宋_GB2312" w:cs="仿宋_GB2312"/>
          <w:bCs/>
          <w:kern w:val="0"/>
          <w:sz w:val="32"/>
          <w:szCs w:val="32"/>
          <w:lang w:eastAsia="zh-CN"/>
        </w:rPr>
        <w:t>人，其中：公务员1</w:t>
      </w:r>
      <w:r>
        <w:rPr>
          <w:rFonts w:hint="eastAsia" w:ascii="Times New Roman" w:hAnsi="Times New Roman" w:eastAsia="仿宋_GB2312" w:cs="仿宋_GB2312"/>
          <w:bCs/>
          <w:kern w:val="0"/>
          <w:sz w:val="32"/>
          <w:szCs w:val="32"/>
          <w:lang w:val="en-US" w:eastAsia="zh-CN"/>
        </w:rPr>
        <w:t>9</w:t>
      </w:r>
      <w:r>
        <w:rPr>
          <w:rFonts w:hint="eastAsia" w:ascii="Times New Roman" w:hAnsi="Times New Roman" w:eastAsia="仿宋_GB2312" w:cs="仿宋_GB2312"/>
          <w:bCs/>
          <w:kern w:val="0"/>
          <w:sz w:val="32"/>
          <w:szCs w:val="32"/>
          <w:lang w:eastAsia="zh-CN"/>
        </w:rPr>
        <w:t>人，工勤人员1人，事业人员1</w:t>
      </w:r>
      <w:r>
        <w:rPr>
          <w:rFonts w:hint="eastAsia" w:ascii="Times New Roman" w:hAnsi="Times New Roman" w:eastAsia="仿宋_GB2312" w:cs="仿宋_GB2312"/>
          <w:bCs/>
          <w:kern w:val="0"/>
          <w:sz w:val="32"/>
          <w:szCs w:val="32"/>
          <w:lang w:val="en-US" w:eastAsia="zh-CN"/>
        </w:rPr>
        <w:t>3</w:t>
      </w:r>
      <w:r>
        <w:rPr>
          <w:rFonts w:hint="eastAsia" w:ascii="Times New Roman" w:hAnsi="Times New Roman" w:eastAsia="仿宋_GB2312" w:cs="仿宋_GB2312"/>
          <w:bCs/>
          <w:kern w:val="0"/>
          <w:sz w:val="32"/>
          <w:szCs w:val="32"/>
          <w:lang w:eastAsia="zh-CN"/>
        </w:rPr>
        <w:t>人。市国资委主要职能是对市属企业国有资产进行监督管理，指导推进市属国有企业。具体职责如下：</w:t>
      </w:r>
    </w:p>
    <w:p w14:paraId="385A7741">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1.根据市人民政府授权，依照《中华人民共和国公司法》、《中华人民共和国企业国有资产法》等法律和行政法规履行出资人职责，加强所监管企业国有资产的管理工作。</w:t>
      </w:r>
    </w:p>
    <w:p w14:paraId="26C8695C">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2.承担监督所监管企业国有资产保值增值的责任。建立和完善国有资产保值增值指标体系，制订考核标准，通过统计、稽核，对所监管企业国有资产的保值增值情况进行监管；根据工资宏观调控政策，会同有关部门做好所监管企业工资分配管理工作，拟定所监管企业负责人收入分配政策并组织实施。</w:t>
      </w:r>
    </w:p>
    <w:p w14:paraId="21E04F9C">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3.指导推进国有企业改革和重组，推进国有企业的现代企业制度建设，完善公司治理结构，推动国有经济布局和结构的战略性调整;指导所监管企业引进战略投资者与产权(股权)招商引资与资本合作，加强与中央企业、省属企业对接合作，负责归口组织协调全市与中央企业、省属企业对接合作工作。</w:t>
      </w:r>
    </w:p>
    <w:p w14:paraId="386B1C19">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4.通过法定程序，对所监管企业负责人进行任免、考核并根据其经营业绩进行奖惩，建立符合社会主义市场经济体制和现代企业制度要求的选人、用人机制，完善经营者激励和约束制度。</w:t>
      </w:r>
    </w:p>
    <w:p w14:paraId="20BF81AF">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5.按照有关规定，代表市人民政府向所监管企业派出监事会，负责监事会的日常管理工作。</w:t>
      </w:r>
    </w:p>
    <w:p w14:paraId="49FDEA36">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6.负责组织所监管企业上交国有资本收益，参与制定国有资本经营预算有关管理制度和办法，按照有关规定负责国有资本经营预决算编制和执行等工作。</w:t>
      </w:r>
    </w:p>
    <w:p w14:paraId="104ED4FB">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7.负责企业国有资产基础管理，起草有关国有资产监督管理的办法和规章制度；依法对县(市、区)国有资产监督管理工作进行指导和监督。</w:t>
      </w:r>
    </w:p>
    <w:p w14:paraId="1FDBF981">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8.按照出资人职责，负责督促检查所监管企业贯彻落实国家安全生产方针政策及有关法律法规、标准等工作。</w:t>
      </w:r>
    </w:p>
    <w:p w14:paraId="146F4311">
      <w:pPr>
        <w:wordWrap w:val="0"/>
        <w:spacing w:line="560" w:lineRule="atLeas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eastAsia="zh-CN"/>
        </w:rPr>
        <w:t>9.指导、监督所监管企业法律顾问管理工作。</w:t>
      </w:r>
    </w:p>
    <w:p w14:paraId="64E59A1E">
      <w:pPr>
        <w:wordWrap w:val="0"/>
        <w:spacing w:line="560" w:lineRule="atLeas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bCs/>
          <w:kern w:val="0"/>
          <w:sz w:val="32"/>
          <w:szCs w:val="32"/>
          <w:lang w:eastAsia="zh-CN"/>
        </w:rPr>
        <w:t>10.承办市人民政府交办的其他事项。</w:t>
      </w:r>
    </w:p>
    <w:p w14:paraId="14FD6351">
      <w:pPr>
        <w:jc w:val="left"/>
        <w:rPr>
          <w:rFonts w:hint="eastAsia" w:ascii="Times New Roman" w:hAnsi="Times New Roman" w:eastAsia="仿宋_GB2312" w:cs="仿宋_GB2312"/>
          <w:sz w:val="32"/>
          <w:szCs w:val="32"/>
        </w:rPr>
      </w:pPr>
    </w:p>
    <w:p w14:paraId="14DF9F22">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48FDBD6">
      <w:pPr>
        <w:wordWrap w:val="0"/>
        <w:spacing w:line="560" w:lineRule="atLeast"/>
        <w:ind w:firstLine="640" w:firstLineChars="200"/>
        <w:rPr>
          <w:rFonts w:hint="eastAsia" w:ascii="Times New Roman" w:hAnsi="Times New Roman" w:eastAsia="仿宋_GB2312" w:cs="仿宋_GB2312"/>
          <w:b w:val="0"/>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 w:val="0"/>
          <w:bCs/>
          <w:kern w:val="0"/>
          <w:sz w:val="32"/>
          <w:szCs w:val="32"/>
          <w:lang w:eastAsia="zh-CN"/>
        </w:rPr>
        <w:t>市国资委内设机构包括：办公室、考评预算科、党建工作科、产权管理科、企业发展科、对外合作科。</w:t>
      </w:r>
    </w:p>
    <w:p w14:paraId="2FC36A3D">
      <w:pPr>
        <w:widowControl/>
        <w:spacing w:line="600" w:lineRule="exact"/>
        <w:ind w:firstLine="640" w:firstLineChars="200"/>
        <w:rPr>
          <w:rFonts w:hint="eastAsia" w:ascii="Times New Roman" w:hAnsi="Times New Roman" w:eastAsia="仿宋_GB2312" w:cs="仿宋_GB2312"/>
          <w:b w:val="0"/>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 w:val="0"/>
          <w:bCs/>
          <w:kern w:val="0"/>
          <w:sz w:val="32"/>
          <w:szCs w:val="32"/>
          <w:lang w:eastAsia="zh-CN"/>
        </w:rPr>
        <w:t>市国资委202</w:t>
      </w:r>
      <w:r>
        <w:rPr>
          <w:rFonts w:hint="eastAsia" w:ascii="Times New Roman" w:hAnsi="Times New Roman" w:eastAsia="仿宋_GB2312" w:cs="仿宋_GB2312"/>
          <w:b w:val="0"/>
          <w:bCs/>
          <w:kern w:val="0"/>
          <w:sz w:val="32"/>
          <w:szCs w:val="32"/>
          <w:lang w:val="en-US" w:eastAsia="zh-CN"/>
        </w:rPr>
        <w:t>5</w:t>
      </w:r>
      <w:r>
        <w:rPr>
          <w:rFonts w:hint="eastAsia" w:ascii="Times New Roman" w:hAnsi="Times New Roman" w:eastAsia="仿宋_GB2312" w:cs="仿宋_GB2312"/>
          <w:b w:val="0"/>
          <w:bCs/>
          <w:kern w:val="0"/>
          <w:sz w:val="32"/>
          <w:szCs w:val="32"/>
          <w:lang w:eastAsia="zh-CN"/>
        </w:rPr>
        <w:t>年部门决算汇总公开单位构成包括：怀化市国资委本级及怀化市国有资产监督服务中心。</w:t>
      </w:r>
    </w:p>
    <w:p w14:paraId="11DB5952">
      <w:pPr>
        <w:widowControl/>
        <w:spacing w:line="600" w:lineRule="exact"/>
        <w:rPr>
          <w:rFonts w:ascii="Times New Roman" w:hAnsi="Times New Roman" w:eastAsia="仿宋_GB2312" w:cs="Times New Roman"/>
          <w:bCs/>
          <w:kern w:val="0"/>
          <w:sz w:val="32"/>
          <w:szCs w:val="32"/>
        </w:rPr>
      </w:pPr>
    </w:p>
    <w:p w14:paraId="20C5C3CE">
      <w:pPr>
        <w:jc w:val="left"/>
        <w:rPr>
          <w:rFonts w:ascii="Times New Roman" w:hAnsi="Times New Roman" w:eastAsia="仿宋_GB2312" w:cs="Times New Roman"/>
          <w:sz w:val="28"/>
          <w:szCs w:val="32"/>
        </w:rPr>
      </w:pPr>
    </w:p>
    <w:p w14:paraId="30DBD0A4">
      <w:pPr>
        <w:jc w:val="center"/>
        <w:rPr>
          <w:rFonts w:ascii="Times New Roman" w:hAnsi="Times New Roman" w:eastAsia="黑体" w:cs="Times New Roman"/>
          <w:sz w:val="28"/>
          <w:szCs w:val="28"/>
        </w:rPr>
      </w:pPr>
    </w:p>
    <w:p w14:paraId="14D2040E">
      <w:pPr>
        <w:jc w:val="center"/>
        <w:rPr>
          <w:rFonts w:ascii="Times New Roman" w:hAnsi="Times New Roman" w:eastAsia="黑体" w:cs="Times New Roman"/>
          <w:sz w:val="28"/>
          <w:szCs w:val="28"/>
        </w:rPr>
      </w:pPr>
    </w:p>
    <w:p w14:paraId="39B2BDD5">
      <w:pPr>
        <w:jc w:val="center"/>
        <w:rPr>
          <w:rFonts w:ascii="Times New Roman" w:hAnsi="Times New Roman" w:eastAsia="黑体" w:cs="Times New Roman"/>
          <w:sz w:val="28"/>
          <w:szCs w:val="28"/>
        </w:rPr>
      </w:pPr>
    </w:p>
    <w:p w14:paraId="754AA3C9">
      <w:pPr>
        <w:jc w:val="center"/>
        <w:rPr>
          <w:rFonts w:ascii="Times New Roman" w:hAnsi="Times New Roman" w:eastAsia="黑体" w:cs="Times New Roman"/>
          <w:sz w:val="28"/>
          <w:szCs w:val="28"/>
        </w:rPr>
      </w:pPr>
    </w:p>
    <w:p w14:paraId="4AA64E64">
      <w:pPr>
        <w:jc w:val="center"/>
        <w:rPr>
          <w:rFonts w:ascii="Times New Roman" w:hAnsi="Times New Roman" w:eastAsia="黑体" w:cs="Times New Roman"/>
          <w:sz w:val="28"/>
          <w:szCs w:val="28"/>
        </w:rPr>
      </w:pPr>
    </w:p>
    <w:p w14:paraId="3CE44C52">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859AE80">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D07F31B">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43ED0B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5640DF68">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怀化市人民政府国有资产监督管理委员会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4B33C689">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162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396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9E424A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D6E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166F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431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F01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67C4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CFB5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C8C05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949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B40A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825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1AAA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6524E">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88B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D968230">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FE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9BC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256F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9D5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2B0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1F55">
            <w:pPr>
              <w:jc w:val="right"/>
              <w:rPr>
                <w:rFonts w:ascii="Times New Roman" w:hAnsi="Times New Roman" w:eastAsia="仿宋_GB2312" w:cs="Times New Roman"/>
                <w:color w:val="000000"/>
                <w:sz w:val="22"/>
              </w:rPr>
            </w:pPr>
          </w:p>
        </w:tc>
      </w:tr>
      <w:tr w14:paraId="13E0E38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ED50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349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2B3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FAB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E79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DC0B">
            <w:pPr>
              <w:jc w:val="right"/>
              <w:rPr>
                <w:rFonts w:ascii="Times New Roman" w:hAnsi="Times New Roman" w:eastAsia="仿宋_GB2312" w:cs="Times New Roman"/>
                <w:color w:val="000000"/>
                <w:sz w:val="22"/>
              </w:rPr>
            </w:pPr>
          </w:p>
        </w:tc>
      </w:tr>
      <w:tr w14:paraId="6F01DE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E00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18EAD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820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D80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1D0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976F">
            <w:pPr>
              <w:jc w:val="right"/>
              <w:rPr>
                <w:rFonts w:ascii="Times New Roman" w:hAnsi="Times New Roman" w:eastAsia="仿宋_GB2312" w:cs="Times New Roman"/>
                <w:color w:val="000000"/>
                <w:sz w:val="22"/>
              </w:rPr>
            </w:pPr>
          </w:p>
        </w:tc>
      </w:tr>
      <w:tr w14:paraId="0B9455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CFD7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EA5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E4B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A10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E9E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79523">
            <w:pPr>
              <w:jc w:val="right"/>
              <w:rPr>
                <w:rFonts w:ascii="Times New Roman" w:hAnsi="Times New Roman" w:eastAsia="仿宋_GB2312" w:cs="Times New Roman"/>
                <w:color w:val="000000"/>
                <w:sz w:val="22"/>
              </w:rPr>
            </w:pPr>
          </w:p>
        </w:tc>
      </w:tr>
      <w:tr w14:paraId="4AB0115C">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3BB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73B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DCA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CFD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F89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F49A">
            <w:pPr>
              <w:jc w:val="right"/>
              <w:rPr>
                <w:rFonts w:ascii="Times New Roman" w:hAnsi="Times New Roman" w:eastAsia="仿宋_GB2312" w:cs="Times New Roman"/>
                <w:color w:val="000000"/>
                <w:sz w:val="22"/>
              </w:rPr>
            </w:pPr>
          </w:p>
        </w:tc>
      </w:tr>
      <w:tr w14:paraId="1F13284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BFB7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846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381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6FAD7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4"/>
                <w:szCs w:val="24"/>
                <w:lang w:eastAsia="zh-CN"/>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E16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02AA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69.76</w:t>
            </w:r>
          </w:p>
        </w:tc>
      </w:tr>
      <w:tr w14:paraId="051EBB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236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91A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C7D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8425F">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1DB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804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23.40</w:t>
            </w:r>
          </w:p>
        </w:tc>
      </w:tr>
      <w:tr w14:paraId="596CF83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13B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EEA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4832">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0BDE">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783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1D2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712.42</w:t>
            </w:r>
          </w:p>
        </w:tc>
      </w:tr>
      <w:tr w14:paraId="40173442">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EA4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033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615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01869">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2"/>
                <w:lang w:eastAsia="zh-CN"/>
              </w:rPr>
              <w:t>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509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4430">
            <w:pPr>
              <w:jc w:val="right"/>
              <w:rPr>
                <w:rFonts w:hint="eastAsia" w:ascii="Times New Roman" w:hAnsi="Times New Roman" w:eastAsia="仿宋_GB2312" w:cs="Times New Roman"/>
                <w:color w:val="000000"/>
                <w:sz w:val="22"/>
                <w:lang w:val="en-US" w:eastAsia="zh-CN"/>
              </w:rPr>
            </w:pPr>
          </w:p>
          <w:p w14:paraId="5A16BE9C">
            <w:pPr>
              <w:jc w:val="center"/>
              <w:rPr>
                <w:rFonts w:hint="default" w:ascii="Times New Roman" w:hAnsi="Times New Roman" w:eastAsia="仿宋_GB2312" w:cs="Times New Roman"/>
                <w:color w:val="000000"/>
                <w:sz w:val="22"/>
                <w:lang w:val="en-US" w:eastAsia="zh-CN"/>
              </w:rPr>
            </w:pPr>
          </w:p>
        </w:tc>
      </w:tr>
      <w:tr w14:paraId="2FD41C0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8CB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9A1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6473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53CD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A19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17EA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r>
      <w:tr w14:paraId="64E68F7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0F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09A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596A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09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A49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82778">
            <w:pPr>
              <w:rPr>
                <w:rFonts w:ascii="Times New Roman" w:hAnsi="Times New Roman" w:eastAsia="仿宋_GB2312" w:cs="Times New Roman"/>
                <w:color w:val="000000"/>
                <w:sz w:val="22"/>
              </w:rPr>
            </w:pPr>
          </w:p>
        </w:tc>
      </w:tr>
      <w:tr w14:paraId="44E3F3A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B0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681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44E5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216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4B3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04FD">
            <w:pPr>
              <w:rPr>
                <w:rFonts w:ascii="Times New Roman" w:hAnsi="Times New Roman" w:eastAsia="仿宋_GB2312" w:cs="Times New Roman"/>
                <w:color w:val="000000"/>
                <w:sz w:val="22"/>
              </w:rPr>
            </w:pPr>
          </w:p>
        </w:tc>
      </w:tr>
      <w:tr w14:paraId="4ADEFDAD">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3A81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1F1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F926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805.58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748B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A46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7D223">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805.58</w:t>
            </w:r>
          </w:p>
        </w:tc>
      </w:tr>
    </w:tbl>
    <w:p w14:paraId="6EC7034F">
      <w:pPr>
        <w:widowControl/>
        <w:jc w:val="left"/>
        <w:textAlignment w:val="center"/>
        <w:rPr>
          <w:rFonts w:ascii="Times New Roman" w:hAnsi="Times New Roman" w:eastAsia="宋体" w:cs="Times New Roman"/>
          <w:color w:val="000000"/>
          <w:kern w:val="0"/>
          <w:sz w:val="24"/>
          <w:szCs w:val="24"/>
        </w:rPr>
      </w:pPr>
    </w:p>
    <w:p w14:paraId="5E25EC6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63A086D4">
      <w:pPr>
        <w:rPr>
          <w:rFonts w:ascii="Times New Roman" w:hAnsi="Times New Roman" w:eastAsia="黑体" w:cs="Times New Roman"/>
          <w:color w:val="000000"/>
          <w:kern w:val="0"/>
          <w:sz w:val="32"/>
          <w:szCs w:val="32"/>
        </w:rPr>
      </w:pPr>
      <w:r>
        <w:rPr>
          <w:rFonts w:ascii="Times New Roman" w:hAnsi="Times New Roman" w:eastAsia="华文中宋" w:cs="Times New Roman"/>
          <w:color w:val="000000"/>
          <w:sz w:val="32"/>
          <w:szCs w:val="32"/>
        </w:rPr>
        <w:br w:type="page"/>
      </w:r>
    </w:p>
    <w:p w14:paraId="4BE18ADF">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FB99B0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835A2A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宋体" w:hAnsi="宋体" w:eastAsia="宋体" w:cs="宋体"/>
          <w:i w:val="0"/>
          <w:color w:val="000000"/>
          <w:kern w:val="0"/>
          <w:sz w:val="20"/>
          <w:szCs w:val="20"/>
          <w:u w:val="none"/>
          <w:lang w:val="en-US" w:eastAsia="zh-CN" w:bidi="ar"/>
        </w:rPr>
        <w:t>怀化市人民政府国有资产监督管理委员会</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009"/>
        <w:gridCol w:w="2400"/>
        <w:gridCol w:w="1417"/>
        <w:gridCol w:w="1640"/>
        <w:gridCol w:w="1640"/>
        <w:gridCol w:w="1640"/>
        <w:gridCol w:w="1640"/>
        <w:gridCol w:w="1897"/>
        <w:gridCol w:w="1383"/>
      </w:tblGrid>
      <w:tr w14:paraId="0E0F10FF">
        <w:tblPrEx>
          <w:tblCellMar>
            <w:top w:w="0" w:type="dxa"/>
            <w:left w:w="0" w:type="dxa"/>
            <w:bottom w:w="0" w:type="dxa"/>
            <w:right w:w="0" w:type="dxa"/>
          </w:tblCellMar>
        </w:tblPrEx>
        <w:trPr>
          <w:trHeight w:val="450" w:hRule="atLeast"/>
          <w:jc w:val="center"/>
        </w:trPr>
        <w:tc>
          <w:tcPr>
            <w:tcW w:w="340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EC56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E17A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7313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A59F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7F45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F5EB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AE1BD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F713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1876FE6">
        <w:tblPrEx>
          <w:tblCellMar>
            <w:top w:w="0" w:type="dxa"/>
            <w:left w:w="0" w:type="dxa"/>
            <w:bottom w:w="0" w:type="dxa"/>
            <w:right w:w="0" w:type="dxa"/>
          </w:tblCellMar>
        </w:tblPrEx>
        <w:trPr>
          <w:trHeight w:val="334" w:hRule="exact"/>
          <w:jc w:val="center"/>
        </w:trPr>
        <w:tc>
          <w:tcPr>
            <w:tcW w:w="10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CBF7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4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3AEAD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022FB9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26AEC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9BF06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68F1C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F1C5B9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2B5007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6FB4B98">
            <w:pPr>
              <w:rPr>
                <w:rFonts w:ascii="Times New Roman" w:hAnsi="Times New Roman" w:eastAsia="仿宋_GB2312" w:cs="Times New Roman"/>
                <w:sz w:val="24"/>
                <w:szCs w:val="24"/>
              </w:rPr>
            </w:pPr>
          </w:p>
        </w:tc>
      </w:tr>
      <w:tr w14:paraId="353B9EE0">
        <w:tblPrEx>
          <w:tblCellMar>
            <w:top w:w="0" w:type="dxa"/>
            <w:left w:w="0" w:type="dxa"/>
            <w:bottom w:w="0" w:type="dxa"/>
            <w:right w:w="0" w:type="dxa"/>
          </w:tblCellMar>
        </w:tblPrEx>
        <w:trPr>
          <w:trHeight w:val="312" w:hRule="atLeast"/>
          <w:jc w:val="center"/>
        </w:trPr>
        <w:tc>
          <w:tcPr>
            <w:tcW w:w="1009" w:type="dxa"/>
            <w:vMerge w:val="continue"/>
            <w:tcBorders>
              <w:top w:val="single" w:color="auto" w:sz="4" w:space="0"/>
              <w:left w:val="single" w:color="auto" w:sz="4" w:space="0"/>
              <w:bottom w:val="single" w:color="auto" w:sz="4" w:space="0"/>
              <w:right w:val="single" w:color="auto" w:sz="4" w:space="0"/>
            </w:tcBorders>
            <w:vAlign w:val="center"/>
          </w:tcPr>
          <w:p w14:paraId="18FA63F8">
            <w:pPr>
              <w:rPr>
                <w:rFonts w:ascii="Times New Roman" w:hAnsi="Times New Roman" w:eastAsia="仿宋_GB2312" w:cs="Times New Roman"/>
                <w:sz w:val="24"/>
                <w:szCs w:val="24"/>
              </w:rPr>
            </w:pPr>
          </w:p>
        </w:tc>
        <w:tc>
          <w:tcPr>
            <w:tcW w:w="2400" w:type="dxa"/>
            <w:vMerge w:val="continue"/>
            <w:tcBorders>
              <w:top w:val="nil"/>
              <w:left w:val="single" w:color="auto" w:sz="4" w:space="0"/>
              <w:bottom w:val="single" w:color="auto" w:sz="4" w:space="0"/>
              <w:right w:val="single" w:color="auto" w:sz="4" w:space="0"/>
            </w:tcBorders>
            <w:vAlign w:val="center"/>
          </w:tcPr>
          <w:p w14:paraId="7968C656">
            <w:pPr>
              <w:rPr>
                <w:rFonts w:ascii="Times New Roman" w:hAnsi="Times New Roman" w:eastAsia="仿宋_GB2312" w:cs="Times New Roman"/>
                <w:sz w:val="24"/>
                <w:szCs w:val="24"/>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AC17DF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0B62B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E3ADBB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E63B5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6065B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6ACD39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6E757E2">
            <w:pPr>
              <w:rPr>
                <w:rFonts w:ascii="Times New Roman" w:hAnsi="Times New Roman" w:eastAsia="仿宋_GB2312" w:cs="Times New Roman"/>
                <w:sz w:val="24"/>
                <w:szCs w:val="24"/>
              </w:rPr>
            </w:pPr>
          </w:p>
        </w:tc>
      </w:tr>
      <w:tr w14:paraId="0BCFBA10">
        <w:tblPrEx>
          <w:tblCellMar>
            <w:top w:w="0" w:type="dxa"/>
            <w:left w:w="0" w:type="dxa"/>
            <w:bottom w:w="0" w:type="dxa"/>
            <w:right w:w="0" w:type="dxa"/>
          </w:tblCellMar>
        </w:tblPrEx>
        <w:trPr>
          <w:trHeight w:val="369" w:hRule="atLeast"/>
          <w:jc w:val="center"/>
        </w:trPr>
        <w:tc>
          <w:tcPr>
            <w:tcW w:w="34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90DF5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A0BB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77FCD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D279A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E8DED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3052C0">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6A9B9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8ACD7">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6B3F3E9">
        <w:tblPrEx>
          <w:tblCellMar>
            <w:top w:w="0" w:type="dxa"/>
            <w:left w:w="0" w:type="dxa"/>
            <w:bottom w:w="0" w:type="dxa"/>
            <w:right w:w="0" w:type="dxa"/>
          </w:tblCellMar>
        </w:tblPrEx>
        <w:trPr>
          <w:trHeight w:val="417" w:hRule="atLeast"/>
          <w:jc w:val="center"/>
        </w:trPr>
        <w:tc>
          <w:tcPr>
            <w:tcW w:w="34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6A2789">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AF359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805.58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7733A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805.58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0FA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D95F9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597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26F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D0F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5FA5121">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3E32AF">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208</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6AED7C">
            <w:pPr>
              <w:rPr>
                <w:rFonts w:ascii="Times New Roman" w:hAnsi="Times New Roman" w:eastAsia="仿宋_GB2312" w:cs="Times New Roman"/>
                <w:sz w:val="24"/>
                <w:szCs w:val="24"/>
              </w:rPr>
            </w:pPr>
            <w:r>
              <w:rPr>
                <w:rFonts w:hint="eastAsia"/>
                <w:sz w:val="21"/>
                <w:szCs w:val="21"/>
                <w:lang w:eastAsia="zh-CN"/>
              </w:rPr>
              <w:t>社会保障和就业支出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8D1E7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3EE1A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CFC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3F486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D26C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08D7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5450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E23CD7">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576BB">
            <w:pPr>
              <w:rPr>
                <w:rFonts w:hint="default" w:ascii="Times New Roman" w:hAnsi="Times New Roman" w:eastAsia="仿宋_GB2312" w:cs="Times New Roman"/>
                <w:sz w:val="24"/>
                <w:szCs w:val="24"/>
                <w:lang w:val="en-US" w:eastAsia="zh-CN"/>
              </w:rPr>
            </w:pPr>
            <w:r>
              <w:rPr>
                <w:rFonts w:hint="eastAsia"/>
                <w:lang w:val="en-US" w:eastAsia="zh-CN"/>
              </w:rPr>
              <w:t>20805</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7F8AE5">
            <w:pPr>
              <w:rPr>
                <w:rFonts w:ascii="Times New Roman" w:hAnsi="Times New Roman" w:eastAsia="仿宋_GB2312" w:cs="Times New Roman"/>
                <w:sz w:val="24"/>
                <w:szCs w:val="24"/>
              </w:rPr>
            </w:pPr>
            <w:r>
              <w:rPr>
                <w:rFonts w:hint="eastAsia"/>
                <w:sz w:val="21"/>
                <w:szCs w:val="21"/>
                <w:lang w:eastAsia="zh-CN"/>
              </w:rPr>
              <w:t>行政事业单位养老支出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646BA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7F206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69.76</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04DE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D38D2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D3B9F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A3CB6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7390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D9CA518">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804E1">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2080501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BC5D9">
            <w:pPr>
              <w:rPr>
                <w:rFonts w:ascii="Times New Roman" w:hAnsi="Times New Roman" w:eastAsia="仿宋_GB2312" w:cs="Times New Roman"/>
                <w:sz w:val="24"/>
                <w:szCs w:val="24"/>
              </w:rPr>
            </w:pPr>
            <w:r>
              <w:rPr>
                <w:rFonts w:hint="eastAsia"/>
                <w:sz w:val="21"/>
                <w:szCs w:val="21"/>
                <w:lang w:eastAsia="zh-CN"/>
              </w:rPr>
              <w:t>行政单位离退休</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0F0B5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13.93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24D08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13.93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DE5ED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E904B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F50E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C459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E4A7E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3D03E95">
        <w:tblPrEx>
          <w:tblCellMar>
            <w:top w:w="0" w:type="dxa"/>
            <w:left w:w="0" w:type="dxa"/>
            <w:bottom w:w="0" w:type="dxa"/>
            <w:right w:w="0" w:type="dxa"/>
          </w:tblCellMar>
        </w:tblPrEx>
        <w:trPr>
          <w:trHeight w:val="603"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762E9C">
            <w:pPr>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2080505</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24CD9C">
            <w:pPr>
              <w:rPr>
                <w:rFonts w:ascii="Times New Roman" w:hAnsi="Times New Roman" w:eastAsia="仿宋_GB2312" w:cs="Times New Roman"/>
                <w:sz w:val="24"/>
                <w:szCs w:val="24"/>
              </w:rPr>
            </w:pPr>
            <w:r>
              <w:rPr>
                <w:rFonts w:hint="eastAsia"/>
                <w:sz w:val="21"/>
                <w:szCs w:val="21"/>
                <w:lang w:eastAsia="zh-CN"/>
              </w:rPr>
              <w:t>机关事业单位基本养老保险缴费支出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B6D28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55.83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E81F7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55.83</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CE85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4EFD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4DAA9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B7BE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8379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03233A8">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393D89">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210</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EB83A2">
            <w:pPr>
              <w:rPr>
                <w:rFonts w:ascii="Times New Roman" w:hAnsi="Times New Roman" w:eastAsia="仿宋_GB2312" w:cs="Times New Roman"/>
                <w:sz w:val="24"/>
                <w:szCs w:val="24"/>
              </w:rPr>
            </w:pPr>
            <w:r>
              <w:rPr>
                <w:rFonts w:hint="eastAsia" w:ascii="Times New Roman" w:hAnsi="Times New Roman" w:eastAsia="仿宋_GB2312" w:cs="Times New Roman"/>
              </w:rPr>
              <w:t>卫生健康支出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A9451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96DA6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475B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1C8E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2CEE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3D39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5598A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8255510">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463A41">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21011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2001E1">
            <w:pPr>
              <w:rPr>
                <w:rFonts w:ascii="Times New Roman" w:hAnsi="Times New Roman" w:eastAsia="仿宋_GB2312" w:cs="Times New Roman"/>
                <w:sz w:val="24"/>
                <w:szCs w:val="24"/>
              </w:rPr>
            </w:pPr>
            <w:r>
              <w:rPr>
                <w:rFonts w:hint="eastAsia" w:ascii="Times New Roman" w:hAnsi="Times New Roman" w:eastAsia="仿宋_GB2312" w:cs="Times New Roman"/>
              </w:rPr>
              <w:t>行政事业单位医疗</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3E26E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A37DA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23.40</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AF6A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E883B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C542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F7B48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20DE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8D31280">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045E7A">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E91A17">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164D2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35B26D">
            <w:pPr>
              <w:jc w:val="right"/>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23.40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92C27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8F195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9D47A7">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C18DDC">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88FEF1">
            <w:pPr>
              <w:jc w:val="right"/>
              <w:rPr>
                <w:rFonts w:ascii="Times New Roman" w:hAnsi="Times New Roman" w:eastAsia="仿宋_GB2312" w:cs="Times New Roman"/>
              </w:rPr>
            </w:pPr>
          </w:p>
        </w:tc>
      </w:tr>
      <w:tr w14:paraId="64CB0A10">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DD040E">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60A808">
            <w:pPr>
              <w:rPr>
                <w:rFonts w:ascii="Times New Roman" w:hAnsi="Times New Roman" w:eastAsia="仿宋_GB2312" w:cs="Times New Roman"/>
              </w:rPr>
            </w:pPr>
            <w:r>
              <w:rPr>
                <w:rFonts w:hint="eastAsia" w:ascii="Times New Roman" w:hAnsi="Times New Roman" w:eastAsia="仿宋_GB2312" w:cs="Times New Roman"/>
              </w:rPr>
              <w:t>资源勘探工业信息等支出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03579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C83E3C">
            <w:pPr>
              <w:jc w:val="right"/>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DA2D7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E0B7A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6B4DB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3D7B0D">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50FE05">
            <w:pPr>
              <w:jc w:val="right"/>
              <w:rPr>
                <w:rFonts w:ascii="Times New Roman" w:hAnsi="Times New Roman" w:eastAsia="仿宋_GB2312" w:cs="Times New Roman"/>
              </w:rPr>
            </w:pPr>
          </w:p>
        </w:tc>
      </w:tr>
      <w:tr w14:paraId="11A28442">
        <w:tblPrEx>
          <w:tblCellMar>
            <w:top w:w="0" w:type="dxa"/>
            <w:left w:w="0" w:type="dxa"/>
            <w:bottom w:w="0" w:type="dxa"/>
            <w:right w:w="0" w:type="dxa"/>
          </w:tblCellMar>
        </w:tblPrEx>
        <w:trPr>
          <w:trHeight w:val="450"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3219A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21507</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F66D3F">
            <w:pPr>
              <w:rPr>
                <w:rFonts w:hint="eastAsia" w:ascii="Times New Roman" w:hAnsi="Times New Roman" w:eastAsia="仿宋_GB2312" w:cs="Times New Roman"/>
              </w:rPr>
            </w:pPr>
            <w:r>
              <w:rPr>
                <w:rFonts w:hint="eastAsia" w:ascii="Times New Roman" w:hAnsi="Times New Roman" w:eastAsia="仿宋_GB2312" w:cs="Times New Roman"/>
              </w:rPr>
              <w:t>国有资产监管</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BCD94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1439E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712.42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CE7EF0">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BB5945">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3F2D5C">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7C0B0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7BDC02">
            <w:pPr>
              <w:jc w:val="right"/>
              <w:rPr>
                <w:rFonts w:ascii="Times New Roman" w:hAnsi="Times New Roman" w:eastAsia="仿宋_GB2312" w:cs="Times New Roman"/>
              </w:rPr>
            </w:pPr>
          </w:p>
        </w:tc>
      </w:tr>
      <w:tr w14:paraId="2719878E">
        <w:tblPrEx>
          <w:tblCellMar>
            <w:top w:w="0" w:type="dxa"/>
            <w:left w:w="0" w:type="dxa"/>
            <w:bottom w:w="0" w:type="dxa"/>
            <w:right w:w="0" w:type="dxa"/>
          </w:tblCellMar>
        </w:tblPrEx>
        <w:trPr>
          <w:trHeight w:val="439"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B94A73">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2150701</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068F0D">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行政运行</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1472E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57E26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67E339">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F6F58">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33812F">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2CE9EE">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A21F53">
            <w:pPr>
              <w:jc w:val="right"/>
              <w:rPr>
                <w:rFonts w:ascii="Times New Roman" w:hAnsi="Times New Roman" w:eastAsia="仿宋_GB2312" w:cs="Times New Roman"/>
              </w:rPr>
            </w:pPr>
          </w:p>
        </w:tc>
      </w:tr>
      <w:tr w14:paraId="58808040">
        <w:tblPrEx>
          <w:tblCellMar>
            <w:top w:w="0" w:type="dxa"/>
            <w:left w:w="0" w:type="dxa"/>
            <w:bottom w:w="0" w:type="dxa"/>
            <w:right w:w="0" w:type="dxa"/>
          </w:tblCellMar>
        </w:tblPrEx>
        <w:trPr>
          <w:trHeight w:val="453" w:hRule="atLeast"/>
          <w:jc w:val="center"/>
        </w:trPr>
        <w:tc>
          <w:tcPr>
            <w:tcW w:w="10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EB369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2150799</w:t>
            </w:r>
          </w:p>
        </w:tc>
        <w:tc>
          <w:tcPr>
            <w:tcW w:w="240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C86A85">
            <w:pPr>
              <w:rPr>
                <w:rFonts w:ascii="Times New Roman" w:hAnsi="Times New Roman" w:eastAsia="仿宋_GB2312" w:cs="Times New Roman"/>
              </w:rPr>
            </w:pPr>
            <w:r>
              <w:rPr>
                <w:rFonts w:hint="eastAsia" w:ascii="Times New Roman" w:hAnsi="Times New Roman" w:eastAsia="仿宋_GB2312" w:cs="Times New Roman"/>
              </w:rPr>
              <w:t>其他国有资产监管支出</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C45FB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A9E962">
            <w:pPr>
              <w:jc w:val="right"/>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126.20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20A67C">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A70E7A">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2DE269">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37F023">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874D8E">
            <w:pPr>
              <w:jc w:val="right"/>
              <w:rPr>
                <w:rFonts w:ascii="Times New Roman" w:hAnsi="Times New Roman" w:eastAsia="仿宋_GB2312" w:cs="Times New Roman"/>
              </w:rPr>
            </w:pPr>
          </w:p>
        </w:tc>
      </w:tr>
    </w:tbl>
    <w:p w14:paraId="2263A195">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F28F82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2F203F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B66A70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怀化市人民政府国有资产监督管理委员会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1707"/>
        <w:gridCol w:w="2058"/>
        <w:gridCol w:w="1874"/>
        <w:gridCol w:w="1332"/>
        <w:gridCol w:w="1333"/>
        <w:gridCol w:w="1877"/>
        <w:gridCol w:w="1333"/>
        <w:gridCol w:w="2697"/>
      </w:tblGrid>
      <w:tr w14:paraId="71E3C63A">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100034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B58F6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B17E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8FE5F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C8F3EA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F77FA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9AA74F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B1530ED">
        <w:tblPrEx>
          <w:tblCellMar>
            <w:top w:w="0" w:type="dxa"/>
            <w:left w:w="108" w:type="dxa"/>
            <w:bottom w:w="0" w:type="dxa"/>
            <w:right w:w="108" w:type="dxa"/>
          </w:tblCellMar>
        </w:tblPrEx>
        <w:trPr>
          <w:trHeight w:val="312" w:hRule="exact"/>
          <w:jc w:val="center"/>
        </w:trPr>
        <w:tc>
          <w:tcPr>
            <w:tcW w:w="60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BC56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24" w:type="pct"/>
            <w:vMerge w:val="restart"/>
            <w:tcBorders>
              <w:top w:val="nil"/>
              <w:left w:val="single" w:color="auto" w:sz="4" w:space="0"/>
              <w:bottom w:val="single" w:color="auto" w:sz="4" w:space="0"/>
              <w:right w:val="single" w:color="auto" w:sz="4" w:space="0"/>
            </w:tcBorders>
            <w:shd w:val="clear" w:color="000000" w:fill="FFFFFF"/>
            <w:vAlign w:val="center"/>
          </w:tcPr>
          <w:p w14:paraId="6A80EDE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33AD7602">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44F1A8E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7AB628F">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22D582C">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98C9104">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3BC4BC0">
            <w:pPr>
              <w:widowControl/>
              <w:jc w:val="left"/>
              <w:rPr>
                <w:rFonts w:ascii="Times New Roman" w:hAnsi="Times New Roman" w:eastAsia="仿宋_GB2312" w:cs="Times New Roman"/>
                <w:b/>
                <w:bCs/>
                <w:kern w:val="0"/>
                <w:sz w:val="24"/>
                <w:szCs w:val="24"/>
              </w:rPr>
            </w:pPr>
          </w:p>
        </w:tc>
      </w:tr>
      <w:tr w14:paraId="25AD6AAA">
        <w:tblPrEx>
          <w:tblCellMar>
            <w:top w:w="0" w:type="dxa"/>
            <w:left w:w="108" w:type="dxa"/>
            <w:bottom w:w="0" w:type="dxa"/>
            <w:right w:w="108" w:type="dxa"/>
          </w:tblCellMar>
        </w:tblPrEx>
        <w:trPr>
          <w:trHeight w:val="595" w:hRule="atLeast"/>
          <w:jc w:val="center"/>
        </w:trPr>
        <w:tc>
          <w:tcPr>
            <w:tcW w:w="600" w:type="pct"/>
            <w:vMerge w:val="continue"/>
            <w:tcBorders>
              <w:top w:val="single" w:color="auto" w:sz="4" w:space="0"/>
              <w:left w:val="single" w:color="auto" w:sz="4" w:space="0"/>
              <w:bottom w:val="single" w:color="auto" w:sz="4" w:space="0"/>
              <w:right w:val="single" w:color="auto" w:sz="4" w:space="0"/>
            </w:tcBorders>
            <w:vAlign w:val="center"/>
          </w:tcPr>
          <w:p w14:paraId="25EB35FF">
            <w:pPr>
              <w:widowControl/>
              <w:jc w:val="left"/>
              <w:rPr>
                <w:rFonts w:ascii="Times New Roman" w:hAnsi="Times New Roman" w:eastAsia="仿宋_GB2312" w:cs="Times New Roman"/>
                <w:kern w:val="0"/>
                <w:sz w:val="24"/>
                <w:szCs w:val="24"/>
              </w:rPr>
            </w:pPr>
          </w:p>
        </w:tc>
        <w:tc>
          <w:tcPr>
            <w:tcW w:w="724" w:type="pct"/>
            <w:vMerge w:val="continue"/>
            <w:tcBorders>
              <w:top w:val="nil"/>
              <w:left w:val="single" w:color="auto" w:sz="4" w:space="0"/>
              <w:bottom w:val="single" w:color="auto" w:sz="4" w:space="0"/>
              <w:right w:val="single" w:color="auto" w:sz="4" w:space="0"/>
            </w:tcBorders>
            <w:vAlign w:val="center"/>
          </w:tcPr>
          <w:p w14:paraId="5244564C">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4E811CAE">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5049EE73">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C9C3DD0">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BDDC802">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ECA8871">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06B5B8F">
            <w:pPr>
              <w:widowControl/>
              <w:jc w:val="left"/>
              <w:rPr>
                <w:rFonts w:ascii="Times New Roman" w:hAnsi="Times New Roman" w:eastAsia="仿宋_GB2312" w:cs="Times New Roman"/>
                <w:kern w:val="0"/>
                <w:sz w:val="24"/>
                <w:szCs w:val="24"/>
              </w:rPr>
            </w:pPr>
          </w:p>
        </w:tc>
      </w:tr>
      <w:tr w14:paraId="1A02DB56">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35704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14:paraId="6A49AE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8" w:type="pct"/>
            <w:tcBorders>
              <w:top w:val="nil"/>
              <w:left w:val="nil"/>
              <w:bottom w:val="single" w:color="auto" w:sz="4" w:space="0"/>
              <w:right w:val="single" w:color="auto" w:sz="4" w:space="0"/>
            </w:tcBorders>
            <w:shd w:val="clear" w:color="000000" w:fill="FFFFFF"/>
            <w:noWrap/>
            <w:vAlign w:val="center"/>
          </w:tcPr>
          <w:p w14:paraId="351097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4AF8D3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B7B19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44432B5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47B17E7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7A206DA">
        <w:tblPrEx>
          <w:tblCellMar>
            <w:top w:w="0" w:type="dxa"/>
            <w:left w:w="108" w:type="dxa"/>
            <w:bottom w:w="0" w:type="dxa"/>
            <w:right w:w="108" w:type="dxa"/>
          </w:tblCellMar>
        </w:tblPrEx>
        <w:trPr>
          <w:trHeight w:val="595" w:hRule="atLeast"/>
          <w:jc w:val="center"/>
        </w:trPr>
        <w:tc>
          <w:tcPr>
            <w:tcW w:w="132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EF28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59" w:type="pct"/>
            <w:tcBorders>
              <w:top w:val="nil"/>
              <w:left w:val="nil"/>
              <w:bottom w:val="single" w:color="auto" w:sz="4" w:space="0"/>
              <w:right w:val="single" w:color="auto" w:sz="4" w:space="0"/>
            </w:tcBorders>
            <w:shd w:val="clear" w:color="auto" w:fill="auto"/>
            <w:noWrap/>
            <w:vAlign w:val="center"/>
          </w:tcPr>
          <w:p w14:paraId="3F1B58B3">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805.58</w:t>
            </w:r>
          </w:p>
        </w:tc>
        <w:tc>
          <w:tcPr>
            <w:tcW w:w="468" w:type="pct"/>
            <w:tcBorders>
              <w:top w:val="nil"/>
              <w:left w:val="nil"/>
              <w:bottom w:val="single" w:color="auto" w:sz="4" w:space="0"/>
              <w:right w:val="single" w:color="auto" w:sz="4" w:space="0"/>
            </w:tcBorders>
            <w:shd w:val="clear" w:color="auto" w:fill="auto"/>
            <w:noWrap/>
            <w:vAlign w:val="center"/>
          </w:tcPr>
          <w:p w14:paraId="3B4C0137">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679.38</w:t>
            </w:r>
          </w:p>
        </w:tc>
        <w:tc>
          <w:tcPr>
            <w:tcW w:w="469" w:type="pct"/>
            <w:tcBorders>
              <w:top w:val="nil"/>
              <w:left w:val="nil"/>
              <w:bottom w:val="single" w:color="auto" w:sz="4" w:space="0"/>
              <w:right w:val="single" w:color="auto" w:sz="4" w:space="0"/>
            </w:tcBorders>
            <w:shd w:val="clear" w:color="auto" w:fill="auto"/>
            <w:noWrap/>
            <w:vAlign w:val="center"/>
          </w:tcPr>
          <w:p w14:paraId="30FCD82C">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126.20</w:t>
            </w:r>
          </w:p>
        </w:tc>
        <w:tc>
          <w:tcPr>
            <w:tcW w:w="660" w:type="pct"/>
            <w:tcBorders>
              <w:top w:val="nil"/>
              <w:left w:val="nil"/>
              <w:bottom w:val="single" w:color="auto" w:sz="4" w:space="0"/>
              <w:right w:val="single" w:color="auto" w:sz="4" w:space="0"/>
            </w:tcBorders>
            <w:shd w:val="clear" w:color="auto" w:fill="auto"/>
            <w:noWrap/>
            <w:vAlign w:val="center"/>
          </w:tcPr>
          <w:p w14:paraId="4C89D37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42587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39570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7E71095">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0479D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724" w:type="pct"/>
            <w:tcBorders>
              <w:top w:val="nil"/>
              <w:left w:val="nil"/>
              <w:bottom w:val="single" w:color="auto" w:sz="4" w:space="0"/>
              <w:right w:val="single" w:color="auto" w:sz="4" w:space="0"/>
            </w:tcBorders>
            <w:shd w:val="clear" w:color="000000" w:fill="FFFFFF"/>
            <w:noWrap/>
            <w:vAlign w:val="center"/>
          </w:tcPr>
          <w:p w14:paraId="2138711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659" w:type="pct"/>
            <w:tcBorders>
              <w:top w:val="nil"/>
              <w:left w:val="nil"/>
              <w:bottom w:val="single" w:color="auto" w:sz="4" w:space="0"/>
              <w:right w:val="single" w:color="auto" w:sz="4" w:space="0"/>
            </w:tcBorders>
            <w:shd w:val="clear" w:color="auto" w:fill="auto"/>
            <w:noWrap/>
            <w:vAlign w:val="center"/>
          </w:tcPr>
          <w:p w14:paraId="3C3B8930">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8" w:type="pct"/>
            <w:tcBorders>
              <w:top w:val="nil"/>
              <w:left w:val="nil"/>
              <w:bottom w:val="single" w:color="auto" w:sz="4" w:space="0"/>
              <w:right w:val="single" w:color="auto" w:sz="4" w:space="0"/>
            </w:tcBorders>
            <w:shd w:val="clear" w:color="auto" w:fill="auto"/>
            <w:noWrap/>
            <w:vAlign w:val="center"/>
          </w:tcPr>
          <w:p w14:paraId="4AA2E3AC">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9" w:type="pct"/>
            <w:tcBorders>
              <w:top w:val="nil"/>
              <w:left w:val="nil"/>
              <w:bottom w:val="single" w:color="auto" w:sz="4" w:space="0"/>
              <w:right w:val="single" w:color="auto" w:sz="4" w:space="0"/>
            </w:tcBorders>
            <w:shd w:val="clear" w:color="auto" w:fill="auto"/>
            <w:noWrap/>
            <w:vAlign w:val="center"/>
          </w:tcPr>
          <w:p w14:paraId="48A24D9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nil"/>
              <w:left w:val="nil"/>
              <w:bottom w:val="single" w:color="auto" w:sz="4" w:space="0"/>
              <w:right w:val="single" w:color="auto" w:sz="4" w:space="0"/>
            </w:tcBorders>
            <w:shd w:val="clear" w:color="auto" w:fill="auto"/>
            <w:noWrap/>
            <w:vAlign w:val="center"/>
          </w:tcPr>
          <w:p w14:paraId="418903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AE9D3B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00650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861D150">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30F3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C5D9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81647B">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E87BF5">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69.76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7686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2799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24248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EC3A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C522F5D">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CB029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ED51A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行政单位离退休</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39E59E">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13.93</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5420C9">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13.93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DD523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8F88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01BD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7989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28F4497">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7250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D4869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F8204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55.83</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5195D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55.83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0BA336">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236D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1AFE0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BF59C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BB310EA">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A983D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3BD41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DB2BFF">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44ED41">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18125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B5C6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84FF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32055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6A0701">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6371AD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B6682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66587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866D52">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FC903D">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ED28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AD6E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E290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6AF3455">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F9689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56804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EA2C29">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7DFCF8">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23.40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DF1E2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8E07D9">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D81D62">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F6C448">
            <w:pPr>
              <w:widowControl/>
              <w:jc w:val="right"/>
              <w:rPr>
                <w:rFonts w:ascii="Times New Roman" w:hAnsi="Times New Roman" w:eastAsia="仿宋_GB2312" w:cs="Times New Roman"/>
                <w:kern w:val="0"/>
                <w:sz w:val="24"/>
                <w:szCs w:val="24"/>
              </w:rPr>
            </w:pPr>
          </w:p>
        </w:tc>
      </w:tr>
      <w:tr w14:paraId="311F75C4">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E03A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16461A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4F4A9B">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712.42</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20C34">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586.22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975380">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126.20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FF33FF">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361103">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8FC819">
            <w:pPr>
              <w:widowControl/>
              <w:jc w:val="right"/>
              <w:rPr>
                <w:rFonts w:ascii="Times New Roman" w:hAnsi="Times New Roman" w:eastAsia="仿宋_GB2312" w:cs="Times New Roman"/>
                <w:kern w:val="0"/>
                <w:sz w:val="24"/>
                <w:szCs w:val="24"/>
              </w:rPr>
            </w:pPr>
          </w:p>
        </w:tc>
      </w:tr>
      <w:tr w14:paraId="30B9E763">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68D43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21507</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5CD72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国有资产监管</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A02A67">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712.42</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C16572">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586.22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61B9F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AF0389">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9E0FA6">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C94F53">
            <w:pPr>
              <w:widowControl/>
              <w:jc w:val="right"/>
              <w:rPr>
                <w:rFonts w:ascii="Times New Roman" w:hAnsi="Times New Roman" w:eastAsia="仿宋_GB2312" w:cs="Times New Roman"/>
                <w:kern w:val="0"/>
                <w:sz w:val="24"/>
                <w:szCs w:val="24"/>
              </w:rPr>
            </w:pPr>
          </w:p>
        </w:tc>
      </w:tr>
      <w:tr w14:paraId="2E2A453E">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0E2EF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2150701</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06D65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7F2655">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9EBCE8">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586.22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B8796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4D5C83">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2C0940">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C20CA0">
            <w:pPr>
              <w:widowControl/>
              <w:jc w:val="right"/>
              <w:rPr>
                <w:rFonts w:ascii="Times New Roman" w:hAnsi="Times New Roman" w:eastAsia="仿宋_GB2312" w:cs="Times New Roman"/>
                <w:kern w:val="0"/>
                <w:sz w:val="24"/>
                <w:szCs w:val="24"/>
              </w:rPr>
            </w:pPr>
          </w:p>
        </w:tc>
      </w:tr>
      <w:tr w14:paraId="0DA0E16B">
        <w:tblPrEx>
          <w:tblCellMar>
            <w:top w:w="0" w:type="dxa"/>
            <w:left w:w="108" w:type="dxa"/>
            <w:bottom w:w="0" w:type="dxa"/>
            <w:right w:w="108" w:type="dxa"/>
          </w:tblCellMar>
        </w:tblPrEx>
        <w:trPr>
          <w:trHeight w:val="595" w:hRule="atLeast"/>
          <w:jc w:val="center"/>
        </w:trPr>
        <w:tc>
          <w:tcPr>
            <w:tcW w:w="60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7959B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2150799</w:t>
            </w:r>
          </w:p>
        </w:tc>
        <w:tc>
          <w:tcPr>
            <w:tcW w:w="7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47B06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其他国有资产监管支出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0E6984">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126.20</w:t>
            </w: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CA856E">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A4790B">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126.20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4D2EBC">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61D79B">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3558F">
            <w:pPr>
              <w:widowControl/>
              <w:jc w:val="right"/>
              <w:rPr>
                <w:rFonts w:ascii="Times New Roman" w:hAnsi="Times New Roman" w:eastAsia="仿宋_GB2312" w:cs="Times New Roman"/>
                <w:kern w:val="0"/>
                <w:sz w:val="24"/>
                <w:szCs w:val="24"/>
              </w:rPr>
            </w:pPr>
          </w:p>
        </w:tc>
      </w:tr>
    </w:tbl>
    <w:p w14:paraId="7279496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E444E4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4B234A4">
      <w:pPr>
        <w:widowControl/>
        <w:spacing w:line="400" w:lineRule="exact"/>
        <w:jc w:val="center"/>
        <w:textAlignment w:val="center"/>
        <w:rPr>
          <w:rFonts w:ascii="Times New Roman" w:hAnsi="Times New Roman" w:eastAsia="黑体" w:cs="Times New Roman"/>
          <w:color w:val="000000"/>
          <w:kern w:val="0"/>
          <w:sz w:val="32"/>
          <w:szCs w:val="32"/>
        </w:rPr>
      </w:pPr>
    </w:p>
    <w:p w14:paraId="378AF244">
      <w:pPr>
        <w:pStyle w:val="8"/>
        <w:rPr>
          <w:rFonts w:ascii="Times New Roman" w:hAnsi="Times New Roman" w:eastAsia="黑体" w:cs="Times New Roman"/>
          <w:color w:val="000000"/>
          <w:kern w:val="0"/>
          <w:sz w:val="32"/>
          <w:szCs w:val="32"/>
        </w:rPr>
      </w:pPr>
    </w:p>
    <w:p w14:paraId="2BE5F508">
      <w:pPr>
        <w:pStyle w:val="4"/>
        <w:rPr>
          <w:rFonts w:ascii="Times New Roman" w:hAnsi="Times New Roman" w:eastAsia="黑体" w:cs="Times New Roman"/>
          <w:color w:val="000000"/>
          <w:kern w:val="0"/>
          <w:sz w:val="32"/>
          <w:szCs w:val="32"/>
        </w:rPr>
      </w:pPr>
    </w:p>
    <w:p w14:paraId="17D3BF16">
      <w:pPr>
        <w:rPr>
          <w:rFonts w:ascii="Times New Roman" w:hAnsi="Times New Roman" w:eastAsia="黑体" w:cs="Times New Roman"/>
          <w:color w:val="000000"/>
          <w:kern w:val="0"/>
          <w:sz w:val="32"/>
          <w:szCs w:val="32"/>
        </w:rPr>
      </w:pPr>
    </w:p>
    <w:p w14:paraId="2B4C838E">
      <w:pPr>
        <w:pStyle w:val="8"/>
        <w:rPr>
          <w:rFonts w:ascii="Times New Roman" w:hAnsi="Times New Roman" w:eastAsia="黑体" w:cs="Times New Roman"/>
          <w:color w:val="000000"/>
          <w:kern w:val="0"/>
          <w:sz w:val="32"/>
          <w:szCs w:val="32"/>
        </w:rPr>
      </w:pPr>
    </w:p>
    <w:p w14:paraId="6EE30DA3">
      <w:pPr>
        <w:pStyle w:val="4"/>
        <w:rPr>
          <w:rFonts w:ascii="Times New Roman" w:hAnsi="Times New Roman" w:eastAsia="黑体" w:cs="Times New Roman"/>
          <w:color w:val="000000"/>
          <w:kern w:val="0"/>
          <w:sz w:val="32"/>
          <w:szCs w:val="32"/>
        </w:rPr>
      </w:pPr>
    </w:p>
    <w:p w14:paraId="22A7426E">
      <w:pPr>
        <w:rPr>
          <w:rFonts w:ascii="Times New Roman" w:hAnsi="Times New Roman" w:eastAsia="黑体" w:cs="Times New Roman"/>
          <w:color w:val="000000"/>
          <w:kern w:val="0"/>
          <w:sz w:val="32"/>
          <w:szCs w:val="32"/>
        </w:rPr>
      </w:pPr>
    </w:p>
    <w:p w14:paraId="13DB1D15">
      <w:pPr>
        <w:rPr>
          <w:rFonts w:ascii="Times New Roman" w:hAnsi="Times New Roman" w:eastAsia="黑体" w:cs="Times New Roman"/>
          <w:color w:val="000000"/>
          <w:kern w:val="0"/>
          <w:sz w:val="32"/>
          <w:szCs w:val="32"/>
        </w:rPr>
      </w:pPr>
    </w:p>
    <w:p w14:paraId="0C458057">
      <w:pPr>
        <w:rPr>
          <w:rFonts w:ascii="Times New Roman" w:hAnsi="Times New Roman" w:eastAsia="黑体" w:cs="Times New Roman"/>
          <w:color w:val="000000"/>
          <w:kern w:val="0"/>
          <w:sz w:val="32"/>
          <w:szCs w:val="32"/>
        </w:rPr>
      </w:pPr>
    </w:p>
    <w:p w14:paraId="705C4A5A">
      <w:pPr>
        <w:rPr>
          <w:rFonts w:ascii="Times New Roman" w:hAnsi="Times New Roman" w:eastAsia="黑体" w:cs="Times New Roman"/>
          <w:color w:val="000000"/>
          <w:kern w:val="0"/>
          <w:sz w:val="32"/>
          <w:szCs w:val="32"/>
        </w:rPr>
      </w:pPr>
    </w:p>
    <w:p w14:paraId="7FE306D5">
      <w:pPr>
        <w:pStyle w:val="8"/>
        <w:rPr>
          <w:rFonts w:ascii="Times New Roman" w:hAnsi="Times New Roman" w:eastAsia="黑体" w:cs="Times New Roman"/>
          <w:color w:val="000000"/>
          <w:kern w:val="0"/>
          <w:sz w:val="32"/>
          <w:szCs w:val="32"/>
        </w:rPr>
      </w:pPr>
    </w:p>
    <w:p w14:paraId="0279BD07">
      <w:pPr>
        <w:pStyle w:val="4"/>
      </w:pPr>
    </w:p>
    <w:p w14:paraId="123894C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62CBE3B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A91B85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怀化市人民政府国有资产监督管理委员会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3336"/>
        <w:gridCol w:w="616"/>
        <w:gridCol w:w="821"/>
        <w:gridCol w:w="1546"/>
        <w:gridCol w:w="1426"/>
        <w:gridCol w:w="1522"/>
      </w:tblGrid>
      <w:tr w14:paraId="4854FE09">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DC060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F3E57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68863BC">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5586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12E323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A2853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A2E2F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F9D9DC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7BF1C9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47CC49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774F6C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2D696B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4FAFD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F8D1E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DF8A5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30A02F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42002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C9742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4A5247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E9257E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DC45E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0A44A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DF8ECF1">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AA5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94CED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20EAEED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805.58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8A49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359E09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48138D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6EAA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D63C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FEE0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00CFC7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2192C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4075C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472400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6D69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13D26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0F75DF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D2F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F036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16D77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481470">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839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20402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16987A5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28E05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BB639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4B45A2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4B85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6849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2DA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72A48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DBE2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5E54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0EE5C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5831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F0821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26333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A25B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8DEE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80CF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72F70B3">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DB50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3D84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6F5FF5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B4D906">
            <w:pPr>
              <w:widowControl/>
              <w:jc w:val="left"/>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lang w:eastAsia="zh-CN"/>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2654DC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1DE1012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69.76</w:t>
            </w:r>
          </w:p>
        </w:tc>
        <w:tc>
          <w:tcPr>
            <w:tcW w:w="1546" w:type="dxa"/>
            <w:tcBorders>
              <w:top w:val="nil"/>
              <w:left w:val="nil"/>
              <w:bottom w:val="single" w:color="auto" w:sz="4" w:space="0"/>
              <w:right w:val="single" w:color="auto" w:sz="4" w:space="0"/>
            </w:tcBorders>
            <w:shd w:val="clear" w:color="auto" w:fill="auto"/>
            <w:noWrap/>
            <w:vAlign w:val="center"/>
          </w:tcPr>
          <w:p w14:paraId="3084452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69.76</w:t>
            </w:r>
          </w:p>
        </w:tc>
        <w:tc>
          <w:tcPr>
            <w:tcW w:w="0" w:type="auto"/>
            <w:tcBorders>
              <w:top w:val="nil"/>
              <w:left w:val="nil"/>
              <w:bottom w:val="single" w:color="auto" w:sz="4" w:space="0"/>
              <w:right w:val="single" w:color="auto" w:sz="4" w:space="0"/>
            </w:tcBorders>
            <w:shd w:val="clear" w:color="auto" w:fill="auto"/>
            <w:noWrap/>
            <w:vAlign w:val="center"/>
          </w:tcPr>
          <w:p w14:paraId="59B6EE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E99F9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C6F5B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87380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FE83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0C2713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888A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lang w:eastAsia="zh-CN"/>
              </w:rPr>
              <w:t>卫生健康</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14:paraId="20E076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5DB678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23.40</w:t>
            </w:r>
          </w:p>
        </w:tc>
        <w:tc>
          <w:tcPr>
            <w:tcW w:w="1546" w:type="dxa"/>
            <w:tcBorders>
              <w:top w:val="nil"/>
              <w:left w:val="nil"/>
              <w:bottom w:val="single" w:color="auto" w:sz="4" w:space="0"/>
              <w:right w:val="single" w:color="auto" w:sz="4" w:space="0"/>
            </w:tcBorders>
            <w:shd w:val="clear" w:color="auto" w:fill="auto"/>
            <w:noWrap/>
            <w:vAlign w:val="center"/>
          </w:tcPr>
          <w:p w14:paraId="75DB4B7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23.40</w:t>
            </w:r>
          </w:p>
        </w:tc>
        <w:tc>
          <w:tcPr>
            <w:tcW w:w="0" w:type="auto"/>
            <w:tcBorders>
              <w:top w:val="nil"/>
              <w:left w:val="nil"/>
              <w:bottom w:val="single" w:color="auto" w:sz="4" w:space="0"/>
              <w:right w:val="single" w:color="auto" w:sz="4" w:space="0"/>
            </w:tcBorders>
            <w:shd w:val="clear" w:color="auto" w:fill="auto"/>
            <w:noWrap/>
            <w:vAlign w:val="center"/>
          </w:tcPr>
          <w:p w14:paraId="23E652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281F1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F824E0D">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03E8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0F86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36ECD7A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E01C5D">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2876F7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BF6ACF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712.42</w:t>
            </w:r>
          </w:p>
        </w:tc>
        <w:tc>
          <w:tcPr>
            <w:tcW w:w="1546" w:type="dxa"/>
            <w:tcBorders>
              <w:top w:val="nil"/>
              <w:left w:val="nil"/>
              <w:bottom w:val="single" w:color="auto" w:sz="4" w:space="0"/>
              <w:right w:val="single" w:color="auto" w:sz="4" w:space="0"/>
            </w:tcBorders>
            <w:shd w:val="clear" w:color="auto" w:fill="auto"/>
            <w:noWrap/>
            <w:vAlign w:val="center"/>
          </w:tcPr>
          <w:p w14:paraId="53E7356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712.42</w:t>
            </w:r>
          </w:p>
        </w:tc>
        <w:tc>
          <w:tcPr>
            <w:tcW w:w="0" w:type="auto"/>
            <w:tcBorders>
              <w:top w:val="nil"/>
              <w:left w:val="nil"/>
              <w:bottom w:val="single" w:color="auto" w:sz="4" w:space="0"/>
              <w:right w:val="single" w:color="auto" w:sz="4" w:space="0"/>
            </w:tcBorders>
            <w:shd w:val="clear" w:color="auto" w:fill="auto"/>
            <w:noWrap/>
            <w:vAlign w:val="center"/>
          </w:tcPr>
          <w:p w14:paraId="086FEA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0F6BB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181BA5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40C78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41B4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A9799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B3577C">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八、住房保障支出</w:t>
            </w:r>
          </w:p>
        </w:tc>
        <w:tc>
          <w:tcPr>
            <w:tcW w:w="0" w:type="auto"/>
            <w:tcBorders>
              <w:top w:val="nil"/>
              <w:left w:val="nil"/>
              <w:bottom w:val="single" w:color="auto" w:sz="4" w:space="0"/>
              <w:right w:val="single" w:color="auto" w:sz="4" w:space="0"/>
            </w:tcBorders>
            <w:shd w:val="clear" w:color="auto" w:fill="auto"/>
            <w:noWrap/>
            <w:vAlign w:val="center"/>
          </w:tcPr>
          <w:p w14:paraId="1FB37C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BA7F1AC">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F83E74B">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390040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14B1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49DE77">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21201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740AA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63D7500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805.58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0EE9B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F4C2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2B45540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auto" w:fill="auto"/>
            <w:noWrap/>
            <w:vAlign w:val="center"/>
          </w:tcPr>
          <w:p w14:paraId="1F044DA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auto" w:fill="auto"/>
            <w:noWrap/>
            <w:vAlign w:val="center"/>
          </w:tcPr>
          <w:p w14:paraId="58D154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7280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9FD493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36DE4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E1D89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B5FDB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E722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91D6B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4444E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2F8A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E14A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91FB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2024CA">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E3B6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38A1E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04D47D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22DE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7850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AF9BC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A095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56F8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84F8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9E82B0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3A9D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37898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ECABA5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6603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2633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20ACD1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1CA1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5FB5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6B8C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8AC863">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2E3A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C6041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F1793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F5059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EB6C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99D1E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40B1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0CC7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2815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B3183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A422E0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FAC72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01CBA14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805.58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DD3045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5DEBF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FD5FC69">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000000" w:fill="FFFFFF"/>
            <w:noWrap/>
            <w:vAlign w:val="center"/>
          </w:tcPr>
          <w:p w14:paraId="6350215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805.58</w:t>
            </w:r>
          </w:p>
        </w:tc>
        <w:tc>
          <w:tcPr>
            <w:tcW w:w="0" w:type="auto"/>
            <w:tcBorders>
              <w:top w:val="nil"/>
              <w:left w:val="nil"/>
              <w:bottom w:val="single" w:color="auto" w:sz="4" w:space="0"/>
              <w:right w:val="single" w:color="auto" w:sz="4" w:space="0"/>
            </w:tcBorders>
            <w:shd w:val="clear" w:color="auto" w:fill="auto"/>
            <w:noWrap/>
            <w:vAlign w:val="center"/>
          </w:tcPr>
          <w:p w14:paraId="494A720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165FA7">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4FDFC68B">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25F84B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648F2BC8">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怀化市人民政府国有资产监督管理委员会</w:t>
      </w:r>
      <w:r>
        <w:rPr>
          <w:rFonts w:ascii="Times New Roman" w:hAnsi="Times New Roman" w:eastAsia="仿宋_GB2312" w:cs="Times New Roman"/>
          <w:color w:val="000000"/>
          <w:kern w:val="0"/>
          <w:szCs w:val="21"/>
        </w:rPr>
        <w:t xml:space="preserve">                                                                             公开05表</w:t>
      </w:r>
    </w:p>
    <w:p w14:paraId="34D52F2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990"/>
        <w:gridCol w:w="2537"/>
        <w:gridCol w:w="3439"/>
        <w:gridCol w:w="3053"/>
      </w:tblGrid>
      <w:tr w14:paraId="37B9169F">
        <w:tblPrEx>
          <w:tblCellMar>
            <w:top w:w="0" w:type="dxa"/>
            <w:left w:w="108" w:type="dxa"/>
            <w:bottom w:w="0" w:type="dxa"/>
            <w:right w:w="108" w:type="dxa"/>
          </w:tblCellMar>
        </w:tblPrEx>
        <w:trPr>
          <w:trHeight w:val="545" w:hRule="atLeast"/>
          <w:jc w:val="center"/>
        </w:trPr>
        <w:tc>
          <w:tcPr>
            <w:tcW w:w="519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6F8ED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029" w:type="dxa"/>
            <w:gridSpan w:val="3"/>
            <w:tcBorders>
              <w:top w:val="single" w:color="auto" w:sz="8" w:space="0"/>
              <w:left w:val="nil"/>
              <w:bottom w:val="single" w:color="auto" w:sz="4" w:space="0"/>
              <w:right w:val="single" w:color="000000" w:sz="8" w:space="0"/>
            </w:tcBorders>
            <w:shd w:val="clear" w:color="auto" w:fill="auto"/>
            <w:vAlign w:val="center"/>
          </w:tcPr>
          <w:p w14:paraId="428821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9C522D9">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F5354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990" w:type="dxa"/>
            <w:vMerge w:val="restart"/>
            <w:tcBorders>
              <w:top w:val="nil"/>
              <w:left w:val="single" w:color="auto" w:sz="4" w:space="0"/>
              <w:bottom w:val="single" w:color="auto" w:sz="4" w:space="0"/>
              <w:right w:val="single" w:color="auto" w:sz="4" w:space="0"/>
            </w:tcBorders>
            <w:shd w:val="clear" w:color="auto" w:fill="auto"/>
            <w:vAlign w:val="center"/>
          </w:tcPr>
          <w:p w14:paraId="626B170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537" w:type="dxa"/>
            <w:vMerge w:val="restart"/>
            <w:tcBorders>
              <w:top w:val="nil"/>
              <w:left w:val="single" w:color="auto" w:sz="4" w:space="0"/>
              <w:bottom w:val="single" w:color="000000" w:sz="4" w:space="0"/>
              <w:right w:val="single" w:color="auto" w:sz="4" w:space="0"/>
            </w:tcBorders>
            <w:shd w:val="clear" w:color="auto" w:fill="auto"/>
            <w:vAlign w:val="center"/>
          </w:tcPr>
          <w:p w14:paraId="00C6C2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39" w:type="dxa"/>
            <w:vMerge w:val="restart"/>
            <w:tcBorders>
              <w:top w:val="nil"/>
              <w:left w:val="single" w:color="auto" w:sz="4" w:space="0"/>
              <w:bottom w:val="single" w:color="000000" w:sz="4" w:space="0"/>
              <w:right w:val="single" w:color="auto" w:sz="4" w:space="0"/>
            </w:tcBorders>
            <w:shd w:val="clear" w:color="auto" w:fill="auto"/>
            <w:vAlign w:val="center"/>
          </w:tcPr>
          <w:p w14:paraId="3B8CCD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53" w:type="dxa"/>
            <w:vMerge w:val="restart"/>
            <w:tcBorders>
              <w:top w:val="nil"/>
              <w:left w:val="single" w:color="auto" w:sz="4" w:space="0"/>
              <w:bottom w:val="single" w:color="000000" w:sz="4" w:space="0"/>
              <w:right w:val="single" w:color="auto" w:sz="8" w:space="0"/>
            </w:tcBorders>
            <w:shd w:val="clear" w:color="auto" w:fill="auto"/>
            <w:vAlign w:val="center"/>
          </w:tcPr>
          <w:p w14:paraId="39F141B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E49ACF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25DB5B8">
            <w:pPr>
              <w:widowControl/>
              <w:jc w:val="left"/>
              <w:rPr>
                <w:rFonts w:ascii="Times New Roman" w:hAnsi="Times New Roman" w:eastAsia="仿宋_GB2312" w:cs="Times New Roman"/>
                <w:kern w:val="0"/>
                <w:szCs w:val="21"/>
              </w:rPr>
            </w:pPr>
          </w:p>
        </w:tc>
        <w:tc>
          <w:tcPr>
            <w:tcW w:w="3990" w:type="dxa"/>
            <w:vMerge w:val="continue"/>
            <w:tcBorders>
              <w:top w:val="nil"/>
              <w:left w:val="single" w:color="auto" w:sz="4" w:space="0"/>
              <w:bottom w:val="single" w:color="auto" w:sz="4" w:space="0"/>
              <w:right w:val="single" w:color="auto" w:sz="4" w:space="0"/>
            </w:tcBorders>
            <w:vAlign w:val="center"/>
          </w:tcPr>
          <w:p w14:paraId="7B10FD3C">
            <w:pPr>
              <w:widowControl/>
              <w:jc w:val="left"/>
              <w:rPr>
                <w:rFonts w:ascii="Times New Roman" w:hAnsi="Times New Roman" w:eastAsia="仿宋_GB2312" w:cs="Times New Roman"/>
                <w:kern w:val="0"/>
                <w:szCs w:val="21"/>
              </w:rPr>
            </w:pPr>
          </w:p>
        </w:tc>
        <w:tc>
          <w:tcPr>
            <w:tcW w:w="2537" w:type="dxa"/>
            <w:vMerge w:val="continue"/>
            <w:tcBorders>
              <w:top w:val="nil"/>
              <w:left w:val="single" w:color="auto" w:sz="4" w:space="0"/>
              <w:bottom w:val="single" w:color="000000" w:sz="4" w:space="0"/>
              <w:right w:val="single" w:color="auto" w:sz="4" w:space="0"/>
            </w:tcBorders>
            <w:vAlign w:val="center"/>
          </w:tcPr>
          <w:p w14:paraId="35FC614C">
            <w:pPr>
              <w:widowControl/>
              <w:jc w:val="left"/>
              <w:rPr>
                <w:rFonts w:ascii="Times New Roman" w:hAnsi="Times New Roman" w:eastAsia="仿宋_GB2312" w:cs="Times New Roman"/>
                <w:kern w:val="0"/>
                <w:szCs w:val="21"/>
              </w:rPr>
            </w:pPr>
          </w:p>
        </w:tc>
        <w:tc>
          <w:tcPr>
            <w:tcW w:w="3439" w:type="dxa"/>
            <w:vMerge w:val="continue"/>
            <w:tcBorders>
              <w:top w:val="nil"/>
              <w:left w:val="single" w:color="auto" w:sz="4" w:space="0"/>
              <w:bottom w:val="single" w:color="000000" w:sz="4" w:space="0"/>
              <w:right w:val="single" w:color="auto" w:sz="4" w:space="0"/>
            </w:tcBorders>
            <w:vAlign w:val="center"/>
          </w:tcPr>
          <w:p w14:paraId="7C5594AE">
            <w:pPr>
              <w:widowControl/>
              <w:jc w:val="left"/>
              <w:rPr>
                <w:rFonts w:ascii="Times New Roman" w:hAnsi="Times New Roman" w:eastAsia="仿宋_GB2312" w:cs="Times New Roman"/>
                <w:kern w:val="0"/>
                <w:szCs w:val="21"/>
              </w:rPr>
            </w:pPr>
          </w:p>
        </w:tc>
        <w:tc>
          <w:tcPr>
            <w:tcW w:w="3053" w:type="dxa"/>
            <w:vMerge w:val="continue"/>
            <w:tcBorders>
              <w:top w:val="nil"/>
              <w:left w:val="single" w:color="auto" w:sz="4" w:space="0"/>
              <w:bottom w:val="single" w:color="000000" w:sz="4" w:space="0"/>
              <w:right w:val="single" w:color="auto" w:sz="8" w:space="0"/>
            </w:tcBorders>
            <w:vAlign w:val="center"/>
          </w:tcPr>
          <w:p w14:paraId="4506C7D2">
            <w:pPr>
              <w:widowControl/>
              <w:jc w:val="left"/>
              <w:rPr>
                <w:rFonts w:ascii="Times New Roman" w:hAnsi="Times New Roman" w:eastAsia="仿宋_GB2312" w:cs="Times New Roman"/>
                <w:kern w:val="0"/>
                <w:szCs w:val="21"/>
              </w:rPr>
            </w:pPr>
          </w:p>
        </w:tc>
      </w:tr>
      <w:tr w14:paraId="15BF4BE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B8729E2">
            <w:pPr>
              <w:widowControl/>
              <w:jc w:val="left"/>
              <w:rPr>
                <w:rFonts w:ascii="Times New Roman" w:hAnsi="Times New Roman" w:eastAsia="仿宋_GB2312" w:cs="Times New Roman"/>
                <w:kern w:val="0"/>
                <w:szCs w:val="21"/>
              </w:rPr>
            </w:pPr>
          </w:p>
        </w:tc>
        <w:tc>
          <w:tcPr>
            <w:tcW w:w="3990" w:type="dxa"/>
            <w:vMerge w:val="continue"/>
            <w:tcBorders>
              <w:top w:val="nil"/>
              <w:left w:val="single" w:color="auto" w:sz="4" w:space="0"/>
              <w:bottom w:val="single" w:color="auto" w:sz="4" w:space="0"/>
              <w:right w:val="single" w:color="auto" w:sz="4" w:space="0"/>
            </w:tcBorders>
            <w:vAlign w:val="center"/>
          </w:tcPr>
          <w:p w14:paraId="46BABC6A">
            <w:pPr>
              <w:widowControl/>
              <w:jc w:val="left"/>
              <w:rPr>
                <w:rFonts w:ascii="Times New Roman" w:hAnsi="Times New Roman" w:eastAsia="仿宋_GB2312" w:cs="Times New Roman"/>
                <w:kern w:val="0"/>
                <w:szCs w:val="21"/>
              </w:rPr>
            </w:pPr>
          </w:p>
        </w:tc>
        <w:tc>
          <w:tcPr>
            <w:tcW w:w="2537" w:type="dxa"/>
            <w:vMerge w:val="continue"/>
            <w:tcBorders>
              <w:top w:val="nil"/>
              <w:left w:val="single" w:color="auto" w:sz="4" w:space="0"/>
              <w:bottom w:val="single" w:color="000000" w:sz="4" w:space="0"/>
              <w:right w:val="single" w:color="auto" w:sz="4" w:space="0"/>
            </w:tcBorders>
            <w:vAlign w:val="center"/>
          </w:tcPr>
          <w:p w14:paraId="337E7FBB">
            <w:pPr>
              <w:widowControl/>
              <w:jc w:val="left"/>
              <w:rPr>
                <w:rFonts w:ascii="Times New Roman" w:hAnsi="Times New Roman" w:eastAsia="仿宋_GB2312" w:cs="Times New Roman"/>
                <w:kern w:val="0"/>
                <w:szCs w:val="21"/>
              </w:rPr>
            </w:pPr>
          </w:p>
        </w:tc>
        <w:tc>
          <w:tcPr>
            <w:tcW w:w="3439" w:type="dxa"/>
            <w:vMerge w:val="continue"/>
            <w:tcBorders>
              <w:top w:val="nil"/>
              <w:left w:val="single" w:color="auto" w:sz="4" w:space="0"/>
              <w:bottom w:val="single" w:color="000000" w:sz="4" w:space="0"/>
              <w:right w:val="single" w:color="auto" w:sz="4" w:space="0"/>
            </w:tcBorders>
            <w:vAlign w:val="center"/>
          </w:tcPr>
          <w:p w14:paraId="77419D4E">
            <w:pPr>
              <w:widowControl/>
              <w:jc w:val="left"/>
              <w:rPr>
                <w:rFonts w:ascii="Times New Roman" w:hAnsi="Times New Roman" w:eastAsia="仿宋_GB2312" w:cs="Times New Roman"/>
                <w:kern w:val="0"/>
                <w:szCs w:val="21"/>
              </w:rPr>
            </w:pPr>
          </w:p>
        </w:tc>
        <w:tc>
          <w:tcPr>
            <w:tcW w:w="3053" w:type="dxa"/>
            <w:vMerge w:val="continue"/>
            <w:tcBorders>
              <w:top w:val="nil"/>
              <w:left w:val="single" w:color="auto" w:sz="4" w:space="0"/>
              <w:bottom w:val="single" w:color="000000" w:sz="4" w:space="0"/>
              <w:right w:val="single" w:color="auto" w:sz="8" w:space="0"/>
            </w:tcBorders>
            <w:vAlign w:val="center"/>
          </w:tcPr>
          <w:p w14:paraId="48FD91C9">
            <w:pPr>
              <w:widowControl/>
              <w:jc w:val="left"/>
              <w:rPr>
                <w:rFonts w:ascii="Times New Roman" w:hAnsi="Times New Roman" w:eastAsia="仿宋_GB2312" w:cs="Times New Roman"/>
                <w:kern w:val="0"/>
                <w:szCs w:val="21"/>
              </w:rPr>
            </w:pPr>
          </w:p>
        </w:tc>
      </w:tr>
      <w:tr w14:paraId="3B6CC35A">
        <w:tblPrEx>
          <w:tblCellMar>
            <w:top w:w="0" w:type="dxa"/>
            <w:left w:w="108" w:type="dxa"/>
            <w:bottom w:w="0" w:type="dxa"/>
            <w:right w:w="108" w:type="dxa"/>
          </w:tblCellMar>
        </w:tblPrEx>
        <w:trPr>
          <w:trHeight w:val="450" w:hRule="atLeast"/>
          <w:jc w:val="center"/>
        </w:trPr>
        <w:tc>
          <w:tcPr>
            <w:tcW w:w="51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A0214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537" w:type="dxa"/>
            <w:tcBorders>
              <w:top w:val="nil"/>
              <w:left w:val="nil"/>
              <w:bottom w:val="single" w:color="auto" w:sz="4" w:space="0"/>
              <w:right w:val="single" w:color="auto" w:sz="4" w:space="0"/>
            </w:tcBorders>
            <w:shd w:val="clear" w:color="auto" w:fill="auto"/>
            <w:vAlign w:val="center"/>
          </w:tcPr>
          <w:p w14:paraId="041431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39" w:type="dxa"/>
            <w:tcBorders>
              <w:top w:val="nil"/>
              <w:left w:val="nil"/>
              <w:bottom w:val="single" w:color="auto" w:sz="4" w:space="0"/>
              <w:right w:val="single" w:color="auto" w:sz="4" w:space="0"/>
            </w:tcBorders>
            <w:shd w:val="clear" w:color="auto" w:fill="auto"/>
            <w:vAlign w:val="center"/>
          </w:tcPr>
          <w:p w14:paraId="66A5A6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53" w:type="dxa"/>
            <w:tcBorders>
              <w:top w:val="nil"/>
              <w:left w:val="nil"/>
              <w:bottom w:val="single" w:color="auto" w:sz="4" w:space="0"/>
              <w:right w:val="single" w:color="auto" w:sz="8" w:space="0"/>
            </w:tcBorders>
            <w:shd w:val="clear" w:color="auto" w:fill="auto"/>
            <w:vAlign w:val="center"/>
          </w:tcPr>
          <w:p w14:paraId="108D3E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F4ACF02">
        <w:tblPrEx>
          <w:tblCellMar>
            <w:top w:w="0" w:type="dxa"/>
            <w:left w:w="108" w:type="dxa"/>
            <w:bottom w:w="0" w:type="dxa"/>
            <w:right w:w="108" w:type="dxa"/>
          </w:tblCellMar>
        </w:tblPrEx>
        <w:trPr>
          <w:trHeight w:val="450" w:hRule="atLeast"/>
          <w:jc w:val="center"/>
        </w:trPr>
        <w:tc>
          <w:tcPr>
            <w:tcW w:w="519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01982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537" w:type="dxa"/>
            <w:tcBorders>
              <w:top w:val="nil"/>
              <w:left w:val="nil"/>
              <w:bottom w:val="single" w:color="auto" w:sz="4" w:space="0"/>
              <w:right w:val="single" w:color="auto" w:sz="4" w:space="0"/>
            </w:tcBorders>
            <w:shd w:val="clear" w:color="auto" w:fill="auto"/>
            <w:vAlign w:val="center"/>
          </w:tcPr>
          <w:p w14:paraId="06F9A41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805.58</w:t>
            </w:r>
          </w:p>
        </w:tc>
        <w:tc>
          <w:tcPr>
            <w:tcW w:w="3439" w:type="dxa"/>
            <w:tcBorders>
              <w:top w:val="nil"/>
              <w:left w:val="nil"/>
              <w:bottom w:val="single" w:color="auto" w:sz="4" w:space="0"/>
              <w:right w:val="single" w:color="auto" w:sz="4" w:space="0"/>
            </w:tcBorders>
            <w:shd w:val="clear" w:color="auto" w:fill="auto"/>
            <w:vAlign w:val="center"/>
          </w:tcPr>
          <w:p w14:paraId="2796FC2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679.38</w:t>
            </w:r>
          </w:p>
        </w:tc>
        <w:tc>
          <w:tcPr>
            <w:tcW w:w="3053" w:type="dxa"/>
            <w:tcBorders>
              <w:top w:val="nil"/>
              <w:left w:val="nil"/>
              <w:bottom w:val="single" w:color="auto" w:sz="4" w:space="0"/>
              <w:right w:val="single" w:color="auto" w:sz="8" w:space="0"/>
            </w:tcBorders>
            <w:shd w:val="clear" w:color="auto" w:fill="auto"/>
            <w:vAlign w:val="center"/>
          </w:tcPr>
          <w:p w14:paraId="5293474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126.20</w:t>
            </w:r>
          </w:p>
        </w:tc>
      </w:tr>
      <w:tr w14:paraId="5E8516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574AD0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3B646C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40DADB95">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79285A1F">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6DE64CC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E14B5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1810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259AE9A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0B3281EA">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37E2A49A">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69.76</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0B1CACD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212B6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38A97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2446B83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行政单位离退休</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0A17695B">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13.93</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2154D8C9">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13.93</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6A89B6E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A226E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56B5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28E16E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55000C18">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55.83</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5081ADDF">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55.83</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06B228F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7ED35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C1A5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5E15BE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70B90C9A">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37E8AC36">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37F9ACF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93A50B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B0128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1458C2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1042B523">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1A146FAD">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282B3BC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F503F4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6229D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3039F1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58CC15CF">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0D8C0CED">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23.40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6086C13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A3C16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7D9B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75D37C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38DFDD2C">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712.42</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4A7FA7A5">
            <w:pPr>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lang w:val="en-US" w:eastAsia="zh-CN"/>
              </w:rPr>
              <w:t>586.22</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0E57447B">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126.20</w:t>
            </w:r>
          </w:p>
        </w:tc>
      </w:tr>
      <w:tr w14:paraId="61D00E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11CBD9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21507</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1D1860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国有资产监管</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50CD1E98">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712.42</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6CD0F572">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586.22</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27C6048B">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126.20</w:t>
            </w:r>
          </w:p>
        </w:tc>
      </w:tr>
      <w:tr w14:paraId="201EC69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A417B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2150701</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48951C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6C2A780A">
            <w:pPr>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lang w:val="en-US" w:eastAsia="zh-CN"/>
              </w:rPr>
              <w:t>586.22</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2B386F0A">
            <w:pPr>
              <w:jc w:val="center"/>
              <w:rPr>
                <w:rFonts w:hint="eastAsia" w:ascii="宋体" w:hAnsi="宋体" w:eastAsia="宋体" w:cs="宋体"/>
                <w:i w:val="0"/>
                <w:iCs w:val="0"/>
                <w:color w:val="000000"/>
                <w:kern w:val="0"/>
                <w:sz w:val="22"/>
                <w:szCs w:val="22"/>
                <w:u w:val="none"/>
                <w:lang w:val="en-US" w:eastAsia="zh-CN" w:bidi="ar"/>
              </w:rPr>
            </w:pPr>
            <w:r>
              <w:rPr>
                <w:rFonts w:hint="eastAsia" w:ascii="Times New Roman" w:hAnsi="Times New Roman" w:eastAsia="仿宋_GB2312" w:cs="Times New Roman"/>
                <w:lang w:val="en-US" w:eastAsia="zh-CN"/>
              </w:rPr>
              <w:t>586.22</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792CEA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20996E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B97D6B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2150799</w:t>
            </w:r>
          </w:p>
        </w:tc>
        <w:tc>
          <w:tcPr>
            <w:tcW w:w="3990" w:type="dxa"/>
            <w:tcBorders>
              <w:top w:val="single" w:color="auto" w:sz="4" w:space="0"/>
              <w:left w:val="single" w:color="auto" w:sz="4" w:space="0"/>
              <w:bottom w:val="single" w:color="auto" w:sz="4" w:space="0"/>
              <w:right w:val="single" w:color="auto" w:sz="4" w:space="0"/>
            </w:tcBorders>
            <w:shd w:val="clear" w:color="auto" w:fill="auto"/>
            <w:vAlign w:val="center"/>
          </w:tcPr>
          <w:p w14:paraId="6F0943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其他国有资产监管支出</w:t>
            </w:r>
          </w:p>
        </w:tc>
        <w:tc>
          <w:tcPr>
            <w:tcW w:w="2537" w:type="dxa"/>
            <w:tcBorders>
              <w:top w:val="single" w:color="auto" w:sz="4" w:space="0"/>
              <w:left w:val="single" w:color="auto" w:sz="4" w:space="0"/>
              <w:bottom w:val="single" w:color="auto" w:sz="4" w:space="0"/>
              <w:right w:val="single" w:color="auto" w:sz="4" w:space="0"/>
            </w:tcBorders>
            <w:shd w:val="clear" w:color="auto" w:fill="auto"/>
            <w:vAlign w:val="center"/>
          </w:tcPr>
          <w:p w14:paraId="1506C7B8">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126.20</w:t>
            </w:r>
          </w:p>
        </w:tc>
        <w:tc>
          <w:tcPr>
            <w:tcW w:w="3439" w:type="dxa"/>
            <w:tcBorders>
              <w:top w:val="single" w:color="auto" w:sz="4" w:space="0"/>
              <w:left w:val="single" w:color="auto" w:sz="4" w:space="0"/>
              <w:bottom w:val="single" w:color="auto" w:sz="4" w:space="0"/>
              <w:right w:val="single" w:color="auto" w:sz="4" w:space="0"/>
            </w:tcBorders>
            <w:shd w:val="clear" w:color="auto" w:fill="auto"/>
            <w:vAlign w:val="center"/>
          </w:tcPr>
          <w:p w14:paraId="00A6D739">
            <w:pPr>
              <w:jc w:val="cente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0.00</w:t>
            </w:r>
          </w:p>
        </w:tc>
        <w:tc>
          <w:tcPr>
            <w:tcW w:w="3053" w:type="dxa"/>
            <w:tcBorders>
              <w:top w:val="single" w:color="auto" w:sz="4" w:space="0"/>
              <w:left w:val="single" w:color="auto" w:sz="4" w:space="0"/>
              <w:bottom w:val="single" w:color="auto" w:sz="4" w:space="0"/>
              <w:right w:val="single" w:color="auto" w:sz="4" w:space="0"/>
            </w:tcBorders>
            <w:shd w:val="clear" w:color="auto" w:fill="auto"/>
            <w:vAlign w:val="center"/>
          </w:tcPr>
          <w:p w14:paraId="248415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126.20</w:t>
            </w:r>
          </w:p>
        </w:tc>
      </w:tr>
    </w:tbl>
    <w:p w14:paraId="763FDC06">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5CCA95E7">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3F14B03">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 w:val="20"/>
          <w:szCs w:val="20"/>
        </w:rPr>
        <w:t>怀化市人民政府国有资产监督管理委员会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17A8A8B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A5860BE">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105BE4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5EF2DF1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C9B025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3D691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6CA0C2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79F4585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A70565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1C4AD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CFB318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FAC9D3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247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916CE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C9F93E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591.17</w:t>
            </w:r>
          </w:p>
        </w:tc>
        <w:tc>
          <w:tcPr>
            <w:tcW w:w="1116" w:type="dxa"/>
            <w:tcBorders>
              <w:top w:val="nil"/>
              <w:left w:val="nil"/>
              <w:bottom w:val="single" w:color="auto" w:sz="4" w:space="0"/>
              <w:right w:val="single" w:color="auto" w:sz="4" w:space="0"/>
            </w:tcBorders>
            <w:shd w:val="clear" w:color="auto" w:fill="auto"/>
            <w:noWrap/>
            <w:vAlign w:val="center"/>
          </w:tcPr>
          <w:p w14:paraId="28934D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8FB0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8DFF0E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51.33</w:t>
            </w:r>
          </w:p>
        </w:tc>
        <w:tc>
          <w:tcPr>
            <w:tcW w:w="1217" w:type="dxa"/>
            <w:tcBorders>
              <w:top w:val="nil"/>
              <w:left w:val="nil"/>
              <w:bottom w:val="single" w:color="auto" w:sz="4" w:space="0"/>
              <w:right w:val="single" w:color="auto" w:sz="4" w:space="0"/>
            </w:tcBorders>
            <w:shd w:val="clear" w:color="auto" w:fill="auto"/>
            <w:noWrap/>
            <w:vAlign w:val="center"/>
          </w:tcPr>
          <w:p w14:paraId="6D6C6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0CC0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BEB2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FA2BE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08A3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A6A2A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8E44FD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203.14</w:t>
            </w:r>
          </w:p>
        </w:tc>
        <w:tc>
          <w:tcPr>
            <w:tcW w:w="1116" w:type="dxa"/>
            <w:tcBorders>
              <w:top w:val="nil"/>
              <w:left w:val="nil"/>
              <w:bottom w:val="single" w:color="auto" w:sz="4" w:space="0"/>
              <w:right w:val="single" w:color="auto" w:sz="4" w:space="0"/>
            </w:tcBorders>
            <w:shd w:val="clear" w:color="auto" w:fill="auto"/>
            <w:noWrap/>
            <w:vAlign w:val="center"/>
          </w:tcPr>
          <w:p w14:paraId="79E0C9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F042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E1E31FE">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D4BC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84EC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462E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9199C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9975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3A95E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0A79B6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56.69</w:t>
            </w:r>
          </w:p>
        </w:tc>
        <w:tc>
          <w:tcPr>
            <w:tcW w:w="1116" w:type="dxa"/>
            <w:tcBorders>
              <w:top w:val="nil"/>
              <w:left w:val="nil"/>
              <w:bottom w:val="single" w:color="auto" w:sz="4" w:space="0"/>
              <w:right w:val="single" w:color="auto" w:sz="4" w:space="0"/>
            </w:tcBorders>
            <w:shd w:val="clear" w:color="auto" w:fill="auto"/>
            <w:noWrap/>
            <w:vAlign w:val="center"/>
          </w:tcPr>
          <w:p w14:paraId="7BFD2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8AC1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B69676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21EB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44D0D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C54F9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F2E02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48AC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FA203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34C111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143.20</w:t>
            </w:r>
          </w:p>
        </w:tc>
        <w:tc>
          <w:tcPr>
            <w:tcW w:w="1116" w:type="dxa"/>
            <w:tcBorders>
              <w:top w:val="nil"/>
              <w:left w:val="nil"/>
              <w:bottom w:val="single" w:color="auto" w:sz="4" w:space="0"/>
              <w:right w:val="single" w:color="auto" w:sz="4" w:space="0"/>
            </w:tcBorders>
            <w:shd w:val="clear" w:color="auto" w:fill="auto"/>
            <w:noWrap/>
            <w:vAlign w:val="center"/>
          </w:tcPr>
          <w:p w14:paraId="2D227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B833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C988F7B">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4D676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31E9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796BE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6AC10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48E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148F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A73312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10.78</w:t>
            </w:r>
          </w:p>
        </w:tc>
        <w:tc>
          <w:tcPr>
            <w:tcW w:w="1116" w:type="dxa"/>
            <w:tcBorders>
              <w:top w:val="nil"/>
              <w:left w:val="nil"/>
              <w:bottom w:val="single" w:color="auto" w:sz="4" w:space="0"/>
              <w:right w:val="single" w:color="auto" w:sz="4" w:space="0"/>
            </w:tcBorders>
            <w:shd w:val="clear" w:color="auto" w:fill="auto"/>
            <w:noWrap/>
            <w:vAlign w:val="center"/>
          </w:tcPr>
          <w:p w14:paraId="683C06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1B38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537B58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9D0EA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10D9F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32DCF5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C0126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B7B3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91ED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B23C8E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35.11</w:t>
            </w:r>
          </w:p>
        </w:tc>
        <w:tc>
          <w:tcPr>
            <w:tcW w:w="1116" w:type="dxa"/>
            <w:tcBorders>
              <w:top w:val="nil"/>
              <w:left w:val="nil"/>
              <w:bottom w:val="single" w:color="auto" w:sz="4" w:space="0"/>
              <w:right w:val="single" w:color="auto" w:sz="4" w:space="0"/>
            </w:tcBorders>
            <w:shd w:val="clear" w:color="auto" w:fill="auto"/>
            <w:noWrap/>
            <w:vAlign w:val="center"/>
          </w:tcPr>
          <w:p w14:paraId="12280D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0C5B1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6BD143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4B908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3945B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CCA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1E75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345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37B81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3C0411F">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55.83</w:t>
            </w:r>
          </w:p>
        </w:tc>
        <w:tc>
          <w:tcPr>
            <w:tcW w:w="1116" w:type="dxa"/>
            <w:tcBorders>
              <w:top w:val="nil"/>
              <w:left w:val="nil"/>
              <w:bottom w:val="single" w:color="auto" w:sz="4" w:space="0"/>
              <w:right w:val="single" w:color="auto" w:sz="4" w:space="0"/>
            </w:tcBorders>
            <w:shd w:val="clear" w:color="auto" w:fill="auto"/>
            <w:noWrap/>
            <w:vAlign w:val="center"/>
          </w:tcPr>
          <w:p w14:paraId="3A7A9B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7E67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6ADE02F">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1419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CCAF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C09C3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2D2327">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D2F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EADB7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4A2025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EF811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86691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58CADC4">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0899A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D43AA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0200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52716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EAFF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9273A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0BC04B74">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34.78</w:t>
            </w:r>
          </w:p>
        </w:tc>
        <w:tc>
          <w:tcPr>
            <w:tcW w:w="1116" w:type="dxa"/>
            <w:tcBorders>
              <w:top w:val="nil"/>
              <w:left w:val="nil"/>
              <w:bottom w:val="single" w:color="auto" w:sz="4" w:space="0"/>
              <w:right w:val="single" w:color="auto" w:sz="4" w:space="0"/>
            </w:tcBorders>
            <w:shd w:val="clear" w:color="auto" w:fill="auto"/>
            <w:noWrap/>
            <w:vAlign w:val="center"/>
          </w:tcPr>
          <w:p w14:paraId="6B0B4A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3943F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056E94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F9FBD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B72E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685B3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D412E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C545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C527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593AD7F">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D1A4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1C69C3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2D7CC01">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41E69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0156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20AA4C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374B8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881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915BF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11452746">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3.04</w:t>
            </w:r>
          </w:p>
        </w:tc>
        <w:tc>
          <w:tcPr>
            <w:tcW w:w="1116" w:type="dxa"/>
            <w:tcBorders>
              <w:top w:val="nil"/>
              <w:left w:val="nil"/>
              <w:bottom w:val="single" w:color="auto" w:sz="4" w:space="0"/>
              <w:right w:val="single" w:color="auto" w:sz="4" w:space="0"/>
            </w:tcBorders>
            <w:shd w:val="clear" w:color="auto" w:fill="auto"/>
            <w:noWrap/>
            <w:vAlign w:val="center"/>
          </w:tcPr>
          <w:p w14:paraId="41A1EF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1ADE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2E7BBF52">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962A7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8BA5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1BCDF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CD762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978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590C2A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9647BCC">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48.61</w:t>
            </w:r>
          </w:p>
        </w:tc>
        <w:tc>
          <w:tcPr>
            <w:tcW w:w="1116" w:type="dxa"/>
            <w:tcBorders>
              <w:top w:val="nil"/>
              <w:left w:val="nil"/>
              <w:bottom w:val="single" w:color="auto" w:sz="4" w:space="0"/>
              <w:right w:val="single" w:color="auto" w:sz="4" w:space="0"/>
            </w:tcBorders>
            <w:shd w:val="clear" w:color="auto" w:fill="auto"/>
            <w:noWrap/>
            <w:vAlign w:val="center"/>
          </w:tcPr>
          <w:p w14:paraId="6BD55A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05965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19D877D">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1598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67CAFC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CD32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1D26E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E6AE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263DF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C6D54D9">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57DA2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370989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417D16A">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894F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46E6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5D7D0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DB799D">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18D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4689E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AC2DF4B">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7F83F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559797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55201E67">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718A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1D506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D354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990D8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D0D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C23E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34BB40B">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36.87</w:t>
            </w:r>
          </w:p>
        </w:tc>
        <w:tc>
          <w:tcPr>
            <w:tcW w:w="1116" w:type="dxa"/>
            <w:tcBorders>
              <w:top w:val="nil"/>
              <w:left w:val="nil"/>
              <w:bottom w:val="single" w:color="auto" w:sz="4" w:space="0"/>
              <w:right w:val="single" w:color="auto" w:sz="4" w:space="0"/>
            </w:tcBorders>
            <w:shd w:val="clear" w:color="auto" w:fill="auto"/>
            <w:noWrap/>
            <w:vAlign w:val="center"/>
          </w:tcPr>
          <w:p w14:paraId="692D0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67366E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F04EED3">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64837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E5F28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0CAB1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8849B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9EB6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8865D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0D398DC0">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E289B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B3A0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48BD3E1F">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1F63F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9D920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7A3A7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BEF224">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B57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29B199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15B4813">
            <w:pPr>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21.31</w:t>
            </w:r>
          </w:p>
        </w:tc>
        <w:tc>
          <w:tcPr>
            <w:tcW w:w="1116" w:type="dxa"/>
            <w:tcBorders>
              <w:top w:val="nil"/>
              <w:left w:val="nil"/>
              <w:bottom w:val="single" w:color="auto" w:sz="4" w:space="0"/>
              <w:right w:val="single" w:color="auto" w:sz="4" w:space="0"/>
            </w:tcBorders>
            <w:shd w:val="clear" w:color="auto" w:fill="auto"/>
            <w:noWrap/>
            <w:vAlign w:val="center"/>
          </w:tcPr>
          <w:p w14:paraId="1CBB17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299839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40591CF">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70C90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5E25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7F7DC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A99C1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133E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F052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0F93D4E">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A9508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B6CDD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6BCAB09">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9A9E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36AE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DBA5C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0ACCF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618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1E0B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24E0645">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14BA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7761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56A44DA">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A1825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1806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8969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47596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EFF6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24661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37654A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13.93</w:t>
            </w:r>
          </w:p>
        </w:tc>
        <w:tc>
          <w:tcPr>
            <w:tcW w:w="1116" w:type="dxa"/>
            <w:tcBorders>
              <w:top w:val="nil"/>
              <w:left w:val="nil"/>
              <w:bottom w:val="single" w:color="auto" w:sz="4" w:space="0"/>
              <w:right w:val="single" w:color="auto" w:sz="4" w:space="0"/>
            </w:tcBorders>
            <w:shd w:val="clear" w:color="auto" w:fill="auto"/>
            <w:noWrap/>
            <w:vAlign w:val="center"/>
          </w:tcPr>
          <w:p w14:paraId="65D86E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279C0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189EA80">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2B0F4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CD55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C4DD8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9620C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823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FD8D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093827F">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35935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4BE07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8A3772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EFBE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7A95B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7AD0D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9AD65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2BD1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E134D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5BB52C54">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0BDE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24C1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DF5BD3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933C7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7C5C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839F6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5F7CC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438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73171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3FD36232">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3D329E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8523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3D5FFC0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16.34</w:t>
            </w:r>
          </w:p>
        </w:tc>
        <w:tc>
          <w:tcPr>
            <w:tcW w:w="1217" w:type="dxa"/>
            <w:tcBorders>
              <w:top w:val="nil"/>
              <w:left w:val="nil"/>
              <w:bottom w:val="single" w:color="auto" w:sz="4" w:space="0"/>
              <w:right w:val="single" w:color="auto" w:sz="4" w:space="0"/>
            </w:tcBorders>
            <w:shd w:val="clear" w:color="auto" w:fill="auto"/>
            <w:noWrap/>
            <w:vAlign w:val="center"/>
          </w:tcPr>
          <w:p w14:paraId="2F45BC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68A3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C3065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C1352B">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7ED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58AB92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BE75AF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BB9E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C7A4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01D56F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5.11</w:t>
            </w:r>
          </w:p>
        </w:tc>
        <w:tc>
          <w:tcPr>
            <w:tcW w:w="1217" w:type="dxa"/>
            <w:tcBorders>
              <w:top w:val="nil"/>
              <w:left w:val="nil"/>
              <w:bottom w:val="single" w:color="auto" w:sz="4" w:space="0"/>
              <w:right w:val="single" w:color="auto" w:sz="4" w:space="0"/>
            </w:tcBorders>
            <w:shd w:val="clear" w:color="auto" w:fill="auto"/>
            <w:noWrap/>
            <w:vAlign w:val="center"/>
          </w:tcPr>
          <w:p w14:paraId="581269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BA89E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602C2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ECFA168">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80201D9">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B2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C75BF6C">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1BA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38DCF10">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40152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F7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87BECCB">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72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1B7ABD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25974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733E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008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88C3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6854817">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C8941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E395F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D4BC148">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11522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4E94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6ABD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0AD2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AF22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2F77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360991D">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C71F2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F0679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9F07DB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29.76</w:t>
            </w:r>
          </w:p>
        </w:tc>
        <w:tc>
          <w:tcPr>
            <w:tcW w:w="1217" w:type="dxa"/>
            <w:tcBorders>
              <w:top w:val="nil"/>
              <w:left w:val="nil"/>
              <w:bottom w:val="single" w:color="auto" w:sz="4" w:space="0"/>
              <w:right w:val="single" w:color="auto" w:sz="4" w:space="0"/>
            </w:tcBorders>
            <w:shd w:val="clear" w:color="auto" w:fill="auto"/>
            <w:noWrap/>
            <w:vAlign w:val="center"/>
          </w:tcPr>
          <w:p w14:paraId="74630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B465A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7E4B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127A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DF0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D5C95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2BB3C33">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1.64</w:t>
            </w:r>
          </w:p>
        </w:tc>
        <w:tc>
          <w:tcPr>
            <w:tcW w:w="1116" w:type="dxa"/>
            <w:tcBorders>
              <w:top w:val="nil"/>
              <w:left w:val="nil"/>
              <w:bottom w:val="single" w:color="auto" w:sz="4" w:space="0"/>
              <w:right w:val="single" w:color="auto" w:sz="4" w:space="0"/>
            </w:tcBorders>
            <w:shd w:val="clear" w:color="auto" w:fill="auto"/>
            <w:noWrap/>
            <w:vAlign w:val="center"/>
          </w:tcPr>
          <w:p w14:paraId="0452C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13BD3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DEC5C8E">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3038BD5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D8A8A0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1F88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9227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1F59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F518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2CBD4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71C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E2E6E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72543C8">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0.12</w:t>
            </w:r>
          </w:p>
        </w:tc>
        <w:tc>
          <w:tcPr>
            <w:tcW w:w="1217" w:type="dxa"/>
            <w:tcBorders>
              <w:top w:val="nil"/>
              <w:left w:val="nil"/>
              <w:bottom w:val="single" w:color="auto" w:sz="4" w:space="0"/>
              <w:right w:val="single" w:color="auto" w:sz="4" w:space="0"/>
            </w:tcBorders>
            <w:shd w:val="clear" w:color="auto" w:fill="auto"/>
            <w:noWrap/>
            <w:vAlign w:val="center"/>
          </w:tcPr>
          <w:p w14:paraId="3B239F9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59FF260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93B43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F28A21">
        <w:tblPrEx>
          <w:tblCellMar>
            <w:top w:w="0" w:type="dxa"/>
            <w:left w:w="108" w:type="dxa"/>
            <w:bottom w:w="0" w:type="dxa"/>
            <w:right w:w="108" w:type="dxa"/>
          </w:tblCellMar>
        </w:tblPrEx>
        <w:trPr>
          <w:trHeight w:val="23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64C0D4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6BADFB7">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628.05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5A0F85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1C4E698">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51.33</w:t>
            </w:r>
          </w:p>
        </w:tc>
      </w:tr>
    </w:tbl>
    <w:p w14:paraId="1D3154E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AF6DDF9">
      <w:pPr>
        <w:widowControl/>
        <w:spacing w:line="400" w:lineRule="exact"/>
        <w:jc w:val="center"/>
        <w:textAlignment w:val="center"/>
        <w:rPr>
          <w:rFonts w:ascii="Times New Roman" w:hAnsi="Times New Roman" w:eastAsia="仿宋_GB2312" w:cs="Times New Roman"/>
          <w:color w:val="000000"/>
          <w:kern w:val="0"/>
          <w:sz w:val="32"/>
          <w:szCs w:val="32"/>
        </w:rPr>
      </w:pPr>
    </w:p>
    <w:p w14:paraId="2BEBD33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42886F5E">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594F766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lang w:eastAsia="zh-CN"/>
        </w:rPr>
        <w:t>怀化市人民政府国有资产监督管理委员会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FE6EEDA">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DB28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769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768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118D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D0C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AA3429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DBC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D1E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369E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C50D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244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B35B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863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346F1">
            <w:pPr>
              <w:widowControl/>
              <w:jc w:val="center"/>
              <w:rPr>
                <w:rFonts w:ascii="Times New Roman" w:hAnsi="Times New Roman" w:eastAsia="仿宋_GB2312" w:cs="Times New Roman"/>
                <w:color w:val="000000"/>
                <w:sz w:val="24"/>
                <w:szCs w:val="24"/>
              </w:rPr>
            </w:pPr>
          </w:p>
        </w:tc>
      </w:tr>
      <w:tr w14:paraId="26E31AA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AD67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A884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31B6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AF4E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62B6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E3D0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0902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9685C">
            <w:pPr>
              <w:jc w:val="center"/>
              <w:rPr>
                <w:rFonts w:ascii="Times New Roman" w:hAnsi="Times New Roman" w:eastAsia="仿宋_GB2312" w:cs="Times New Roman"/>
                <w:color w:val="000000"/>
                <w:sz w:val="24"/>
                <w:szCs w:val="24"/>
              </w:rPr>
            </w:pPr>
          </w:p>
        </w:tc>
      </w:tr>
      <w:tr w14:paraId="1930F67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8595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0B6B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B8B8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BEAA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EC36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C65F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0D47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C8C4C">
            <w:pPr>
              <w:jc w:val="center"/>
              <w:rPr>
                <w:rFonts w:ascii="Times New Roman" w:hAnsi="Times New Roman" w:eastAsia="仿宋_GB2312" w:cs="Times New Roman"/>
                <w:color w:val="000000"/>
                <w:sz w:val="24"/>
                <w:szCs w:val="24"/>
              </w:rPr>
            </w:pPr>
          </w:p>
        </w:tc>
      </w:tr>
      <w:tr w14:paraId="7FDC52A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A48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77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F6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CA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963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27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DB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1AB15BF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08E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260D">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491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96F1">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D16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6AD9">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BBDC">
            <w:pPr>
              <w:jc w:val="center"/>
              <w:rPr>
                <w:rFonts w:ascii="Times New Roman" w:hAnsi="Times New Roman" w:eastAsia="仿宋_GB2312" w:cs="Times New Roman"/>
                <w:color w:val="000000"/>
                <w:sz w:val="24"/>
                <w:szCs w:val="24"/>
              </w:rPr>
            </w:pPr>
          </w:p>
        </w:tc>
      </w:tr>
      <w:tr w14:paraId="75B89C1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544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974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C24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6494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861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2A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D08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3490">
            <w:pPr>
              <w:rPr>
                <w:rFonts w:ascii="Times New Roman" w:hAnsi="Times New Roman" w:eastAsia="仿宋_GB2312" w:cs="Times New Roman"/>
                <w:color w:val="000000"/>
                <w:sz w:val="24"/>
                <w:szCs w:val="24"/>
              </w:rPr>
            </w:pPr>
          </w:p>
        </w:tc>
      </w:tr>
      <w:tr w14:paraId="3ACF71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082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456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ECC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17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D311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84D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02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DE53">
            <w:pPr>
              <w:rPr>
                <w:rFonts w:ascii="Times New Roman" w:hAnsi="Times New Roman" w:eastAsia="仿宋_GB2312" w:cs="Times New Roman"/>
                <w:color w:val="000000"/>
                <w:sz w:val="24"/>
                <w:szCs w:val="24"/>
              </w:rPr>
            </w:pPr>
          </w:p>
        </w:tc>
      </w:tr>
      <w:tr w14:paraId="02217B3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943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7B59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32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52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8AE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73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9A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FA21">
            <w:pPr>
              <w:rPr>
                <w:rFonts w:ascii="Times New Roman" w:hAnsi="Times New Roman" w:eastAsia="仿宋_GB2312" w:cs="Times New Roman"/>
                <w:color w:val="000000"/>
                <w:sz w:val="24"/>
                <w:szCs w:val="24"/>
              </w:rPr>
            </w:pPr>
          </w:p>
        </w:tc>
      </w:tr>
      <w:tr w14:paraId="2166DFC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BE9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D2B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044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25D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AAE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F48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510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2ABB">
            <w:pPr>
              <w:rPr>
                <w:rFonts w:ascii="Times New Roman" w:hAnsi="Times New Roman" w:eastAsia="仿宋_GB2312" w:cs="Times New Roman"/>
                <w:color w:val="000000"/>
                <w:sz w:val="24"/>
                <w:szCs w:val="24"/>
              </w:rPr>
            </w:pPr>
          </w:p>
        </w:tc>
      </w:tr>
      <w:tr w14:paraId="52B3DB8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7F0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593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783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E69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4CA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71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B88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7F7B">
            <w:pPr>
              <w:rPr>
                <w:rFonts w:ascii="Times New Roman" w:hAnsi="Times New Roman" w:eastAsia="仿宋_GB2312" w:cs="Times New Roman"/>
                <w:color w:val="000000"/>
                <w:sz w:val="24"/>
                <w:szCs w:val="24"/>
              </w:rPr>
            </w:pPr>
          </w:p>
        </w:tc>
      </w:tr>
      <w:tr w14:paraId="764EA24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698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BF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35F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4B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BEB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7F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DC0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B7A3">
            <w:pPr>
              <w:rPr>
                <w:rFonts w:ascii="Times New Roman" w:hAnsi="Times New Roman" w:eastAsia="仿宋_GB2312" w:cs="Times New Roman"/>
                <w:color w:val="000000"/>
                <w:sz w:val="24"/>
                <w:szCs w:val="24"/>
              </w:rPr>
            </w:pPr>
          </w:p>
        </w:tc>
      </w:tr>
    </w:tbl>
    <w:p w14:paraId="6951C5C6">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63F82914">
      <w:pPr>
        <w:widowControl/>
        <w:jc w:val="left"/>
        <w:textAlignment w:val="center"/>
        <w:rPr>
          <w:rFonts w:ascii="Times New Roman" w:hAnsi="Times New Roman" w:eastAsia="仿宋_GB2312" w:cs="Times New Roman"/>
          <w:color w:val="000000"/>
          <w:kern w:val="0"/>
          <w:sz w:val="24"/>
          <w:szCs w:val="24"/>
        </w:rPr>
      </w:pPr>
    </w:p>
    <w:p w14:paraId="06390AB4">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15811929">
      <w:pPr>
        <w:widowControl/>
        <w:jc w:val="center"/>
        <w:rPr>
          <w:rFonts w:ascii="Times New Roman" w:hAnsi="Times New Roman" w:eastAsia="方正小标宋_GBK" w:cs="Times New Roman"/>
          <w:color w:val="000000"/>
          <w:kern w:val="0"/>
          <w:sz w:val="36"/>
          <w:szCs w:val="36"/>
        </w:rPr>
      </w:pPr>
    </w:p>
    <w:p w14:paraId="5B119C62">
      <w:pPr>
        <w:widowControl/>
        <w:spacing w:line="400" w:lineRule="exact"/>
        <w:textAlignment w:val="center"/>
        <w:rPr>
          <w:rFonts w:ascii="Times New Roman" w:hAnsi="Times New Roman" w:eastAsia="黑体" w:cs="Times New Roman"/>
          <w:color w:val="000000"/>
          <w:kern w:val="0"/>
          <w:sz w:val="36"/>
          <w:szCs w:val="36"/>
        </w:rPr>
      </w:pPr>
    </w:p>
    <w:p w14:paraId="630ABDB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CCB192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68FE7B2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lang w:eastAsia="zh-CN"/>
        </w:rPr>
        <w:t>怀化市人民政府国有资产监督管理委员</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C042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1E3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E3A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DA25D7D">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A4FD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46D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8D2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8AF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574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364F2E0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5E2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48C3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B471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58CA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82AB0">
            <w:pPr>
              <w:jc w:val="center"/>
              <w:rPr>
                <w:rFonts w:ascii="Times New Roman" w:hAnsi="Times New Roman" w:eastAsia="仿宋_GB2312" w:cs="Times New Roman"/>
                <w:color w:val="000000"/>
                <w:sz w:val="24"/>
                <w:szCs w:val="24"/>
              </w:rPr>
            </w:pPr>
          </w:p>
        </w:tc>
      </w:tr>
      <w:tr w14:paraId="4B3865B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2E3F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3025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27EC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B0C3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377D9">
            <w:pPr>
              <w:jc w:val="center"/>
              <w:rPr>
                <w:rFonts w:ascii="Times New Roman" w:hAnsi="Times New Roman" w:eastAsia="仿宋_GB2312" w:cs="Times New Roman"/>
                <w:color w:val="000000"/>
                <w:sz w:val="24"/>
                <w:szCs w:val="24"/>
              </w:rPr>
            </w:pPr>
          </w:p>
        </w:tc>
      </w:tr>
      <w:tr w14:paraId="146F3E0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471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9A1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9D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BC6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F7A84D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76F34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C5A8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1DF8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8606">
            <w:pPr>
              <w:jc w:val="center"/>
              <w:rPr>
                <w:rFonts w:ascii="Times New Roman" w:hAnsi="Times New Roman" w:eastAsia="仿宋_GB2312" w:cs="Times New Roman"/>
                <w:color w:val="000000"/>
                <w:sz w:val="24"/>
                <w:szCs w:val="24"/>
              </w:rPr>
            </w:pPr>
          </w:p>
        </w:tc>
      </w:tr>
      <w:tr w14:paraId="42BDB54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BF4F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D889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010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DD85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1CB7">
            <w:pPr>
              <w:rPr>
                <w:rFonts w:ascii="Times New Roman" w:hAnsi="Times New Roman" w:eastAsia="仿宋_GB2312" w:cs="Times New Roman"/>
                <w:color w:val="000000"/>
                <w:sz w:val="24"/>
                <w:szCs w:val="24"/>
              </w:rPr>
            </w:pPr>
          </w:p>
        </w:tc>
      </w:tr>
      <w:tr w14:paraId="1B94C90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FED5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3C45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888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78B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73815">
            <w:pPr>
              <w:rPr>
                <w:rFonts w:ascii="Times New Roman" w:hAnsi="Times New Roman" w:eastAsia="仿宋_GB2312" w:cs="Times New Roman"/>
                <w:color w:val="000000"/>
                <w:sz w:val="24"/>
                <w:szCs w:val="24"/>
              </w:rPr>
            </w:pPr>
          </w:p>
        </w:tc>
      </w:tr>
      <w:tr w14:paraId="549C008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2770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3B36">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E643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6A6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27DEE">
            <w:pPr>
              <w:rPr>
                <w:rFonts w:ascii="Times New Roman" w:hAnsi="Times New Roman" w:eastAsia="宋体" w:cs="Times New Roman"/>
                <w:color w:val="000000"/>
                <w:sz w:val="24"/>
                <w:szCs w:val="24"/>
              </w:rPr>
            </w:pPr>
          </w:p>
        </w:tc>
      </w:tr>
      <w:tr w14:paraId="55E02C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5314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51DE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9297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E29A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6B374">
            <w:pPr>
              <w:rPr>
                <w:rFonts w:ascii="Times New Roman" w:hAnsi="Times New Roman" w:eastAsia="宋体" w:cs="Times New Roman"/>
                <w:color w:val="000000"/>
                <w:sz w:val="24"/>
                <w:szCs w:val="24"/>
              </w:rPr>
            </w:pPr>
          </w:p>
        </w:tc>
      </w:tr>
      <w:tr w14:paraId="481FA5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A53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A4F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D1AC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A02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BEAB">
            <w:pPr>
              <w:rPr>
                <w:rFonts w:ascii="Times New Roman" w:hAnsi="Times New Roman" w:eastAsia="宋体" w:cs="Times New Roman"/>
                <w:color w:val="000000"/>
                <w:sz w:val="24"/>
                <w:szCs w:val="24"/>
              </w:rPr>
            </w:pPr>
          </w:p>
        </w:tc>
      </w:tr>
      <w:tr w14:paraId="24BF0A4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10B2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4F7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B1E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3482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DDC21">
            <w:pPr>
              <w:rPr>
                <w:rFonts w:ascii="Times New Roman" w:hAnsi="Times New Roman" w:eastAsia="宋体" w:cs="Times New Roman"/>
                <w:color w:val="000000"/>
                <w:sz w:val="24"/>
                <w:szCs w:val="24"/>
              </w:rPr>
            </w:pPr>
          </w:p>
        </w:tc>
      </w:tr>
    </w:tbl>
    <w:p w14:paraId="2735E0E0">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917F6F9">
      <w:pPr>
        <w:widowControl/>
        <w:jc w:val="left"/>
        <w:textAlignment w:val="center"/>
        <w:rPr>
          <w:rFonts w:ascii="Times New Roman" w:hAnsi="Times New Roman" w:eastAsia="宋体" w:cs="Times New Roman"/>
          <w:color w:val="000000"/>
          <w:kern w:val="0"/>
          <w:sz w:val="24"/>
          <w:szCs w:val="24"/>
        </w:rPr>
      </w:pPr>
    </w:p>
    <w:p w14:paraId="597BC735">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60E185CB">
      <w:pPr>
        <w:widowControl/>
        <w:jc w:val="center"/>
        <w:rPr>
          <w:rFonts w:ascii="Times New Roman" w:hAnsi="Times New Roman" w:eastAsia="方正小标宋_GBK" w:cs="Times New Roman"/>
          <w:color w:val="000000"/>
          <w:kern w:val="0"/>
          <w:sz w:val="36"/>
          <w:szCs w:val="36"/>
        </w:rPr>
      </w:pPr>
    </w:p>
    <w:p w14:paraId="6A0DA552">
      <w:pPr>
        <w:pStyle w:val="8"/>
        <w:spacing w:line="400" w:lineRule="exact"/>
        <w:rPr>
          <w:rFonts w:ascii="Times New Roman" w:hAnsi="Times New Roman" w:eastAsia="华文中宋" w:cs="Times New Roman"/>
          <w:color w:val="000000"/>
          <w:kern w:val="0"/>
          <w:sz w:val="32"/>
          <w:szCs w:val="32"/>
        </w:rPr>
      </w:pPr>
    </w:p>
    <w:p w14:paraId="42F0CD19">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AC16C5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2F9398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Cs w:val="21"/>
          <w:lang w:eastAsia="zh-CN"/>
        </w:rPr>
        <w:t>怀化市人民政府国有资产监督管理委员会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FD5ACF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DE59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133B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41DA18D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498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EC4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A4B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BE0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E3A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29A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96F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C27B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32DB7D1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56F5F">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222D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FFA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006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C44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5CA9E">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5B16B">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159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DF9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4E9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E4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9219D">
            <w:pPr>
              <w:jc w:val="center"/>
              <w:rPr>
                <w:rFonts w:ascii="Times New Roman" w:hAnsi="Times New Roman" w:eastAsia="仿宋_GB2312" w:cs="Times New Roman"/>
                <w:color w:val="000000"/>
                <w:sz w:val="22"/>
              </w:rPr>
            </w:pPr>
          </w:p>
        </w:tc>
      </w:tr>
      <w:tr w14:paraId="5A359751">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148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7E2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860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0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5D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F5B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3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932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40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2C6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707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19D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50E8D0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AF8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2.29</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B583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D613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25A6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043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30F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BF4B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C712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C114">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563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232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2.16</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04F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0.13</w:t>
            </w:r>
          </w:p>
        </w:tc>
      </w:tr>
    </w:tbl>
    <w:p w14:paraId="75560340">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7BBDF8B">
      <w:pPr>
        <w:autoSpaceDE w:val="0"/>
        <w:autoSpaceDN w:val="0"/>
        <w:adjustRightInd w:val="0"/>
        <w:ind w:left="315" w:leftChars="150"/>
        <w:jc w:val="left"/>
        <w:rPr>
          <w:rFonts w:ascii="Times New Roman" w:hAnsi="Times New Roman" w:eastAsia="宋体" w:cs="Times New Roman"/>
          <w:kern w:val="0"/>
          <w:sz w:val="24"/>
          <w:szCs w:val="24"/>
        </w:rPr>
      </w:pPr>
    </w:p>
    <w:p w14:paraId="490619F3">
      <w:pPr>
        <w:autoSpaceDE w:val="0"/>
        <w:autoSpaceDN w:val="0"/>
        <w:adjustRightInd w:val="0"/>
        <w:ind w:left="315" w:leftChars="150"/>
        <w:jc w:val="left"/>
        <w:rPr>
          <w:rFonts w:ascii="Times New Roman" w:hAnsi="Times New Roman" w:eastAsia="宋体" w:cs="Times New Roman"/>
          <w:kern w:val="0"/>
          <w:sz w:val="24"/>
          <w:szCs w:val="24"/>
        </w:rPr>
      </w:pPr>
    </w:p>
    <w:p w14:paraId="3120A9DF">
      <w:pPr>
        <w:autoSpaceDE w:val="0"/>
        <w:autoSpaceDN w:val="0"/>
        <w:adjustRightInd w:val="0"/>
        <w:ind w:left="315" w:leftChars="150"/>
        <w:jc w:val="left"/>
        <w:rPr>
          <w:rFonts w:ascii="Times New Roman" w:hAnsi="Times New Roman" w:eastAsia="宋体" w:cs="Times New Roman"/>
          <w:kern w:val="0"/>
          <w:sz w:val="24"/>
          <w:szCs w:val="24"/>
        </w:rPr>
      </w:pPr>
    </w:p>
    <w:p w14:paraId="3172A135">
      <w:pPr>
        <w:autoSpaceDE w:val="0"/>
        <w:autoSpaceDN w:val="0"/>
        <w:adjustRightInd w:val="0"/>
        <w:ind w:left="315" w:leftChars="150"/>
        <w:jc w:val="left"/>
        <w:rPr>
          <w:rFonts w:ascii="Times New Roman" w:hAnsi="Times New Roman" w:eastAsia="宋体" w:cs="Times New Roman"/>
          <w:kern w:val="0"/>
          <w:sz w:val="24"/>
          <w:szCs w:val="24"/>
        </w:rPr>
      </w:pPr>
    </w:p>
    <w:p w14:paraId="3A1D1318">
      <w:pPr>
        <w:autoSpaceDE w:val="0"/>
        <w:autoSpaceDN w:val="0"/>
        <w:adjustRightInd w:val="0"/>
        <w:ind w:left="315" w:leftChars="150"/>
        <w:jc w:val="left"/>
        <w:rPr>
          <w:rFonts w:ascii="Times New Roman" w:hAnsi="Times New Roman" w:eastAsia="宋体" w:cs="Times New Roman"/>
          <w:kern w:val="0"/>
          <w:sz w:val="24"/>
          <w:szCs w:val="24"/>
        </w:rPr>
      </w:pPr>
    </w:p>
    <w:p w14:paraId="20D7204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CFC28D0">
      <w:pPr>
        <w:pStyle w:val="13"/>
        <w:rPr>
          <w:rFonts w:ascii="Times New Roman" w:hAnsi="Times New Roman" w:cs="Times New Roman"/>
          <w:sz w:val="72"/>
          <w:szCs w:val="72"/>
        </w:rPr>
      </w:pPr>
    </w:p>
    <w:p w14:paraId="3EF7EC4A">
      <w:pPr>
        <w:pStyle w:val="13"/>
        <w:rPr>
          <w:rFonts w:ascii="Times New Roman" w:hAnsi="Times New Roman" w:cs="Times New Roman"/>
          <w:sz w:val="72"/>
          <w:szCs w:val="72"/>
        </w:rPr>
      </w:pPr>
    </w:p>
    <w:p w14:paraId="5D7E72B5">
      <w:pPr>
        <w:pStyle w:val="13"/>
        <w:rPr>
          <w:rFonts w:ascii="Times New Roman" w:hAnsi="Times New Roman" w:cs="Times New Roman"/>
          <w:sz w:val="72"/>
          <w:szCs w:val="72"/>
        </w:rPr>
      </w:pPr>
    </w:p>
    <w:p w14:paraId="028EB3F2">
      <w:pPr>
        <w:pStyle w:val="13"/>
        <w:jc w:val="center"/>
        <w:rPr>
          <w:rFonts w:ascii="Times New Roman" w:hAnsi="Times New Roman" w:cs="Times New Roman"/>
          <w:sz w:val="72"/>
          <w:szCs w:val="72"/>
        </w:rPr>
      </w:pPr>
    </w:p>
    <w:p w14:paraId="07C63CD8">
      <w:pPr>
        <w:pStyle w:val="13"/>
        <w:jc w:val="center"/>
        <w:rPr>
          <w:rFonts w:ascii="Times New Roman" w:hAnsi="Times New Roman" w:eastAsia="方正小标宋_GBK" w:cs="Times New Roman"/>
          <w:sz w:val="72"/>
          <w:szCs w:val="72"/>
        </w:rPr>
      </w:pPr>
    </w:p>
    <w:p w14:paraId="757462A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F07582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CD9807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F7397F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CB72E7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50.21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人员经费支出较上年增长。</w:t>
      </w:r>
    </w:p>
    <w:p w14:paraId="5321DDC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8C3690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88E2B9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F80189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679.38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84.33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126.20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15.67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3FA076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737D9C4">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50.21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6.65</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人员经费支出</w:t>
      </w:r>
      <w:r>
        <w:rPr>
          <w:rFonts w:hint="eastAsia" w:ascii="Times New Roman" w:hAnsi="Times New Roman" w:eastAsia="仿宋_GB2312" w:cs="Times New Roman"/>
          <w:sz w:val="32"/>
          <w:szCs w:val="32"/>
          <w:lang w:eastAsia="zh-CN"/>
        </w:rPr>
        <w:t>较上年增长。</w:t>
      </w:r>
    </w:p>
    <w:p w14:paraId="20501A1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772836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5ADCA6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50.21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6.65</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基本支出较上年增长</w:t>
      </w:r>
      <w:r>
        <w:rPr>
          <w:rFonts w:hint="eastAsia" w:ascii="Times New Roman" w:hAnsi="Times New Roman" w:eastAsia="仿宋_GB2312" w:cs="Times New Roman"/>
          <w:sz w:val="32"/>
          <w:szCs w:val="32"/>
          <w:highlight w:val="none"/>
          <w:lang w:val="en-US" w:eastAsia="zh-CN"/>
        </w:rPr>
        <w:t>67.18万元，项目支出较上年减少16.96万元。</w:t>
      </w:r>
    </w:p>
    <w:p w14:paraId="7F0B74A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FA829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社会保障和就业（类）支出</w:t>
      </w:r>
      <w:r>
        <w:rPr>
          <w:rFonts w:hint="eastAsia" w:ascii="Times New Roman" w:hAnsi="Times New Roman" w:eastAsia="仿宋_GB2312"/>
          <w:sz w:val="32"/>
          <w:szCs w:val="32"/>
          <w:lang w:val="en-US" w:eastAsia="zh-CN"/>
        </w:rPr>
        <w:t>69.76万元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8.66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；卫生健康（类）支出23.40万元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2.90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；资源勘探工业信息等（类）支出712.42万元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88.44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；住房保障（类）支出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14:paraId="3554890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4ED304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741.85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108.59</w:t>
      </w:r>
      <w:r>
        <w:rPr>
          <w:rFonts w:ascii="Times New Roman" w:hAnsi="Times New Roman" w:eastAsia="仿宋_GB2312" w:cs="Times New Roman"/>
          <w:sz w:val="32"/>
          <w:szCs w:val="32"/>
        </w:rPr>
        <w:t>%，其中：</w:t>
      </w:r>
    </w:p>
    <w:p w14:paraId="550BC95C">
      <w:pPr>
        <w:pStyle w:val="13"/>
        <w:keepNext w:val="0"/>
        <w:keepLines w:val="0"/>
        <w:pageBreakBefore w:val="0"/>
        <w:widowControl w:val="0"/>
        <w:numPr>
          <w:ilvl w:val="0"/>
          <w:numId w:val="1"/>
        </w:numP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行政单位离退休</w:t>
      </w:r>
      <w:r>
        <w:rPr>
          <w:rFonts w:hint="eastAsia" w:ascii="Times New Roman" w:hAnsi="Times New Roman" w:eastAsia="仿宋_GB2312"/>
          <w:sz w:val="32"/>
          <w:szCs w:val="32"/>
        </w:rPr>
        <w:t>（项）。</w:t>
      </w:r>
    </w:p>
    <w:p w14:paraId="2E45947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12.33</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13.93</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lang w:eastAsia="zh-CN"/>
        </w:rPr>
        <w:t>实际完成预算的</w:t>
      </w:r>
      <w:r>
        <w:rPr>
          <w:rFonts w:hint="eastAsia" w:ascii="Times New Roman" w:hAnsi="Times New Roman" w:eastAsia="仿宋_GB2312"/>
          <w:sz w:val="32"/>
          <w:szCs w:val="32"/>
          <w:lang w:val="en-US" w:eastAsia="zh-CN"/>
        </w:rPr>
        <w:t>112.98%，</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提前退休人员工资调整产生</w:t>
      </w:r>
      <w:r>
        <w:rPr>
          <w:rFonts w:hint="eastAsia" w:ascii="Times New Roman" w:hAnsi="Times New Roman" w:eastAsia="仿宋_GB2312"/>
          <w:sz w:val="32"/>
          <w:szCs w:val="32"/>
          <w:lang w:eastAsia="zh-CN"/>
        </w:rPr>
        <w:t>。</w:t>
      </w:r>
    </w:p>
    <w:p w14:paraId="7BEDF58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2、</w:t>
      </w:r>
      <w:r>
        <w:rPr>
          <w:rFonts w:hint="eastAsia" w:ascii="Times New Roman" w:hAnsi="Times New Roman" w:eastAsia="仿宋_GB2312"/>
          <w:sz w:val="32"/>
          <w:szCs w:val="32"/>
          <w:highlight w:val="none"/>
          <w:lang w:eastAsia="zh-CN"/>
        </w:rPr>
        <w:t>社会保障和就业支出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行政事业单位养老支出</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机关事业单位基本养老保险缴费支出</w:t>
      </w:r>
      <w:r>
        <w:rPr>
          <w:rFonts w:hint="eastAsia" w:ascii="Times New Roman" w:hAnsi="Times New Roman" w:eastAsia="仿宋_GB2312"/>
          <w:sz w:val="32"/>
          <w:szCs w:val="32"/>
          <w:highlight w:val="none"/>
        </w:rPr>
        <w:t>（项）。</w:t>
      </w:r>
    </w:p>
    <w:p w14:paraId="38AF556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55.02</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55.83</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101.47</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：提前退休人员社保缴费基数调整产生的差异。</w:t>
      </w:r>
    </w:p>
    <w:p w14:paraId="5027A31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14:paraId="78FBA7B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22.10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23.40</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105.88</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社保基数调整产生。</w:t>
      </w:r>
    </w:p>
    <w:p w14:paraId="7598F32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4</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资源勘探工业信息等支出</w:t>
      </w:r>
      <w:r>
        <w:rPr>
          <w:rFonts w:hint="eastAsia" w:ascii="Times New Roman" w:hAnsi="Times New Roman" w:eastAsia="仿宋_GB2312"/>
          <w:sz w:val="32"/>
          <w:szCs w:val="32"/>
          <w:highlight w:val="none"/>
        </w:rPr>
        <w:t>（类）</w:t>
      </w:r>
      <w:r>
        <w:rPr>
          <w:rFonts w:hint="eastAsia" w:ascii="Times New Roman" w:hAnsi="Times New Roman" w:eastAsia="仿宋_GB2312"/>
          <w:sz w:val="32"/>
          <w:szCs w:val="32"/>
          <w:highlight w:val="none"/>
          <w:lang w:eastAsia="zh-CN"/>
        </w:rPr>
        <w:t>国有资产监管</w:t>
      </w:r>
      <w:r>
        <w:rPr>
          <w:rFonts w:hint="eastAsia" w:ascii="Times New Roman" w:hAnsi="Times New Roman" w:eastAsia="仿宋_GB2312"/>
          <w:sz w:val="32"/>
          <w:szCs w:val="32"/>
          <w:highlight w:val="none"/>
        </w:rPr>
        <w:t>（款）</w:t>
      </w:r>
      <w:r>
        <w:rPr>
          <w:rFonts w:hint="eastAsia" w:ascii="Times New Roman" w:hAnsi="Times New Roman" w:eastAsia="仿宋_GB2312"/>
          <w:sz w:val="32"/>
          <w:szCs w:val="32"/>
          <w:highlight w:val="none"/>
          <w:lang w:eastAsia="zh-CN"/>
        </w:rPr>
        <w:t>其他国有资产监管支出</w:t>
      </w:r>
      <w:r>
        <w:rPr>
          <w:rFonts w:hint="eastAsia" w:ascii="Times New Roman" w:hAnsi="Times New Roman" w:eastAsia="仿宋_GB2312"/>
          <w:sz w:val="32"/>
          <w:szCs w:val="32"/>
          <w:highlight w:val="none"/>
        </w:rPr>
        <w:t>（项）。</w:t>
      </w:r>
    </w:p>
    <w:p w14:paraId="4CDA82B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652.40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712.42</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109.20</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补发工资及预发</w:t>
      </w:r>
      <w:r>
        <w:rPr>
          <w:rFonts w:hint="eastAsia" w:ascii="Times New Roman" w:hAnsi="Times New Roman" w:eastAsia="仿宋_GB2312"/>
          <w:sz w:val="32"/>
          <w:szCs w:val="32"/>
          <w:highlight w:val="none"/>
          <w:lang w:val="en-US" w:eastAsia="zh-CN"/>
        </w:rPr>
        <w:t>2025年度绩效奖</w:t>
      </w:r>
      <w:r>
        <w:rPr>
          <w:rFonts w:hint="eastAsia" w:ascii="Times New Roman" w:hAnsi="Times New Roman" w:eastAsia="仿宋_GB2312"/>
          <w:sz w:val="32"/>
          <w:szCs w:val="32"/>
          <w:highlight w:val="none"/>
          <w:lang w:eastAsia="zh-CN"/>
        </w:rPr>
        <w:t>。</w:t>
      </w:r>
    </w:p>
    <w:p w14:paraId="5CC0284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D806D1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679.38</w:t>
      </w:r>
      <w:r>
        <w:rPr>
          <w:rFonts w:ascii="Times New Roman" w:hAnsi="Times New Roman" w:eastAsia="仿宋_GB2312" w:cs="Times New Roman"/>
          <w:sz w:val="32"/>
          <w:szCs w:val="32"/>
        </w:rPr>
        <w:t>万元，其中：</w:t>
      </w:r>
    </w:p>
    <w:p w14:paraId="29DF341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628.05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92.44</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养老保险、医疗保险、住房公积金</w:t>
      </w:r>
      <w:r>
        <w:rPr>
          <w:rFonts w:ascii="Times New Roman" w:hAnsi="Times New Roman" w:eastAsia="仿宋_GB2312" w:cs="Times New Roman"/>
          <w:sz w:val="32"/>
          <w:szCs w:val="32"/>
        </w:rPr>
        <w:t>。</w:t>
      </w:r>
    </w:p>
    <w:p w14:paraId="3952143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51.33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7.56</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工会经费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其他交通费用</w:t>
      </w:r>
      <w:r>
        <w:rPr>
          <w:rFonts w:ascii="Times New Roman" w:hAnsi="Times New Roman" w:eastAsia="仿宋_GB2312" w:cs="Times New Roman"/>
          <w:sz w:val="32"/>
          <w:szCs w:val="32"/>
        </w:rPr>
        <w:t>。</w:t>
      </w:r>
    </w:p>
    <w:p w14:paraId="24F546FA">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2CEB30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2B9BABE">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57.25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与上年相比减少</w:t>
      </w:r>
      <w:r>
        <w:rPr>
          <w:rFonts w:hint="eastAsia" w:ascii="Times New Roman" w:hAnsi="Times New Roman" w:eastAsia="仿宋_GB2312" w:cs="Times New Roman"/>
          <w:sz w:val="32"/>
          <w:szCs w:val="32"/>
          <w:lang w:val="en-US" w:eastAsia="zh-CN"/>
        </w:rPr>
        <w:t>1.67万元，降低42.17%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w:t>
      </w:r>
      <w:r>
        <w:rPr>
          <w:rFonts w:hint="eastAsia" w:ascii="Times New Roman" w:hAnsi="Times New Roman" w:eastAsia="仿宋_GB2312" w:cs="Times New Roman"/>
          <w:sz w:val="32"/>
          <w:szCs w:val="32"/>
          <w:lang w:eastAsia="zh-CN"/>
        </w:rPr>
        <w:t>预算数</w:t>
      </w:r>
      <w:r>
        <w:rPr>
          <w:rFonts w:ascii="Times New Roman" w:hAnsi="Times New Roman" w:eastAsia="仿宋_GB2312" w:cs="Times New Roman"/>
          <w:sz w:val="32"/>
          <w:szCs w:val="32"/>
        </w:rPr>
        <w:t>的主要原因</w:t>
      </w:r>
      <w:r>
        <w:rPr>
          <w:rFonts w:hint="eastAsia" w:ascii="Times New Roman" w:hAnsi="Times New Roman" w:eastAsia="仿宋_GB2312" w:cs="Times New Roman"/>
          <w:sz w:val="32"/>
          <w:szCs w:val="32"/>
          <w:lang w:eastAsia="zh-CN"/>
        </w:rPr>
        <w:t>一</w:t>
      </w:r>
      <w:r>
        <w:rPr>
          <w:rFonts w:ascii="Times New Roman" w:hAnsi="Times New Roman" w:eastAsia="仿宋_GB2312" w:cs="Times New Roman"/>
          <w:sz w:val="32"/>
          <w:szCs w:val="32"/>
        </w:rPr>
        <w:t>是</w:t>
      </w:r>
      <w:r>
        <w:rPr>
          <w:rFonts w:hint="eastAsia" w:ascii="Times New Roman" w:hAnsi="Times New Roman" w:eastAsia="仿宋_GB2312" w:cs="Times New Roman"/>
          <w:sz w:val="32"/>
          <w:szCs w:val="32"/>
          <w:lang w:eastAsia="zh-CN"/>
        </w:rPr>
        <w:t>公车使用频率减少</w:t>
      </w:r>
      <w:r>
        <w:rPr>
          <w:rFonts w:hint="eastAsia" w:ascii="Times New Roman" w:hAnsi="Times New Roman" w:eastAsia="仿宋_GB2312" w:cs="Times New Roman"/>
          <w:sz w:val="32"/>
          <w:szCs w:val="32"/>
          <w:lang w:val="en-US" w:eastAsia="zh-CN"/>
        </w:rPr>
        <w:t>，二是公务接待频次减少明显</w:t>
      </w:r>
      <w:r>
        <w:rPr>
          <w:rFonts w:ascii="Times New Roman" w:hAnsi="Times New Roman" w:eastAsia="仿宋_GB2312" w:cs="Times New Roman"/>
          <w:sz w:val="32"/>
          <w:szCs w:val="32"/>
        </w:rPr>
        <w:t>。</w:t>
      </w:r>
    </w:p>
    <w:p w14:paraId="205AA56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6430E63">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5EDBA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27.76</w:t>
      </w:r>
      <w:r>
        <w:rPr>
          <w:rFonts w:ascii="Times New Roman" w:hAnsi="Times New Roman" w:eastAsia="仿宋_GB2312" w:cs="Times New Roman"/>
          <w:sz w:val="32"/>
          <w:szCs w:val="32"/>
        </w:rPr>
        <w:t>%。其中：</w:t>
      </w:r>
    </w:p>
    <w:p w14:paraId="3DB9181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855047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2.16</w:t>
      </w:r>
      <w:r>
        <w:rPr>
          <w:rFonts w:ascii="Times New Roman" w:hAnsi="Times New Roman" w:eastAsia="仿宋_GB2312" w:cs="Times New Roman"/>
          <w:sz w:val="32"/>
          <w:szCs w:val="32"/>
        </w:rPr>
        <w:t>万元，</w:t>
      </w:r>
    </w:p>
    <w:p w14:paraId="1E08CAB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油耗、保养修理费、过路过桥费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27.76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厉行节约，严控不超年初预算</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eastAsia="zh-CN"/>
        </w:rPr>
        <w:t>公车使用频率减少</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6E212127">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86.46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厉行节约，</w:t>
      </w:r>
      <w:r>
        <w:rPr>
          <w:rFonts w:hint="eastAsia" w:ascii="Times New Roman" w:hAnsi="Times New Roman" w:eastAsia="仿宋_GB2312" w:cs="Times New Roman"/>
          <w:sz w:val="32"/>
          <w:szCs w:val="32"/>
          <w:highlight w:val="none"/>
          <w:lang w:eastAsia="zh-CN"/>
        </w:rPr>
        <w:t>严控不超年初预算</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小</w:t>
      </w:r>
      <w:r>
        <w:rPr>
          <w:rFonts w:ascii="Times New Roman" w:hAnsi="Times New Roman" w:eastAsia="仿宋_GB2312" w:cs="Times New Roman"/>
          <w:sz w:val="32"/>
          <w:szCs w:val="32"/>
          <w:highlight w:val="none"/>
        </w:rPr>
        <w:t>于上年数的主要原因是</w:t>
      </w:r>
      <w:r>
        <w:rPr>
          <w:rFonts w:hint="eastAsia" w:ascii="Times New Roman" w:hAnsi="Times New Roman" w:eastAsia="仿宋_GB2312" w:cs="Times New Roman"/>
          <w:sz w:val="32"/>
          <w:szCs w:val="32"/>
          <w:highlight w:val="none"/>
          <w:lang w:eastAsia="zh-CN"/>
        </w:rPr>
        <w:t>公务接待频次减少</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年度共接待来访团组</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15</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eastAsia="zh-CN"/>
        </w:rPr>
        <w:t>接待考察调研、对接金融服务等</w:t>
      </w:r>
      <w:r>
        <w:rPr>
          <w:rFonts w:ascii="Times New Roman" w:hAnsi="Times New Roman" w:eastAsia="仿宋_GB2312" w:cs="Times New Roman"/>
          <w:sz w:val="32"/>
          <w:szCs w:val="32"/>
          <w:highlight w:val="none"/>
        </w:rPr>
        <w:t>发生的接待支出。</w:t>
      </w:r>
    </w:p>
    <w:p w14:paraId="5AF1BB9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BB673D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本单位无政府性基金收支。</w:t>
      </w:r>
    </w:p>
    <w:p w14:paraId="3AF3AA2A">
      <w:pPr>
        <w:pStyle w:val="13"/>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lang w:eastAsia="zh-CN"/>
        </w:rPr>
        <w:t>国有资本经营预算收入支出决算情况</w:t>
      </w:r>
    </w:p>
    <w:p w14:paraId="246E095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本单位无</w:t>
      </w:r>
      <w:r>
        <w:rPr>
          <w:rFonts w:hint="eastAsia" w:ascii="Times New Roman" w:hAnsi="Times New Roman" w:eastAsia="仿宋_GB2312"/>
          <w:sz w:val="32"/>
          <w:szCs w:val="32"/>
          <w:lang w:eastAsia="zh-CN"/>
        </w:rPr>
        <w:t>国有资本经营预算收入</w:t>
      </w:r>
      <w:r>
        <w:rPr>
          <w:rFonts w:hint="eastAsia" w:ascii="Times New Roman" w:hAnsi="Times New Roman" w:eastAsia="仿宋_GB2312"/>
          <w:sz w:val="32"/>
          <w:szCs w:val="32"/>
          <w:lang w:val="en-US" w:eastAsia="zh-CN"/>
        </w:rPr>
        <w:t>收支。</w:t>
      </w:r>
    </w:p>
    <w:p w14:paraId="1A27B6D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17548D9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51.33</w:t>
      </w:r>
      <w:r>
        <w:rPr>
          <w:rFonts w:ascii="Times New Roman" w:hAnsi="Times New Roman" w:eastAsia="仿宋_GB2312" w:cs="Times New Roman"/>
          <w:sz w:val="32"/>
          <w:szCs w:val="32"/>
          <w:highlight w:val="none"/>
        </w:rPr>
        <w:t>万元，比年初预算数</w:t>
      </w:r>
      <w:r>
        <w:rPr>
          <w:rFonts w:hint="eastAsia" w:ascii="Times New Roman" w:hAnsi="Times New Roman" w:eastAsia="仿宋_GB2312" w:cs="Times New Roman"/>
          <w:sz w:val="32"/>
          <w:szCs w:val="32"/>
          <w:highlight w:val="none"/>
          <w:lang w:eastAsia="zh-CN"/>
        </w:rPr>
        <w:t>增加</w:t>
      </w:r>
      <w:r>
        <w:rPr>
          <w:rFonts w:hint="eastAsia" w:ascii="Times New Roman" w:hAnsi="Times New Roman" w:eastAsia="仿宋_GB2312" w:cs="Times New Roman"/>
          <w:sz w:val="32"/>
          <w:szCs w:val="32"/>
          <w:highlight w:val="none"/>
          <w:lang w:val="en-US" w:eastAsia="zh-CN"/>
        </w:rPr>
        <w:t>11.73</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增加</w:t>
      </w:r>
      <w:r>
        <w:rPr>
          <w:rFonts w:hint="eastAsia" w:ascii="Times New Roman" w:hAnsi="Times New Roman" w:eastAsia="仿宋_GB2312" w:cs="Times New Roman"/>
          <w:sz w:val="32"/>
          <w:szCs w:val="32"/>
          <w:highlight w:val="none"/>
          <w:lang w:val="en-US" w:eastAsia="zh-CN"/>
        </w:rPr>
        <w:t>39.6</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决算统计口径将其他交通费用统计在公用经费</w:t>
      </w:r>
      <w:r>
        <w:rPr>
          <w:rFonts w:ascii="Times New Roman" w:hAnsi="Times New Roman" w:eastAsia="仿宋_GB2312" w:cs="Times New Roman"/>
          <w:sz w:val="32"/>
          <w:szCs w:val="32"/>
          <w:highlight w:val="none"/>
        </w:rPr>
        <w:t>。</w:t>
      </w:r>
    </w:p>
    <w:p w14:paraId="0A92694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33FA59F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未</w:t>
      </w:r>
      <w:r>
        <w:rPr>
          <w:rFonts w:hint="eastAsia" w:ascii="Times New Roman" w:hAnsi="Times New Roman" w:eastAsia="仿宋_GB2312"/>
          <w:sz w:val="32"/>
          <w:szCs w:val="32"/>
        </w:rPr>
        <w:t>举办节庆、晚会、论坛、赛事活动。</w:t>
      </w:r>
    </w:p>
    <w:p w14:paraId="1229CBD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99D4EC8">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1.77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1.77</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C21723A">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0E190A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lang w:eastAsia="zh-CN"/>
        </w:rPr>
        <w:t>保障单位办公运转</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6C59A3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B4CD707">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805.58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805.58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w:t>
      </w:r>
      <w:r>
        <w:rPr>
          <w:rFonts w:ascii="Times New Roman" w:hAnsi="Times New Roman" w:eastAsia="仿宋_GB2312" w:cs="Times New Roman"/>
          <w:kern w:val="0"/>
          <w:sz w:val="32"/>
          <w:szCs w:val="32"/>
          <w:highlight w:val="none"/>
        </w:rPr>
        <w:t>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二是部门评价开展情况。</w:t>
      </w:r>
      <w:r>
        <w:rPr>
          <w:rFonts w:ascii="Times New Roman" w:hAnsi="Times New Roman" w:eastAsia="仿宋_GB2312" w:cs="Times New Roman"/>
          <w:kern w:val="0"/>
          <w:sz w:val="32"/>
          <w:szCs w:val="32"/>
          <w:highlight w:val="none"/>
        </w:rPr>
        <w:t>组织对所属单位202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eastAsia="zh-CN"/>
        </w:rPr>
        <w:t>央企省企对接及招商引资</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lang w:eastAsia="zh-CN"/>
        </w:rPr>
        <w:t>国有企业遗留问题处置</w:t>
      </w:r>
      <w:r>
        <w:rPr>
          <w:rFonts w:ascii="Times New Roman" w:hAnsi="Times New Roman" w:eastAsia="仿宋_GB2312" w:cs="Times New Roman"/>
          <w:kern w:val="0"/>
          <w:sz w:val="32"/>
          <w:szCs w:val="32"/>
          <w:highlight w:val="none"/>
        </w:rPr>
        <w:t>”等</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kern w:val="0"/>
          <w:sz w:val="32"/>
          <w:szCs w:val="32"/>
          <w:highlight w:val="none"/>
        </w:rPr>
        <w:t>个项目开展了部门评价，涉及一般公共预算支出</w:t>
      </w:r>
      <w:r>
        <w:rPr>
          <w:rFonts w:hint="eastAsia" w:ascii="Times New Roman" w:hAnsi="Times New Roman" w:eastAsia="仿宋_GB2312" w:cs="Times New Roman"/>
          <w:sz w:val="32"/>
          <w:szCs w:val="32"/>
          <w:highlight w:val="none"/>
          <w:lang w:val="en-US" w:eastAsia="zh-CN"/>
        </w:rPr>
        <w:t>126.20</w:t>
      </w:r>
      <w:r>
        <w:rPr>
          <w:rFonts w:ascii="Times New Roman" w:hAnsi="Times New Roman" w:eastAsia="仿宋_GB2312" w:cs="Times New Roman"/>
          <w:kern w:val="0"/>
          <w:sz w:val="32"/>
          <w:szCs w:val="32"/>
          <w:highlight w:val="none"/>
        </w:rPr>
        <w:t>万元，政府性基金预算支出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万元，国有资本经营预算支出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万元，社会保险基金预算支出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w:t>
      </w:r>
    </w:p>
    <w:p w14:paraId="00F59C4F">
      <w:pPr>
        <w:keepNext w:val="0"/>
        <w:keepLines w:val="0"/>
        <w:pageBreakBefore w:val="0"/>
        <w:widowControl/>
        <w:shd w:val="clear" w:color="auto" w:fill="FFFFFF"/>
        <w:kinsoku/>
        <w:wordWrap/>
        <w:overflowPunct/>
        <w:topLinePunct w:val="0"/>
        <w:autoSpaceDE/>
        <w:autoSpaceDN/>
        <w:bidi w:val="0"/>
        <w:adjustRightInd w:val="0"/>
        <w:snapToGrid/>
        <w:spacing w:line="240" w:lineRule="auto"/>
        <w:ind w:firstLine="640" w:firstLineChars="200"/>
        <w:textAlignment w:val="auto"/>
        <w:rPr>
          <w:rFonts w:hint="default" w:ascii="Times New Roman" w:hAnsi="Times New Roman" w:eastAsia="仿宋_GB2312" w:cs="黑体"/>
          <w:color w:val="000000"/>
          <w:kern w:val="0"/>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929.95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805.58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highlight w:val="none"/>
          <w:lang w:val="en-US" w:eastAsia="zh-CN"/>
        </w:rPr>
        <w:t>6.63</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lang w:eastAsia="zh-CN"/>
        </w:rPr>
        <w:t>绩效自评得分</w:t>
      </w:r>
      <w:r>
        <w:rPr>
          <w:rFonts w:hint="eastAsia" w:ascii="Times New Roman" w:hAnsi="Times New Roman" w:eastAsia="仿宋_GB2312" w:cs="Times New Roman"/>
          <w:sz w:val="32"/>
          <w:szCs w:val="32"/>
          <w:highlight w:val="none"/>
          <w:lang w:val="en-US" w:eastAsia="zh-CN"/>
        </w:rPr>
        <w:t>98.66</w:t>
      </w:r>
      <w:r>
        <w:rPr>
          <w:rFonts w:hint="eastAsia" w:ascii="Times New Roman" w:hAnsi="Times New Roman" w:eastAsia="仿宋_GB2312" w:cs="Times New Roman"/>
          <w:sz w:val="32"/>
          <w:szCs w:val="32"/>
          <w:highlight w:val="none"/>
          <w:lang w:eastAsia="zh-CN"/>
        </w:rPr>
        <w:t>分，评价等级为“</w:t>
      </w:r>
      <w:r>
        <w:rPr>
          <w:rFonts w:hint="eastAsia" w:ascii="Times New Roman" w:hAnsi="Times New Roman" w:eastAsia="仿宋_GB2312" w:cs="Times New Roman"/>
          <w:sz w:val="32"/>
          <w:szCs w:val="32"/>
          <w:highlight w:val="none"/>
          <w:lang w:val="en-US" w:eastAsia="zh-CN"/>
        </w:rPr>
        <w:t>A</w:t>
      </w:r>
      <w:r>
        <w:rPr>
          <w:rFonts w:hint="eastAsia" w:ascii="Times New Roman" w:hAnsi="Times New Roman" w:eastAsia="仿宋_GB2312" w:cs="Times New Roman"/>
          <w:sz w:val="32"/>
          <w:szCs w:val="32"/>
          <w:highlight w:val="none"/>
          <w:lang w:eastAsia="zh-CN"/>
        </w:rPr>
        <w:t>”。绩效目标完成情况：</w:t>
      </w:r>
      <w:r>
        <w:rPr>
          <w:rFonts w:hint="eastAsia" w:ascii="Times New Roman" w:hAnsi="Times New Roman" w:eastAsia="仿宋_GB2312" w:cs="Times New Roman"/>
          <w:sz w:val="32"/>
          <w:szCs w:val="32"/>
          <w:highlight w:val="none"/>
          <w:lang w:val="en-US" w:eastAsia="zh-CN"/>
        </w:rPr>
        <w:t>1.聚焦提质增效，经济运行稳中有进。2.服务发展大局，彰显国企担当。3.深化改革攻坚，激发发展活力。4.强化严格监管，提升监管效能。5.坚持党建引领，筑牢发展根基。发现的问题及主要原因：</w:t>
      </w:r>
      <w:r>
        <w:rPr>
          <w:rFonts w:hint="eastAsia" w:ascii="Times New Roman" w:hAnsi="Times New Roman" w:eastAsia="仿宋_GB2312" w:cs="Times New Roman"/>
          <w:sz w:val="32"/>
          <w:szCs w:val="32"/>
          <w:highlight w:val="none"/>
          <w:lang w:eastAsia="zh-CN"/>
        </w:rPr>
        <w:t>本单位工作具有多样性，而财政每年安排的工作经费仅限于</w:t>
      </w:r>
      <w:r>
        <w:rPr>
          <w:rFonts w:hint="default" w:ascii="Times New Roman" w:hAnsi="Times New Roman" w:eastAsia="仿宋_GB2312" w:cs="Times New Roman"/>
          <w:sz w:val="32"/>
          <w:szCs w:val="32"/>
          <w:highlight w:val="none"/>
          <w:lang w:eastAsia="zh-CN"/>
        </w:rPr>
        <w:t>4</w:t>
      </w:r>
      <w:r>
        <w:rPr>
          <w:rFonts w:hint="eastAsia" w:ascii="Times New Roman" w:hAnsi="Times New Roman" w:eastAsia="仿宋_GB2312" w:cs="Times New Roman"/>
          <w:sz w:val="32"/>
          <w:szCs w:val="32"/>
          <w:highlight w:val="none"/>
          <w:lang w:eastAsia="zh-CN"/>
        </w:rPr>
        <w:t>项工作，很多工作开展是没有专门的经费的，比如乡村振兴驻村差旅费、监管企业财务决算审计、需要配套的部分社保等，这就造成了单位工作的开</w:t>
      </w:r>
      <w:r>
        <w:rPr>
          <w:rFonts w:hint="eastAsia" w:ascii="Times New Roman" w:hAnsi="Times New Roman" w:eastAsia="仿宋_GB2312" w:cs="黑体"/>
          <w:color w:val="000000"/>
          <w:kern w:val="0"/>
          <w:sz w:val="32"/>
          <w:szCs w:val="32"/>
          <w:lang w:val="en-US" w:eastAsia="zh-CN" w:bidi="ar-SA"/>
        </w:rPr>
        <w:t>展全部依靠仅有的专项工作经费和有限的公用经费。下一步改进措施：</w:t>
      </w:r>
      <w:r>
        <w:rPr>
          <w:rFonts w:hint="default" w:ascii="Times New Roman" w:hAnsi="Times New Roman" w:eastAsia="仿宋_GB2312" w:cs="黑体"/>
          <w:color w:val="000000"/>
          <w:kern w:val="0"/>
          <w:sz w:val="32"/>
          <w:szCs w:val="32"/>
          <w:lang w:val="en-US" w:eastAsia="zh-CN" w:bidi="ar-SA"/>
        </w:rPr>
        <w:t>1</w:t>
      </w:r>
      <w:r>
        <w:rPr>
          <w:rFonts w:hint="eastAsia" w:ascii="Times New Roman" w:hAnsi="Times New Roman" w:eastAsia="仿宋_GB2312" w:cs="黑体"/>
          <w:color w:val="000000"/>
          <w:kern w:val="0"/>
          <w:sz w:val="32"/>
          <w:szCs w:val="32"/>
          <w:lang w:val="en-US" w:eastAsia="zh-CN" w:bidi="ar-SA"/>
        </w:rPr>
        <w:t>.更加合理的编制年初预算。结合单位上年实际调整预算科目金额，使其更加贴合下年实际。</w:t>
      </w:r>
      <w:r>
        <w:rPr>
          <w:rFonts w:hint="default" w:ascii="Times New Roman" w:hAnsi="Times New Roman" w:eastAsia="仿宋_GB2312" w:cs="黑体"/>
          <w:color w:val="000000"/>
          <w:kern w:val="0"/>
          <w:sz w:val="32"/>
          <w:szCs w:val="32"/>
          <w:lang w:val="en-US" w:eastAsia="zh-CN" w:bidi="ar-SA"/>
        </w:rPr>
        <w:t>2</w:t>
      </w:r>
      <w:r>
        <w:rPr>
          <w:rFonts w:hint="eastAsia" w:ascii="Times New Roman" w:hAnsi="Times New Roman" w:eastAsia="仿宋_GB2312" w:cs="黑体"/>
          <w:color w:val="000000"/>
          <w:kern w:val="0"/>
          <w:sz w:val="32"/>
          <w:szCs w:val="32"/>
          <w:lang w:val="en-US" w:eastAsia="zh-CN" w:bidi="ar-SA"/>
        </w:rPr>
        <w:t>.积极对接市财政争取资金。</w:t>
      </w:r>
      <w:r>
        <w:rPr>
          <w:rFonts w:hint="default" w:ascii="Times New Roman" w:hAnsi="Times New Roman" w:eastAsia="仿宋_GB2312" w:cs="黑体"/>
          <w:color w:val="000000"/>
          <w:kern w:val="0"/>
          <w:sz w:val="32"/>
          <w:szCs w:val="32"/>
          <w:lang w:val="en-US" w:eastAsia="zh-CN" w:bidi="ar-SA"/>
        </w:rPr>
        <w:t>3</w:t>
      </w:r>
      <w:r>
        <w:rPr>
          <w:rFonts w:hint="eastAsia" w:ascii="Times New Roman" w:hAnsi="Times New Roman" w:eastAsia="仿宋_GB2312" w:cs="黑体"/>
          <w:color w:val="000000"/>
          <w:kern w:val="0"/>
          <w:sz w:val="32"/>
          <w:szCs w:val="32"/>
          <w:lang w:val="en-US" w:eastAsia="zh-CN" w:bidi="ar-SA"/>
        </w:rPr>
        <w:t>.结合内控完善考评指标。内部控制制度从预算管理、收支管理、资产管理、项目管理等各方面对单位的财务和业务进行控制管理，绩效考核指标可以结合内部控制对财务管理部分的关键点制定考核指标，以达到控制和考核相结合的效果</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黑体"/>
          <w:color w:val="000000"/>
          <w:kern w:val="0"/>
          <w:sz w:val="32"/>
          <w:szCs w:val="32"/>
          <w:lang w:val="en-US" w:eastAsia="zh-CN" w:bidi="ar-SA"/>
        </w:rPr>
        <w:t>央企省企对接及招商引资工作经费项目全年预算数10万元，执行数8.29万元，完成预算的82.9%，部门评价得分98.29分，评价等级为“A”。国企党建工作经费项目全年预算数20万元，执行数20万元，完成预算的100%，部门评价得分100分，评价等级为“A”。国企退休人员社会化管理工作经费项目全年预算数10万元，执行数10万元，完成预算的100%，部门评价得分100分，评价等级为“A”。国有企业遗留问题处置工作经费项目全年预算数90万元，执行数87.91万元，完成预算的97.68%，部门评价得分99.77分，评价等级为“A”。</w:t>
      </w:r>
    </w:p>
    <w:p w14:paraId="02C60493">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kern w:val="2"/>
          <w:sz w:val="32"/>
          <w:szCs w:val="32"/>
          <w:highlight w:val="none"/>
          <w:lang w:val="en-US" w:eastAsia="zh-CN" w:bidi="ar-SA"/>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kern w:val="2"/>
          <w:sz w:val="32"/>
          <w:szCs w:val="32"/>
          <w:highlight w:val="none"/>
          <w:lang w:val="en-US" w:eastAsia="zh-CN" w:bidi="ar-SA"/>
        </w:rPr>
        <w:t>加大绩效评价结果与预算安排的挂钩力度，将绩效评价结果与完善政策、调整预算安排有机衔接，绩效理念与预算编制、预算执行、预算监督一起有机结合在一起。</w:t>
      </w:r>
    </w:p>
    <w:p w14:paraId="339AEF16">
      <w:pPr>
        <w:pStyle w:val="13"/>
        <w:jc w:val="both"/>
        <w:rPr>
          <w:rFonts w:ascii="Times New Roman" w:hAnsi="Times New Roman" w:cs="Times New Roman"/>
          <w:sz w:val="72"/>
          <w:szCs w:val="72"/>
        </w:rPr>
      </w:pPr>
    </w:p>
    <w:p w14:paraId="3002A3D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1B0A8D0">
      <w:pPr>
        <w:widowControl/>
        <w:jc w:val="left"/>
        <w:rPr>
          <w:rFonts w:ascii="Times New Roman" w:hAnsi="Times New Roman" w:cs="Times New Roman"/>
          <w:color w:val="000000"/>
          <w:kern w:val="0"/>
          <w:sz w:val="32"/>
          <w:szCs w:val="32"/>
        </w:rPr>
      </w:pPr>
    </w:p>
    <w:p w14:paraId="1463E37D">
      <w:pPr>
        <w:wordWrap w:val="0"/>
        <w:spacing w:line="560" w:lineRule="atLeast"/>
        <w:ind w:firstLine="480" w:firstLineChars="15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一、机关运行经费：</w:t>
      </w:r>
      <w:r>
        <w:rPr>
          <w:rFonts w:hint="eastAsia" w:ascii="Times New Roman" w:hAnsi="Times New Roman" w:eastAsia="仿宋_GB2312" w:cs="黑体"/>
          <w:color w:val="000000"/>
          <w:kern w:val="0"/>
          <w:sz w:val="32"/>
          <w:szCs w:val="32"/>
          <w:lang w:val="en-US" w:eastAsia="zh-CN" w:bidi="ar-SA"/>
        </w:rPr>
        <w:t>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A942B7E">
      <w:pPr>
        <w:wordWrap w:val="0"/>
        <w:spacing w:line="560" w:lineRule="atLeast"/>
        <w:ind w:firstLine="480" w:firstLineChars="15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b/>
          <w:bCs/>
          <w:color w:val="000000"/>
          <w:kern w:val="0"/>
          <w:sz w:val="32"/>
          <w:szCs w:val="32"/>
          <w:lang w:val="en-US" w:eastAsia="zh-CN" w:bidi="ar-SA"/>
        </w:rPr>
        <w:t>二、“三公”经费：</w:t>
      </w:r>
      <w:r>
        <w:rPr>
          <w:rFonts w:hint="eastAsia" w:ascii="Times New Roman" w:hAnsi="Times New Roman" w:eastAsia="仿宋_GB2312" w:cs="黑体"/>
          <w:color w:val="000000"/>
          <w:kern w:val="0"/>
          <w:sz w:val="32"/>
          <w:szCs w:val="32"/>
          <w:lang w:val="en-US" w:eastAsia="zh-CN" w:bidi="ar-SA"/>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193D56E">
      <w:pPr>
        <w:pStyle w:val="13"/>
        <w:jc w:val="center"/>
        <w:rPr>
          <w:rFonts w:ascii="Times New Roman" w:hAnsi="Times New Roman" w:cs="Times New Roman"/>
          <w:sz w:val="72"/>
          <w:szCs w:val="72"/>
        </w:rPr>
      </w:pPr>
    </w:p>
    <w:p w14:paraId="6C9F77C5">
      <w:pPr>
        <w:pStyle w:val="13"/>
        <w:jc w:val="center"/>
        <w:rPr>
          <w:rFonts w:ascii="Times New Roman" w:hAnsi="Times New Roman" w:cs="Times New Roman"/>
          <w:sz w:val="72"/>
          <w:szCs w:val="72"/>
        </w:rPr>
      </w:pPr>
    </w:p>
    <w:p w14:paraId="192C1B23">
      <w:pPr>
        <w:pStyle w:val="13"/>
        <w:jc w:val="center"/>
        <w:rPr>
          <w:rFonts w:ascii="Times New Roman" w:hAnsi="Times New Roman" w:cs="Times New Roman"/>
          <w:sz w:val="72"/>
          <w:szCs w:val="72"/>
        </w:rPr>
      </w:pPr>
    </w:p>
    <w:p w14:paraId="44F87A53">
      <w:pPr>
        <w:pStyle w:val="13"/>
        <w:jc w:val="center"/>
        <w:rPr>
          <w:rFonts w:ascii="Times New Roman" w:hAnsi="Times New Roman" w:cs="Times New Roman"/>
          <w:sz w:val="72"/>
          <w:szCs w:val="72"/>
        </w:rPr>
      </w:pPr>
    </w:p>
    <w:p w14:paraId="3F01938B">
      <w:pPr>
        <w:pStyle w:val="13"/>
        <w:jc w:val="center"/>
        <w:rPr>
          <w:rFonts w:ascii="Times New Roman" w:hAnsi="Times New Roman" w:cs="Times New Roman"/>
          <w:sz w:val="72"/>
          <w:szCs w:val="72"/>
        </w:rPr>
      </w:pPr>
    </w:p>
    <w:p w14:paraId="0E33BC6B">
      <w:pPr>
        <w:pStyle w:val="13"/>
        <w:jc w:val="center"/>
        <w:rPr>
          <w:rFonts w:ascii="Times New Roman" w:hAnsi="Times New Roman" w:cs="Times New Roman"/>
          <w:sz w:val="72"/>
          <w:szCs w:val="72"/>
        </w:rPr>
      </w:pPr>
    </w:p>
    <w:p w14:paraId="663655F2">
      <w:pPr>
        <w:pStyle w:val="13"/>
        <w:jc w:val="center"/>
        <w:rPr>
          <w:rFonts w:ascii="Times New Roman" w:hAnsi="Times New Roman" w:cs="Times New Roman"/>
          <w:sz w:val="72"/>
          <w:szCs w:val="72"/>
        </w:rPr>
      </w:pPr>
    </w:p>
    <w:p w14:paraId="3D96CDFF">
      <w:pPr>
        <w:pStyle w:val="13"/>
        <w:jc w:val="both"/>
        <w:rPr>
          <w:rFonts w:ascii="Times New Roman" w:hAnsi="Times New Roman" w:cs="Times New Roman"/>
          <w:sz w:val="72"/>
          <w:szCs w:val="72"/>
        </w:rPr>
      </w:pPr>
    </w:p>
    <w:p w14:paraId="382FF9A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D66058E">
      <w:pPr>
        <w:rPr>
          <w:rFonts w:ascii="Times New Roman" w:hAnsi="Times New Roman" w:cs="Times New Roman"/>
          <w:sz w:val="72"/>
          <w:szCs w:val="72"/>
        </w:rPr>
      </w:pPr>
    </w:p>
    <w:p w14:paraId="5CE29B8D">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怀化市国资委</w:t>
      </w:r>
      <w:r>
        <w:rPr>
          <w:rFonts w:ascii="Times New Roman" w:hAnsi="Times New Roman" w:eastAsia="仿宋_GB2312" w:cs="Times New Roman"/>
          <w:sz w:val="32"/>
          <w:szCs w:val="32"/>
        </w:rPr>
        <w:t>整体支出绩效自评报告。</w:t>
      </w:r>
    </w:p>
    <w:p w14:paraId="381BAECE">
      <w:pPr>
        <w:pStyle w:val="13"/>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50F4EE3A">
      <w:pPr>
        <w:pStyle w:val="13"/>
        <w:spacing w:line="600" w:lineRule="exact"/>
        <w:ind w:firstLine="640" w:firstLineChars="200"/>
        <w:rPr>
          <w:rFonts w:ascii="Times New Roman" w:hAnsi="Times New Roman" w:eastAsia="仿宋_GB2312" w:cs="Times New Roman"/>
          <w:sz w:val="32"/>
          <w:szCs w:val="32"/>
        </w:rPr>
      </w:pPr>
    </w:p>
    <w:p w14:paraId="34464ABF">
      <w:pPr>
        <w:pStyle w:val="13"/>
        <w:jc w:val="center"/>
        <w:rPr>
          <w:rFonts w:ascii="Times New Roman" w:hAnsi="Times New Roman" w:cs="Times New Roman"/>
          <w:sz w:val="72"/>
          <w:szCs w:val="72"/>
        </w:rPr>
      </w:pPr>
    </w:p>
    <w:p w14:paraId="69E050FB">
      <w:pPr>
        <w:pStyle w:val="13"/>
        <w:jc w:val="center"/>
        <w:rPr>
          <w:rFonts w:ascii="Times New Roman" w:hAnsi="Times New Roman" w:cs="Times New Roman"/>
          <w:sz w:val="72"/>
          <w:szCs w:val="72"/>
        </w:rPr>
      </w:pPr>
    </w:p>
    <w:p w14:paraId="66F06052">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2EED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187D8">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CEEE7">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D8C72">
    <w:pPr>
      <w:pStyle w:val="6"/>
    </w:pPr>
    <w:r>
      <w:pict>
        <v:shape id="文本框 5"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428CB6A9">
                <w:pPr>
                  <w:pStyle w:val="6"/>
                </w:pPr>
                <w:r>
                  <w:fldChar w:fldCharType="begin"/>
                </w:r>
                <w:r>
                  <w:instrText xml:space="preserve"> PAGE  \* MERGEFORMAT </w:instrText>
                </w:r>
                <w:r>
                  <w:fldChar w:fldCharType="separate"/>
                </w:r>
                <w:r>
                  <w:t>24</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0BB0D3"/>
    <w:multiLevelType w:val="singleLevel"/>
    <w:tmpl w:val="610BB0D3"/>
    <w:lvl w:ilvl="0" w:tentative="0">
      <w:start w:val="1"/>
      <w:numFmt w:val="decimal"/>
      <w:suff w:val="nothing"/>
      <w:lvlText w:val="%1、"/>
      <w:lvlJc w:val="left"/>
    </w:lvl>
  </w:abstractNum>
  <w:abstractNum w:abstractNumId="1">
    <w:nsid w:val="6A39FA2F"/>
    <w:multiLevelType w:val="singleLevel"/>
    <w:tmpl w:val="6A39FA2F"/>
    <w:lvl w:ilvl="0" w:tentative="0">
      <w:start w:val="9"/>
      <w:numFmt w:val="chineseCounting"/>
      <w:suff w:val="nothing"/>
      <w:lvlText w:val="%1、"/>
      <w:lvlJc w:val="left"/>
      <w:rPr>
        <w:rFonts w:hint="eastAsia" w:ascii="黑体" w:hAnsi="黑体" w:eastAsia="黑体" w:cs="黑体"/>
        <w:b w:val="0"/>
        <w:bCs w:val="0"/>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336B2"/>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0254"/>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A0EA4"/>
    <w:rsid w:val="007C4539"/>
    <w:rsid w:val="007F3657"/>
    <w:rsid w:val="00810F0C"/>
    <w:rsid w:val="00811AA2"/>
    <w:rsid w:val="00812ED5"/>
    <w:rsid w:val="008277D9"/>
    <w:rsid w:val="0084478C"/>
    <w:rsid w:val="0086638C"/>
    <w:rsid w:val="008764FA"/>
    <w:rsid w:val="008A1079"/>
    <w:rsid w:val="008A3E8D"/>
    <w:rsid w:val="008A5055"/>
    <w:rsid w:val="008D17F4"/>
    <w:rsid w:val="008F455C"/>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6115CE"/>
    <w:rsid w:val="06053772"/>
    <w:rsid w:val="07AB0349"/>
    <w:rsid w:val="0858227F"/>
    <w:rsid w:val="09D43B87"/>
    <w:rsid w:val="0B8E5FB8"/>
    <w:rsid w:val="0C166033"/>
    <w:rsid w:val="0D143198"/>
    <w:rsid w:val="0D440477"/>
    <w:rsid w:val="0D7B7EC8"/>
    <w:rsid w:val="0EA97D69"/>
    <w:rsid w:val="0F270324"/>
    <w:rsid w:val="102A2753"/>
    <w:rsid w:val="13216407"/>
    <w:rsid w:val="13C51B7F"/>
    <w:rsid w:val="173B5246"/>
    <w:rsid w:val="179D2303"/>
    <w:rsid w:val="181B72DB"/>
    <w:rsid w:val="18C9062F"/>
    <w:rsid w:val="18E611E1"/>
    <w:rsid w:val="18FD2C54"/>
    <w:rsid w:val="1A3B730B"/>
    <w:rsid w:val="1B7535D7"/>
    <w:rsid w:val="1CAE64BA"/>
    <w:rsid w:val="1CC70872"/>
    <w:rsid w:val="1D97DEFF"/>
    <w:rsid w:val="1DFF72E5"/>
    <w:rsid w:val="1E593087"/>
    <w:rsid w:val="1EF6407A"/>
    <w:rsid w:val="1EFC6F07"/>
    <w:rsid w:val="1FD342AB"/>
    <w:rsid w:val="21472218"/>
    <w:rsid w:val="232C0139"/>
    <w:rsid w:val="23AE4FF1"/>
    <w:rsid w:val="24A94D22"/>
    <w:rsid w:val="262B2929"/>
    <w:rsid w:val="28702CA5"/>
    <w:rsid w:val="288B5901"/>
    <w:rsid w:val="29567CBD"/>
    <w:rsid w:val="29830817"/>
    <w:rsid w:val="2A4B359A"/>
    <w:rsid w:val="2B9B22FF"/>
    <w:rsid w:val="2C0B2FE1"/>
    <w:rsid w:val="2D314CC9"/>
    <w:rsid w:val="2D6D6727"/>
    <w:rsid w:val="2F0029BF"/>
    <w:rsid w:val="2F61560E"/>
    <w:rsid w:val="2FDF85B8"/>
    <w:rsid w:val="2FFFEE04"/>
    <w:rsid w:val="314825E1"/>
    <w:rsid w:val="31B148E3"/>
    <w:rsid w:val="32313075"/>
    <w:rsid w:val="327B0795"/>
    <w:rsid w:val="329C3342"/>
    <w:rsid w:val="333A23FE"/>
    <w:rsid w:val="34C359EA"/>
    <w:rsid w:val="34DF85B0"/>
    <w:rsid w:val="35470E02"/>
    <w:rsid w:val="35FE5964"/>
    <w:rsid w:val="36082DF5"/>
    <w:rsid w:val="369C4244"/>
    <w:rsid w:val="37A674B5"/>
    <w:rsid w:val="382C6CFC"/>
    <w:rsid w:val="38335257"/>
    <w:rsid w:val="38CC3AF8"/>
    <w:rsid w:val="39861EF9"/>
    <w:rsid w:val="39882115"/>
    <w:rsid w:val="39E7589A"/>
    <w:rsid w:val="39F96B6F"/>
    <w:rsid w:val="3B8F36BC"/>
    <w:rsid w:val="3DEB2C72"/>
    <w:rsid w:val="3E0F5D1F"/>
    <w:rsid w:val="3E747902"/>
    <w:rsid w:val="3FB86B84"/>
    <w:rsid w:val="448F11E7"/>
    <w:rsid w:val="44B630C4"/>
    <w:rsid w:val="452B1BA6"/>
    <w:rsid w:val="45AA34D6"/>
    <w:rsid w:val="472515CD"/>
    <w:rsid w:val="47356D0C"/>
    <w:rsid w:val="476F4F18"/>
    <w:rsid w:val="47965E1A"/>
    <w:rsid w:val="47B7128B"/>
    <w:rsid w:val="47CA56A6"/>
    <w:rsid w:val="491FF225"/>
    <w:rsid w:val="49A8482B"/>
    <w:rsid w:val="4CE14504"/>
    <w:rsid w:val="4DE44FE8"/>
    <w:rsid w:val="4E3E37DD"/>
    <w:rsid w:val="4F323A98"/>
    <w:rsid w:val="4F590C61"/>
    <w:rsid w:val="4FB40EE8"/>
    <w:rsid w:val="4FFD214C"/>
    <w:rsid w:val="51DD06CC"/>
    <w:rsid w:val="522462FB"/>
    <w:rsid w:val="5257047F"/>
    <w:rsid w:val="53B11E10"/>
    <w:rsid w:val="56E30533"/>
    <w:rsid w:val="576E6D8C"/>
    <w:rsid w:val="5777D4F5"/>
    <w:rsid w:val="57987AD2"/>
    <w:rsid w:val="57B976AF"/>
    <w:rsid w:val="58156E12"/>
    <w:rsid w:val="58ED52CF"/>
    <w:rsid w:val="593A2F54"/>
    <w:rsid w:val="59C77731"/>
    <w:rsid w:val="59D86349"/>
    <w:rsid w:val="59D93E6F"/>
    <w:rsid w:val="59DD8326"/>
    <w:rsid w:val="5A1D1FAE"/>
    <w:rsid w:val="5A4968FF"/>
    <w:rsid w:val="5B7025B1"/>
    <w:rsid w:val="5BB029AE"/>
    <w:rsid w:val="5C647056"/>
    <w:rsid w:val="5C7878F3"/>
    <w:rsid w:val="5CB9337A"/>
    <w:rsid w:val="5CDF0C14"/>
    <w:rsid w:val="5D2F5FB9"/>
    <w:rsid w:val="5DEF592A"/>
    <w:rsid w:val="5E1A147B"/>
    <w:rsid w:val="5ED36A09"/>
    <w:rsid w:val="5F07392B"/>
    <w:rsid w:val="5FC6BB1E"/>
    <w:rsid w:val="5FF720F1"/>
    <w:rsid w:val="60B151FE"/>
    <w:rsid w:val="614766D3"/>
    <w:rsid w:val="615C2068"/>
    <w:rsid w:val="6177262F"/>
    <w:rsid w:val="619F7C50"/>
    <w:rsid w:val="632C3261"/>
    <w:rsid w:val="63312626"/>
    <w:rsid w:val="63F10B51"/>
    <w:rsid w:val="6565067D"/>
    <w:rsid w:val="663F6AA0"/>
    <w:rsid w:val="6749260A"/>
    <w:rsid w:val="675F206C"/>
    <w:rsid w:val="67D77C40"/>
    <w:rsid w:val="67F325A0"/>
    <w:rsid w:val="67FF5C0B"/>
    <w:rsid w:val="6805760C"/>
    <w:rsid w:val="6809591F"/>
    <w:rsid w:val="692B4C69"/>
    <w:rsid w:val="6B495B56"/>
    <w:rsid w:val="6C362E67"/>
    <w:rsid w:val="6CDE737B"/>
    <w:rsid w:val="6E3D6DD9"/>
    <w:rsid w:val="6E6E2980"/>
    <w:rsid w:val="6EFC0924"/>
    <w:rsid w:val="6F865AA7"/>
    <w:rsid w:val="6FB74722"/>
    <w:rsid w:val="6FE253D4"/>
    <w:rsid w:val="6FE86762"/>
    <w:rsid w:val="6FEF8B7E"/>
    <w:rsid w:val="712B4D39"/>
    <w:rsid w:val="719941B8"/>
    <w:rsid w:val="71A6591B"/>
    <w:rsid w:val="735C549D"/>
    <w:rsid w:val="7375655F"/>
    <w:rsid w:val="737D59BA"/>
    <w:rsid w:val="75A629FF"/>
    <w:rsid w:val="75A92D2E"/>
    <w:rsid w:val="760616F0"/>
    <w:rsid w:val="77770F8B"/>
    <w:rsid w:val="77C37683"/>
    <w:rsid w:val="78EA70A7"/>
    <w:rsid w:val="79D19834"/>
    <w:rsid w:val="79FF515B"/>
    <w:rsid w:val="7B444097"/>
    <w:rsid w:val="7BF150FF"/>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79FC89E"/>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eastAsia="宋体" w:cs="Times New Roman"/>
      <w:sz w:val="24"/>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3893</Words>
  <Characters>5012</Characters>
  <Lines>69</Lines>
  <Paragraphs>19</Paragraphs>
  <TotalTime>7</TotalTime>
  <ScaleCrop>false</ScaleCrop>
  <LinksUpToDate>false</LinksUpToDate>
  <CharactersWithSpaces>6097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2025-09-22T10:04:00Z</dcterms:created>
  <dc:creator>李航 null</dc:creator>
  <cp:lastModifiedBy>A梦</cp:lastModifiedBy>
  <cp:lastPrinted>2024-08-09T02:20:00Z</cp:lastPrinted>
  <dcterms:modified xsi:type="dcterms:W3CDTF">2026-10-10T10:48:42Z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BB7B6AA21D207914D6FDA268992A22D6</vt:lpwstr>
  </property>
  <property fmtid="{D5CDD505-2E9C-101B-9397-08002B2CF9AE}" pid="4" name="KSOTemplateDocerSaveRecord">
    <vt:lpwstr>eyJoZGlkIjoiMzk2MjNhN2I3ZTUyYzdlMWU5OTBjNTAxYTM0MDc0MDIiLCJ1c2VySWQiOiI1MDAyMzI0NjAifQ==</vt:lpwstr>
  </property>
</Properties>
</file>