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85F60">
      <w:pPr>
        <w:pStyle w:val="14"/>
        <w:jc w:val="both"/>
        <w:rPr>
          <w:rFonts w:hint="eastAsia" w:hAnsi="黑体" w:eastAsia="黑体"/>
          <w:color w:val="000000" w:themeColor="text1"/>
          <w:sz w:val="36"/>
          <w:szCs w:val="36"/>
          <w:lang w:eastAsia="zh-CN"/>
          <w14:textFill>
            <w14:solidFill>
              <w14:schemeClr w14:val="tx1"/>
            </w14:solidFill>
          </w14:textFill>
        </w:rPr>
      </w:pPr>
      <w:r>
        <w:rPr>
          <w:rFonts w:hint="eastAsia" w:hAnsi="黑体"/>
          <w:color w:val="000000" w:themeColor="text1"/>
          <w:sz w:val="36"/>
          <w:szCs w:val="36"/>
          <w14:textFill>
            <w14:solidFill>
              <w14:schemeClr w14:val="tx1"/>
            </w14:solidFill>
          </w14:textFill>
        </w:rPr>
        <w:t>附件</w:t>
      </w:r>
      <w:r>
        <w:rPr>
          <w:rFonts w:hint="eastAsia" w:hAnsi="黑体"/>
          <w:color w:val="000000" w:themeColor="text1"/>
          <w:sz w:val="36"/>
          <w:szCs w:val="36"/>
          <w:lang w:val="en-US" w:eastAsia="zh-CN"/>
          <w14:textFill>
            <w14:solidFill>
              <w14:schemeClr w14:val="tx1"/>
            </w14:solidFill>
          </w14:textFill>
        </w:rPr>
        <w:t>2</w:t>
      </w:r>
    </w:p>
    <w:p w14:paraId="353C7E29">
      <w:pPr>
        <w:pStyle w:val="14"/>
        <w:jc w:val="center"/>
        <w:rPr>
          <w:rFonts w:ascii="Times New Roman" w:hAnsi="Times New Roman" w:cs="Times New Roman"/>
          <w:color w:val="000000" w:themeColor="text1"/>
          <w:sz w:val="56"/>
          <w:szCs w:val="56"/>
          <w14:textFill>
            <w14:solidFill>
              <w14:schemeClr w14:val="tx1"/>
            </w14:solidFill>
          </w14:textFill>
        </w:rPr>
      </w:pPr>
    </w:p>
    <w:p w14:paraId="54178D65">
      <w:pPr>
        <w:pStyle w:val="14"/>
        <w:jc w:val="center"/>
        <w:rPr>
          <w:rFonts w:ascii="Times New Roman" w:hAnsi="Times New Roman" w:cs="Times New Roman"/>
          <w:color w:val="000000" w:themeColor="text1"/>
          <w:sz w:val="84"/>
          <w:szCs w:val="84"/>
          <w14:textFill>
            <w14:solidFill>
              <w14:schemeClr w14:val="tx1"/>
            </w14:solidFill>
          </w14:textFill>
        </w:rPr>
      </w:pPr>
    </w:p>
    <w:p w14:paraId="022242AE">
      <w:pPr>
        <w:pStyle w:val="14"/>
        <w:jc w:val="center"/>
        <w:rPr>
          <w:rFonts w:ascii="Times New Roman" w:hAnsi="Times New Roman" w:cs="Times New Roman"/>
          <w:color w:val="000000" w:themeColor="text1"/>
          <w:sz w:val="84"/>
          <w:szCs w:val="84"/>
          <w14:textFill>
            <w14:solidFill>
              <w14:schemeClr w14:val="tx1"/>
            </w14:solidFill>
          </w14:textFill>
        </w:rPr>
      </w:pPr>
    </w:p>
    <w:p w14:paraId="69C90671">
      <w:pPr>
        <w:pStyle w:val="14"/>
        <w:jc w:val="center"/>
        <w:rPr>
          <w:rFonts w:ascii="Times New Roman" w:hAnsi="Times New Roman" w:eastAsia="方正小标宋简体" w:cs="Times New Roman"/>
          <w:color w:val="000000" w:themeColor="text1"/>
          <w:sz w:val="72"/>
          <w:szCs w:val="72"/>
          <w14:textFill>
            <w14:solidFill>
              <w14:schemeClr w14:val="tx1"/>
            </w14:solidFill>
          </w14:textFill>
        </w:rPr>
      </w:pPr>
      <w:r>
        <w:rPr>
          <w:rFonts w:ascii="Times New Roman" w:hAnsi="Times New Roman" w:eastAsia="方正小标宋简体" w:cs="Times New Roman"/>
          <w:color w:val="000000" w:themeColor="text1"/>
          <w:sz w:val="72"/>
          <w:szCs w:val="72"/>
          <w14:textFill>
            <w14:solidFill>
              <w14:schemeClr w14:val="tx1"/>
            </w14:solidFill>
          </w14:textFill>
        </w:rPr>
        <w:t>202</w:t>
      </w:r>
      <w:r>
        <w:rPr>
          <w:rFonts w:hint="eastAsia" w:ascii="Times New Roman" w:hAnsi="Times New Roman" w:eastAsia="方正小标宋简体" w:cs="Times New Roman"/>
          <w:color w:val="000000" w:themeColor="text1"/>
          <w:sz w:val="72"/>
          <w:szCs w:val="72"/>
          <w:lang w:val="en-US" w:eastAsia="zh-CN"/>
          <w14:textFill>
            <w14:solidFill>
              <w14:schemeClr w14:val="tx1"/>
            </w14:solidFill>
          </w14:textFill>
        </w:rPr>
        <w:t>5</w:t>
      </w:r>
      <w:r>
        <w:rPr>
          <w:rFonts w:ascii="Times New Roman" w:hAnsi="Times New Roman" w:eastAsia="方正小标宋简体" w:cs="Times New Roman"/>
          <w:color w:val="000000" w:themeColor="text1"/>
          <w:sz w:val="72"/>
          <w:szCs w:val="72"/>
          <w14:textFill>
            <w14:solidFill>
              <w14:schemeClr w14:val="tx1"/>
            </w14:solidFill>
          </w14:textFill>
        </w:rPr>
        <w:t>年度</w:t>
      </w:r>
    </w:p>
    <w:p w14:paraId="2737F6F2">
      <w:pPr>
        <w:pStyle w:val="14"/>
        <w:jc w:val="center"/>
        <w:rPr>
          <w:rFonts w:hint="default" w:ascii="Times New Roman" w:hAnsi="Times New Roman" w:eastAsia="方正小标宋简体" w:cs="Times New Roman"/>
          <w:color w:val="000000" w:themeColor="text1"/>
          <w:sz w:val="72"/>
          <w:szCs w:val="72"/>
          <w14:textFill>
            <w14:solidFill>
              <w14:schemeClr w14:val="tx1"/>
            </w14:solidFill>
          </w14:textFill>
        </w:rPr>
      </w:pPr>
      <w:r>
        <w:rPr>
          <w:rFonts w:hint="default" w:ascii="Times New Roman" w:hAnsi="Times New Roman" w:eastAsia="方正小标宋简体" w:cs="Times New Roman"/>
          <w:color w:val="000000" w:themeColor="text1"/>
          <w:sz w:val="72"/>
          <w:szCs w:val="72"/>
          <w14:textFill>
            <w14:solidFill>
              <w14:schemeClr w14:val="tx1"/>
            </w14:solidFill>
          </w14:textFill>
        </w:rPr>
        <w:t>怀化市无线电监测站</w:t>
      </w:r>
    </w:p>
    <w:p w14:paraId="3B45F0A3">
      <w:pPr>
        <w:pStyle w:val="14"/>
        <w:jc w:val="center"/>
        <w:rPr>
          <w:rFonts w:ascii="Times New Roman" w:hAnsi="Times New Roman" w:eastAsia="方正小标宋简体" w:cs="Times New Roman"/>
          <w:color w:val="000000" w:themeColor="text1"/>
          <w:sz w:val="72"/>
          <w:szCs w:val="72"/>
          <w14:textFill>
            <w14:solidFill>
              <w14:schemeClr w14:val="tx1"/>
            </w14:solidFill>
          </w14:textFill>
        </w:rPr>
      </w:pPr>
      <w:r>
        <w:rPr>
          <w:rFonts w:ascii="Times New Roman" w:hAnsi="Times New Roman" w:eastAsia="方正小标宋简体" w:cs="Times New Roman"/>
          <w:color w:val="000000" w:themeColor="text1"/>
          <w:sz w:val="72"/>
          <w:szCs w:val="72"/>
          <w14:textFill>
            <w14:solidFill>
              <w14:schemeClr w14:val="tx1"/>
            </w14:solidFill>
          </w14:textFill>
        </w:rPr>
        <w:t>部门决算</w:t>
      </w:r>
    </w:p>
    <w:p w14:paraId="5561B82A">
      <w:pPr>
        <w:pStyle w:val="14"/>
        <w:jc w:val="center"/>
        <w:rPr>
          <w:rFonts w:ascii="Times New Roman" w:hAnsi="Times New Roman" w:eastAsia="方正小标宋_GBK" w:cs="Times New Roman"/>
          <w:color w:val="000000" w:themeColor="text1"/>
          <w:sz w:val="56"/>
          <w:szCs w:val="56"/>
          <w14:textFill>
            <w14:solidFill>
              <w14:schemeClr w14:val="tx1"/>
            </w14:solidFill>
          </w14:textFill>
        </w:rPr>
      </w:pPr>
    </w:p>
    <w:p w14:paraId="47A0659B">
      <w:pPr>
        <w:pStyle w:val="14"/>
        <w:jc w:val="center"/>
        <w:rPr>
          <w:rFonts w:ascii="Times New Roman" w:hAnsi="Times New Roman" w:cs="Times New Roman"/>
          <w:color w:val="000000" w:themeColor="text1"/>
          <w:sz w:val="56"/>
          <w:szCs w:val="56"/>
          <w14:textFill>
            <w14:solidFill>
              <w14:schemeClr w14:val="tx1"/>
            </w14:solidFill>
          </w14:textFill>
        </w:rPr>
      </w:pPr>
    </w:p>
    <w:p w14:paraId="3D280B3F">
      <w:pPr>
        <w:pStyle w:val="14"/>
        <w:rPr>
          <w:rFonts w:ascii="Times New Roman" w:hAnsi="Times New Roman" w:cs="Times New Roman"/>
          <w:color w:val="000000" w:themeColor="text1"/>
          <w:sz w:val="56"/>
          <w:szCs w:val="56"/>
          <w14:textFill>
            <w14:solidFill>
              <w14:schemeClr w14:val="tx1"/>
            </w14:solidFill>
          </w14:textFill>
        </w:rPr>
      </w:pPr>
    </w:p>
    <w:p w14:paraId="1F06D336">
      <w:pPr>
        <w:pStyle w:val="14"/>
        <w:jc w:val="center"/>
        <w:rPr>
          <w:rFonts w:ascii="Times New Roman" w:hAnsi="Times New Roman" w:cs="Times New Roman"/>
          <w:color w:val="000000" w:themeColor="text1"/>
          <w:sz w:val="32"/>
          <w:szCs w:val="32"/>
          <w14:textFill>
            <w14:solidFill>
              <w14:schemeClr w14:val="tx1"/>
            </w14:solidFill>
          </w14:textFill>
        </w:rPr>
      </w:pPr>
    </w:p>
    <w:p w14:paraId="07908489">
      <w:pPr>
        <w:pStyle w:val="14"/>
        <w:jc w:val="center"/>
        <w:rPr>
          <w:rFonts w:ascii="Times New Roman" w:hAnsi="Times New Roman" w:cs="Times New Roman"/>
          <w:color w:val="000000" w:themeColor="text1"/>
          <w:sz w:val="32"/>
          <w:szCs w:val="32"/>
          <w14:textFill>
            <w14:solidFill>
              <w14:schemeClr w14:val="tx1"/>
            </w14:solidFill>
          </w14:textFill>
        </w:rPr>
      </w:pPr>
    </w:p>
    <w:p w14:paraId="553A018A">
      <w:pPr>
        <w:pStyle w:val="14"/>
        <w:jc w:val="center"/>
        <w:rPr>
          <w:rFonts w:ascii="Times New Roman" w:hAnsi="Times New Roman" w:cs="Times New Roman"/>
          <w:color w:val="000000" w:themeColor="text1"/>
          <w:sz w:val="32"/>
          <w:szCs w:val="32"/>
          <w14:textFill>
            <w14:solidFill>
              <w14:schemeClr w14:val="tx1"/>
            </w14:solidFill>
          </w14:textFill>
        </w:rPr>
      </w:pPr>
    </w:p>
    <w:p w14:paraId="4BA4DE57">
      <w:pPr>
        <w:pStyle w:val="14"/>
        <w:jc w:val="center"/>
        <w:rPr>
          <w:rFonts w:ascii="Times New Roman" w:hAnsi="Times New Roman" w:cs="Times New Roman"/>
          <w:color w:val="000000" w:themeColor="text1"/>
          <w:sz w:val="32"/>
          <w:szCs w:val="32"/>
          <w14:textFill>
            <w14:solidFill>
              <w14:schemeClr w14:val="tx1"/>
            </w14:solidFill>
          </w14:textFill>
        </w:rPr>
      </w:pPr>
    </w:p>
    <w:p w14:paraId="32C41309">
      <w:pPr>
        <w:pStyle w:val="14"/>
        <w:spacing w:line="600" w:lineRule="exact"/>
        <w:jc w:val="both"/>
        <w:rPr>
          <w:rFonts w:ascii="Times New Roman" w:hAnsi="Times New Roman" w:cs="Times New Roman"/>
          <w:b/>
          <w:color w:val="000000" w:themeColor="text1"/>
          <w:sz w:val="36"/>
          <w:szCs w:val="28"/>
          <w14:textFill>
            <w14:solidFill>
              <w14:schemeClr w14:val="tx1"/>
            </w14:solidFill>
          </w14:textFill>
        </w:rPr>
        <w:sectPr>
          <w:pgSz w:w="11906" w:h="16838"/>
          <w:pgMar w:top="1417" w:right="1588" w:bottom="1417" w:left="1588" w:header="851" w:footer="992" w:gutter="0"/>
          <w:pgNumType w:fmt="numberInDash" w:start="1"/>
          <w:cols w:space="425" w:num="1"/>
          <w:docGrid w:type="lines" w:linePitch="312" w:charSpace="0"/>
        </w:sectPr>
      </w:pPr>
    </w:p>
    <w:p w14:paraId="7BE0A879">
      <w:pPr>
        <w:pStyle w:val="14"/>
        <w:spacing w:line="600" w:lineRule="exact"/>
        <w:jc w:val="cente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t>目  录</w:t>
      </w:r>
    </w:p>
    <w:p w14:paraId="57004F3E">
      <w:pPr>
        <w:pStyle w:val="14"/>
        <w:spacing w:line="600" w:lineRule="exact"/>
        <w:jc w:val="center"/>
        <w:rPr>
          <w:rFonts w:ascii="Times New Roman" w:hAnsi="Times New Roman" w:cs="Times New Roman"/>
          <w:b/>
          <w:color w:val="000000" w:themeColor="text1"/>
          <w:sz w:val="36"/>
          <w:szCs w:val="28"/>
          <w14:textFill>
            <w14:solidFill>
              <w14:schemeClr w14:val="tx1"/>
            </w14:solidFill>
          </w14:textFill>
        </w:rPr>
      </w:pPr>
    </w:p>
    <w:p w14:paraId="170FC614">
      <w:pPr>
        <w:pStyle w:val="14"/>
        <w:spacing w:after="156" w:afterLines="50" w:line="600" w:lineRule="exact"/>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 xml:space="preserve">第一部分 </w:t>
      </w:r>
      <w:r>
        <w:rPr>
          <w:rFonts w:hint="default" w:ascii="Times New Roman" w:hAnsi="Times New Roman" w:cs="Times New Roman"/>
          <w:bCs/>
          <w:color w:val="000000" w:themeColor="text1"/>
          <w:sz w:val="32"/>
          <w:szCs w:val="32"/>
          <w14:textFill>
            <w14:solidFill>
              <w14:schemeClr w14:val="tx1"/>
            </w14:solidFill>
          </w14:textFill>
        </w:rPr>
        <w:t>怀化市无线电监测站</w:t>
      </w:r>
      <w:r>
        <w:rPr>
          <w:rFonts w:ascii="Times New Roman" w:hAnsi="Times New Roman" w:cs="Times New Roman"/>
          <w:bCs/>
          <w:color w:val="000000" w:themeColor="text1"/>
          <w:sz w:val="32"/>
          <w:szCs w:val="32"/>
          <w14:textFill>
            <w14:solidFill>
              <w14:schemeClr w14:val="tx1"/>
            </w14:solidFill>
          </w14:textFill>
        </w:rPr>
        <w:t>概况</w:t>
      </w:r>
    </w:p>
    <w:p w14:paraId="453E6CFC">
      <w:pPr>
        <w:pStyle w:val="14"/>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一、部门职责</w:t>
      </w:r>
    </w:p>
    <w:p w14:paraId="4A4DC64A">
      <w:pPr>
        <w:pStyle w:val="14"/>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二、机构设置及决算单位构成</w:t>
      </w:r>
    </w:p>
    <w:p w14:paraId="1CC73A95">
      <w:pPr>
        <w:pStyle w:val="14"/>
        <w:spacing w:before="156" w:beforeLines="50" w:after="156" w:afterLines="50" w:line="600" w:lineRule="exact"/>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第二部分 部门决算表</w:t>
      </w:r>
    </w:p>
    <w:p w14:paraId="5060A28B">
      <w:pPr>
        <w:pStyle w:val="14"/>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一、收入支出决算总表</w:t>
      </w:r>
    </w:p>
    <w:p w14:paraId="376950CB">
      <w:pPr>
        <w:pStyle w:val="14"/>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二、收入决算表</w:t>
      </w:r>
    </w:p>
    <w:p w14:paraId="68FF1827">
      <w:pPr>
        <w:pStyle w:val="14"/>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三、支出决算表</w:t>
      </w:r>
    </w:p>
    <w:p w14:paraId="2343F74F">
      <w:pPr>
        <w:pStyle w:val="14"/>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四、财政拨款收入支出决算总表</w:t>
      </w:r>
    </w:p>
    <w:p w14:paraId="398FD52A">
      <w:pPr>
        <w:pStyle w:val="14"/>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五、一般公共预算财政拨款支出决算表</w:t>
      </w:r>
    </w:p>
    <w:p w14:paraId="5B31FEA7">
      <w:pPr>
        <w:pStyle w:val="14"/>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六、一般公共预算财政拨款基本支出决算明细表</w:t>
      </w:r>
    </w:p>
    <w:p w14:paraId="372806BB">
      <w:pPr>
        <w:pStyle w:val="14"/>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七、政府性基金预算财政拨款收入支出决算表</w:t>
      </w:r>
    </w:p>
    <w:p w14:paraId="44F8BDBA">
      <w:pPr>
        <w:pStyle w:val="14"/>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八、国有资本经营预算财政拨款支出决算表</w:t>
      </w:r>
    </w:p>
    <w:p w14:paraId="3753B138">
      <w:pPr>
        <w:pStyle w:val="14"/>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九、财政拨款“三公”经费支出决算表</w:t>
      </w:r>
    </w:p>
    <w:p w14:paraId="2E36767E">
      <w:pPr>
        <w:pStyle w:val="14"/>
        <w:spacing w:before="156" w:beforeLines="50" w:after="156" w:afterLines="50" w:line="600" w:lineRule="exact"/>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第三部分 部门决算情况说明</w:t>
      </w:r>
    </w:p>
    <w:p w14:paraId="3F4D7D77">
      <w:pPr>
        <w:pStyle w:val="14"/>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一、收入支出决算总体情况说明</w:t>
      </w:r>
    </w:p>
    <w:p w14:paraId="1BC91A26">
      <w:pPr>
        <w:spacing w:line="600" w:lineRule="exact"/>
        <w:jc w:val="lef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二、收入决算情况说明</w:t>
      </w:r>
    </w:p>
    <w:p w14:paraId="26BCC070">
      <w:pPr>
        <w:autoSpaceDE w:val="0"/>
        <w:autoSpaceDN w:val="0"/>
        <w:adjustRightInd w:val="0"/>
        <w:spacing w:line="600" w:lineRule="exact"/>
        <w:jc w:val="left"/>
        <w:rPr>
          <w:rFonts w:ascii="Times New Roman" w:hAnsi="Times New Roman" w:eastAsia="仿宋_GB2312" w:cs="Times New Roman"/>
          <w:color w:val="000000" w:themeColor="text1"/>
          <w:kern w:val="0"/>
          <w:sz w:val="32"/>
          <w:szCs w:val="32"/>
          <w14:textFill>
            <w14:solidFill>
              <w14:schemeClr w14:val="tx1"/>
            </w14:solidFill>
          </w14:textFill>
        </w:rPr>
      </w:pPr>
      <w:r>
        <w:rPr>
          <w:rFonts w:ascii="Times New Roman" w:hAnsi="Times New Roman" w:eastAsia="仿宋_GB2312" w:cs="Times New Roman"/>
          <w:color w:val="000000" w:themeColor="text1"/>
          <w:kern w:val="0"/>
          <w:sz w:val="32"/>
          <w:szCs w:val="32"/>
          <w14:textFill>
            <w14:solidFill>
              <w14:schemeClr w14:val="tx1"/>
            </w14:solidFill>
          </w14:textFill>
        </w:rPr>
        <w:t>三、支出决算情况说明</w:t>
      </w:r>
    </w:p>
    <w:p w14:paraId="71545964">
      <w:pPr>
        <w:autoSpaceDE w:val="0"/>
        <w:autoSpaceDN w:val="0"/>
        <w:adjustRightInd w:val="0"/>
        <w:spacing w:line="600" w:lineRule="exact"/>
        <w:jc w:val="left"/>
        <w:rPr>
          <w:rFonts w:ascii="Times New Roman" w:hAnsi="Times New Roman" w:eastAsia="仿宋_GB2312" w:cs="Times New Roman"/>
          <w:color w:val="000000" w:themeColor="text1"/>
          <w:kern w:val="0"/>
          <w:sz w:val="32"/>
          <w:szCs w:val="32"/>
          <w14:textFill>
            <w14:solidFill>
              <w14:schemeClr w14:val="tx1"/>
            </w14:solidFill>
          </w14:textFill>
        </w:rPr>
      </w:pPr>
      <w:r>
        <w:rPr>
          <w:rFonts w:ascii="Times New Roman" w:hAnsi="Times New Roman" w:eastAsia="仿宋_GB2312" w:cs="Times New Roman"/>
          <w:color w:val="000000" w:themeColor="text1"/>
          <w:kern w:val="0"/>
          <w:sz w:val="32"/>
          <w:szCs w:val="32"/>
          <w14:textFill>
            <w14:solidFill>
              <w14:schemeClr w14:val="tx1"/>
            </w14:solidFill>
          </w14:textFill>
        </w:rPr>
        <w:t>四、财政拨款收入支出决算总体情况说明</w:t>
      </w:r>
    </w:p>
    <w:p w14:paraId="17723C0B">
      <w:pPr>
        <w:autoSpaceDE w:val="0"/>
        <w:autoSpaceDN w:val="0"/>
        <w:adjustRightInd w:val="0"/>
        <w:spacing w:line="600" w:lineRule="exact"/>
        <w:jc w:val="left"/>
        <w:rPr>
          <w:rFonts w:ascii="Times New Roman" w:hAnsi="Times New Roman" w:eastAsia="仿宋_GB2312" w:cs="Times New Roman"/>
          <w:color w:val="000000" w:themeColor="text1"/>
          <w:kern w:val="0"/>
          <w:sz w:val="32"/>
          <w:szCs w:val="32"/>
          <w14:textFill>
            <w14:solidFill>
              <w14:schemeClr w14:val="tx1"/>
            </w14:solidFill>
          </w14:textFill>
        </w:rPr>
      </w:pPr>
      <w:r>
        <w:rPr>
          <w:rFonts w:ascii="Times New Roman" w:hAnsi="Times New Roman" w:eastAsia="仿宋_GB2312" w:cs="Times New Roman"/>
          <w:color w:val="000000" w:themeColor="text1"/>
          <w:kern w:val="0"/>
          <w:sz w:val="32"/>
          <w:szCs w:val="32"/>
          <w14:textFill>
            <w14:solidFill>
              <w14:schemeClr w14:val="tx1"/>
            </w14:solidFill>
          </w14:textFill>
        </w:rPr>
        <w:t>五、一般公共预算财政拨款支出决算情况说明</w:t>
      </w:r>
    </w:p>
    <w:p w14:paraId="3848C4BE">
      <w:pPr>
        <w:autoSpaceDE w:val="0"/>
        <w:autoSpaceDN w:val="0"/>
        <w:adjustRightInd w:val="0"/>
        <w:spacing w:line="600" w:lineRule="exact"/>
        <w:jc w:val="left"/>
        <w:rPr>
          <w:rFonts w:ascii="Times New Roman" w:hAnsi="Times New Roman" w:eastAsia="仿宋_GB2312" w:cs="Times New Roman"/>
          <w:color w:val="000000" w:themeColor="text1"/>
          <w:kern w:val="0"/>
          <w:sz w:val="32"/>
          <w:szCs w:val="32"/>
          <w14:textFill>
            <w14:solidFill>
              <w14:schemeClr w14:val="tx1"/>
            </w14:solidFill>
          </w14:textFill>
        </w:rPr>
        <w:sectPr>
          <w:footerReference r:id="rId3" w:type="default"/>
          <w:pgSz w:w="11906" w:h="16838"/>
          <w:pgMar w:top="1417" w:right="1588" w:bottom="1417" w:left="1588" w:header="851" w:footer="992" w:gutter="0"/>
          <w:pgNumType w:fmt="numberInDash" w:start="1"/>
          <w:cols w:space="425" w:num="1"/>
          <w:docGrid w:type="lines" w:linePitch="312" w:charSpace="0"/>
        </w:sectPr>
      </w:pPr>
    </w:p>
    <w:p w14:paraId="4333A16A">
      <w:pPr>
        <w:autoSpaceDE w:val="0"/>
        <w:autoSpaceDN w:val="0"/>
        <w:adjustRightInd w:val="0"/>
        <w:spacing w:line="600" w:lineRule="exact"/>
        <w:jc w:val="left"/>
        <w:rPr>
          <w:rFonts w:ascii="Times New Roman" w:hAnsi="Times New Roman" w:eastAsia="仿宋_GB2312" w:cs="Times New Roman"/>
          <w:color w:val="000000" w:themeColor="text1"/>
          <w:kern w:val="0"/>
          <w:sz w:val="32"/>
          <w:szCs w:val="32"/>
          <w14:textFill>
            <w14:solidFill>
              <w14:schemeClr w14:val="tx1"/>
            </w14:solidFill>
          </w14:textFill>
        </w:rPr>
      </w:pPr>
      <w:r>
        <w:rPr>
          <w:rFonts w:ascii="Times New Roman" w:hAnsi="Times New Roman" w:eastAsia="仿宋_GB2312" w:cs="Times New Roman"/>
          <w:color w:val="000000" w:themeColor="text1"/>
          <w:kern w:val="0"/>
          <w:sz w:val="32"/>
          <w:szCs w:val="32"/>
          <w14:textFill>
            <w14:solidFill>
              <w14:schemeClr w14:val="tx1"/>
            </w14:solidFill>
          </w14:textFill>
        </w:rPr>
        <w:t>六、一般公共预算财政拨款基本支出决算情况说明</w:t>
      </w:r>
    </w:p>
    <w:p w14:paraId="11C1753B">
      <w:pPr>
        <w:autoSpaceDE w:val="0"/>
        <w:autoSpaceDN w:val="0"/>
        <w:adjustRightInd w:val="0"/>
        <w:spacing w:line="600" w:lineRule="exact"/>
        <w:jc w:val="left"/>
        <w:rPr>
          <w:rFonts w:ascii="Times New Roman" w:hAnsi="Times New Roman" w:eastAsia="仿宋_GB2312" w:cs="Times New Roman"/>
          <w:color w:val="000000" w:themeColor="text1"/>
          <w:kern w:val="0"/>
          <w:sz w:val="32"/>
          <w:szCs w:val="32"/>
          <w14:textFill>
            <w14:solidFill>
              <w14:schemeClr w14:val="tx1"/>
            </w14:solidFill>
          </w14:textFill>
        </w:rPr>
      </w:pPr>
      <w:r>
        <w:rPr>
          <w:rFonts w:ascii="Times New Roman" w:hAnsi="Times New Roman" w:eastAsia="仿宋_GB2312" w:cs="Times New Roman"/>
          <w:color w:val="000000" w:themeColor="text1"/>
          <w:kern w:val="0"/>
          <w:sz w:val="32"/>
          <w:szCs w:val="32"/>
          <w14:textFill>
            <w14:solidFill>
              <w14:schemeClr w14:val="tx1"/>
            </w14:solidFill>
          </w14:textFill>
        </w:rPr>
        <w:t>七、财政拨款“三公”经费支出决算情况说明</w:t>
      </w:r>
    </w:p>
    <w:p w14:paraId="578B0864">
      <w:pPr>
        <w:autoSpaceDE w:val="0"/>
        <w:autoSpaceDN w:val="0"/>
        <w:adjustRightInd w:val="0"/>
        <w:spacing w:line="600" w:lineRule="exact"/>
        <w:jc w:val="left"/>
        <w:rPr>
          <w:rFonts w:ascii="Times New Roman" w:hAnsi="Times New Roman" w:eastAsia="仿宋_GB2312" w:cs="Times New Roman"/>
          <w:color w:val="000000" w:themeColor="text1"/>
          <w:kern w:val="0"/>
          <w:sz w:val="32"/>
          <w:szCs w:val="32"/>
          <w14:textFill>
            <w14:solidFill>
              <w14:schemeClr w14:val="tx1"/>
            </w14:solidFill>
          </w14:textFill>
        </w:rPr>
      </w:pPr>
      <w:r>
        <w:rPr>
          <w:rFonts w:ascii="Times New Roman" w:hAnsi="Times New Roman" w:eastAsia="仿宋_GB2312" w:cs="Times New Roman"/>
          <w:color w:val="000000" w:themeColor="text1"/>
          <w:kern w:val="0"/>
          <w:sz w:val="32"/>
          <w:szCs w:val="32"/>
          <w14:textFill>
            <w14:solidFill>
              <w14:schemeClr w14:val="tx1"/>
            </w14:solidFill>
          </w14:textFill>
        </w:rPr>
        <w:t>八、政府性基金预算收入支出决算情况</w:t>
      </w:r>
    </w:p>
    <w:p w14:paraId="714CF392">
      <w:pPr>
        <w:autoSpaceDE w:val="0"/>
        <w:autoSpaceDN w:val="0"/>
        <w:adjustRightInd w:val="0"/>
        <w:spacing w:line="600" w:lineRule="exact"/>
        <w:jc w:val="left"/>
        <w:rPr>
          <w:rFonts w:ascii="Times New Roman" w:hAnsi="Times New Roman" w:eastAsia="仿宋_GB2312" w:cs="Times New Roman"/>
          <w:color w:val="000000" w:themeColor="text1"/>
          <w:kern w:val="0"/>
          <w:sz w:val="32"/>
          <w:szCs w:val="32"/>
          <w14:textFill>
            <w14:solidFill>
              <w14:schemeClr w14:val="tx1"/>
            </w14:solidFill>
          </w14:textFill>
        </w:rPr>
      </w:pPr>
      <w:r>
        <w:rPr>
          <w:rFonts w:ascii="Times New Roman" w:hAnsi="Times New Roman" w:eastAsia="仿宋_GB2312" w:cs="Times New Roman"/>
          <w:color w:val="000000" w:themeColor="text1"/>
          <w:kern w:val="0"/>
          <w:sz w:val="32"/>
          <w:szCs w:val="32"/>
          <w14:textFill>
            <w14:solidFill>
              <w14:schemeClr w14:val="tx1"/>
            </w14:solidFill>
          </w14:textFill>
        </w:rPr>
        <w:t>九、</w:t>
      </w:r>
      <w:r>
        <w:rPr>
          <w:rFonts w:hint="default" w:ascii="Times New Roman" w:hAnsi="Times New Roman" w:eastAsia="仿宋_GB2312" w:cs="Times New Roman"/>
          <w:color w:val="000000" w:themeColor="text1"/>
          <w:sz w:val="32"/>
          <w:szCs w:val="32"/>
          <w14:textFill>
            <w14:solidFill>
              <w14:schemeClr w14:val="tx1"/>
            </w14:solidFill>
          </w14:textFill>
        </w:rPr>
        <w:t>国有资本经营预算</w:t>
      </w:r>
      <w:r>
        <w:rPr>
          <w:rFonts w:ascii="Times New Roman" w:hAnsi="Times New Roman" w:eastAsia="仿宋_GB2312" w:cs="Times New Roman"/>
          <w:color w:val="000000" w:themeColor="text1"/>
          <w:kern w:val="0"/>
          <w:sz w:val="32"/>
          <w:szCs w:val="32"/>
          <w14:textFill>
            <w14:solidFill>
              <w14:schemeClr w14:val="tx1"/>
            </w14:solidFill>
          </w14:textFill>
        </w:rPr>
        <w:t>收入支出决算情况</w:t>
      </w:r>
    </w:p>
    <w:p w14:paraId="35BBEEC1">
      <w:pPr>
        <w:autoSpaceDE w:val="0"/>
        <w:autoSpaceDN w:val="0"/>
        <w:adjustRightInd w:val="0"/>
        <w:spacing w:line="600" w:lineRule="exact"/>
        <w:jc w:val="left"/>
        <w:rPr>
          <w:rFonts w:ascii="Times New Roman" w:hAnsi="Times New Roman" w:eastAsia="仿宋_GB2312" w:cs="Times New Roman"/>
          <w:color w:val="000000" w:themeColor="text1"/>
          <w:kern w:val="0"/>
          <w:sz w:val="32"/>
          <w:szCs w:val="32"/>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十、</w:t>
      </w:r>
      <w:r>
        <w:rPr>
          <w:rFonts w:ascii="Times New Roman" w:hAnsi="Times New Roman" w:eastAsia="仿宋_GB2312" w:cs="Times New Roman"/>
          <w:color w:val="000000" w:themeColor="text1"/>
          <w:kern w:val="0"/>
          <w:sz w:val="32"/>
          <w:szCs w:val="32"/>
          <w14:textFill>
            <w14:solidFill>
              <w14:schemeClr w14:val="tx1"/>
            </w14:solidFill>
          </w14:textFill>
        </w:rPr>
        <w:t>关于机关运行经费支出说明</w:t>
      </w:r>
    </w:p>
    <w:p w14:paraId="6AF8E4E8">
      <w:pPr>
        <w:autoSpaceDE w:val="0"/>
        <w:autoSpaceDN w:val="0"/>
        <w:adjustRightInd w:val="0"/>
        <w:spacing w:line="600" w:lineRule="exact"/>
        <w:jc w:val="left"/>
        <w:rPr>
          <w:rFonts w:ascii="Times New Roman" w:hAnsi="Times New Roman" w:eastAsia="仿宋_GB2312" w:cs="Times New Roman"/>
          <w:color w:val="000000" w:themeColor="text1"/>
          <w:kern w:val="0"/>
          <w:sz w:val="32"/>
          <w:szCs w:val="32"/>
          <w14:textFill>
            <w14:solidFill>
              <w14:schemeClr w14:val="tx1"/>
            </w14:solidFill>
          </w14:textFill>
        </w:rPr>
      </w:pPr>
      <w:r>
        <w:rPr>
          <w:rFonts w:ascii="Times New Roman" w:hAnsi="Times New Roman" w:eastAsia="仿宋_GB2312" w:cs="Times New Roman"/>
          <w:color w:val="000000" w:themeColor="text1"/>
          <w:kern w:val="0"/>
          <w:sz w:val="32"/>
          <w:szCs w:val="32"/>
          <w14:textFill>
            <w14:solidFill>
              <w14:schemeClr w14:val="tx1"/>
            </w14:solidFill>
          </w14:textFill>
        </w:rPr>
        <w:t>十</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一</w:t>
      </w:r>
      <w:r>
        <w:rPr>
          <w:rFonts w:ascii="Times New Roman" w:hAnsi="Times New Roman" w:eastAsia="仿宋_GB2312" w:cs="Times New Roman"/>
          <w:color w:val="000000" w:themeColor="text1"/>
          <w:kern w:val="0"/>
          <w:sz w:val="32"/>
          <w:szCs w:val="32"/>
          <w14:textFill>
            <w14:solidFill>
              <w14:schemeClr w14:val="tx1"/>
            </w14:solidFill>
          </w14:textFill>
        </w:rPr>
        <w:t>、一般性支出情况说明</w:t>
      </w:r>
    </w:p>
    <w:p w14:paraId="4B1DE7E6">
      <w:pPr>
        <w:autoSpaceDE w:val="0"/>
        <w:autoSpaceDN w:val="0"/>
        <w:adjustRightInd w:val="0"/>
        <w:spacing w:line="600" w:lineRule="exact"/>
        <w:jc w:val="left"/>
        <w:rPr>
          <w:rFonts w:ascii="Times New Roman" w:hAnsi="Times New Roman" w:eastAsia="仿宋_GB2312" w:cs="Times New Roman"/>
          <w:color w:val="000000" w:themeColor="text1"/>
          <w:kern w:val="0"/>
          <w:sz w:val="32"/>
          <w:szCs w:val="32"/>
          <w14:textFill>
            <w14:solidFill>
              <w14:schemeClr w14:val="tx1"/>
            </w14:solidFill>
          </w14:textFill>
        </w:rPr>
      </w:pPr>
      <w:r>
        <w:rPr>
          <w:rFonts w:ascii="Times New Roman" w:hAnsi="Times New Roman" w:eastAsia="仿宋_GB2312" w:cs="Times New Roman"/>
          <w:color w:val="000000" w:themeColor="text1"/>
          <w:kern w:val="0"/>
          <w:sz w:val="32"/>
          <w:szCs w:val="32"/>
          <w14:textFill>
            <w14:solidFill>
              <w14:schemeClr w14:val="tx1"/>
            </w14:solidFill>
          </w14:textFill>
        </w:rPr>
        <w:t>十</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二</w:t>
      </w:r>
      <w:r>
        <w:rPr>
          <w:rFonts w:ascii="Times New Roman" w:hAnsi="Times New Roman" w:eastAsia="仿宋_GB2312" w:cs="Times New Roman"/>
          <w:color w:val="000000" w:themeColor="text1"/>
          <w:kern w:val="0"/>
          <w:sz w:val="32"/>
          <w:szCs w:val="32"/>
          <w14:textFill>
            <w14:solidFill>
              <w14:schemeClr w14:val="tx1"/>
            </w14:solidFill>
          </w14:textFill>
        </w:rPr>
        <w:t>、关于政府采购支出说明</w:t>
      </w:r>
    </w:p>
    <w:p w14:paraId="22E90E63">
      <w:pPr>
        <w:pStyle w:val="14"/>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三</w:t>
      </w:r>
      <w:r>
        <w:rPr>
          <w:rFonts w:ascii="Times New Roman" w:hAnsi="Times New Roman" w:eastAsia="仿宋_GB2312" w:cs="Times New Roman"/>
          <w:color w:val="000000" w:themeColor="text1"/>
          <w:sz w:val="32"/>
          <w:szCs w:val="32"/>
          <w14:textFill>
            <w14:solidFill>
              <w14:schemeClr w14:val="tx1"/>
            </w14:solidFill>
          </w14:textFill>
        </w:rPr>
        <w:t>、关于国有资产占用情况说明</w:t>
      </w:r>
    </w:p>
    <w:p w14:paraId="74B01FDF">
      <w:pPr>
        <w:pStyle w:val="14"/>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四</w:t>
      </w:r>
      <w:r>
        <w:rPr>
          <w:rFonts w:ascii="Times New Roman" w:hAnsi="Times New Roman" w:eastAsia="仿宋_GB2312" w:cs="Times New Roman"/>
          <w:color w:val="000000" w:themeColor="text1"/>
          <w:sz w:val="32"/>
          <w:szCs w:val="32"/>
          <w14:textFill>
            <w14:solidFill>
              <w14:schemeClr w14:val="tx1"/>
            </w14:solidFill>
          </w14:textFill>
        </w:rPr>
        <w:t>、关于202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年度预算绩效管理情况的说明</w:t>
      </w:r>
    </w:p>
    <w:p w14:paraId="13038785">
      <w:pPr>
        <w:pStyle w:val="14"/>
        <w:spacing w:before="156" w:beforeLines="50" w:after="156" w:afterLines="50" w:line="600" w:lineRule="exact"/>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第四部分 名词解释</w:t>
      </w:r>
    </w:p>
    <w:p w14:paraId="410D1E86">
      <w:pPr>
        <w:pStyle w:val="14"/>
        <w:spacing w:before="156" w:beforeLines="50" w:after="156" w:afterLines="50" w:line="600" w:lineRule="exact"/>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第五部分 附件</w:t>
      </w:r>
    </w:p>
    <w:p w14:paraId="502B3EE9">
      <w:pPr>
        <w:pStyle w:val="14"/>
        <w:spacing w:line="600" w:lineRule="exact"/>
        <w:rPr>
          <w:rFonts w:ascii="Times New Roman" w:hAnsi="Times New Roman" w:cs="Times New Roman"/>
          <w:bCs/>
          <w:color w:val="000000" w:themeColor="text1"/>
          <w:sz w:val="28"/>
          <w:szCs w:val="28"/>
          <w14:textFill>
            <w14:solidFill>
              <w14:schemeClr w14:val="tx1"/>
            </w14:solidFill>
          </w14:textFill>
        </w:rPr>
      </w:pPr>
    </w:p>
    <w:p w14:paraId="38A3666D">
      <w:pPr>
        <w:jc w:val="center"/>
        <w:rPr>
          <w:rFonts w:ascii="Times New Roman" w:hAnsi="Times New Roman" w:cs="Times New Roman"/>
          <w:color w:val="000000" w:themeColor="text1"/>
          <w:sz w:val="72"/>
          <w:szCs w:val="72"/>
          <w14:textFill>
            <w14:solidFill>
              <w14:schemeClr w14:val="tx1"/>
            </w14:solidFill>
          </w14:textFill>
        </w:rPr>
      </w:pPr>
    </w:p>
    <w:p w14:paraId="4140D012">
      <w:pPr>
        <w:jc w:val="center"/>
        <w:rPr>
          <w:rFonts w:ascii="Times New Roman" w:hAnsi="Times New Roman" w:cs="Times New Roman"/>
          <w:color w:val="000000" w:themeColor="text1"/>
          <w:sz w:val="72"/>
          <w:szCs w:val="72"/>
          <w14:textFill>
            <w14:solidFill>
              <w14:schemeClr w14:val="tx1"/>
            </w14:solidFill>
          </w14:textFill>
        </w:rPr>
      </w:pPr>
    </w:p>
    <w:p w14:paraId="51F444C2">
      <w:pPr>
        <w:jc w:val="center"/>
        <w:rPr>
          <w:rFonts w:ascii="Times New Roman" w:hAnsi="Times New Roman" w:cs="Times New Roman"/>
          <w:color w:val="000000" w:themeColor="text1"/>
          <w:sz w:val="72"/>
          <w:szCs w:val="72"/>
          <w14:textFill>
            <w14:solidFill>
              <w14:schemeClr w14:val="tx1"/>
            </w14:solidFill>
          </w14:textFill>
        </w:rPr>
      </w:pPr>
    </w:p>
    <w:p w14:paraId="6B1C7F8C">
      <w:pPr>
        <w:pStyle w:val="7"/>
        <w:rPr>
          <w:rFonts w:ascii="Times New Roman" w:hAnsi="Times New Roman" w:cs="Times New Roman"/>
          <w:color w:val="000000" w:themeColor="text1"/>
          <w14:textFill>
            <w14:solidFill>
              <w14:schemeClr w14:val="tx1"/>
            </w14:solidFill>
          </w14:textFill>
        </w:rPr>
        <w:sectPr>
          <w:footerReference r:id="rId4" w:type="default"/>
          <w:pgSz w:w="11906" w:h="16838"/>
          <w:pgMar w:top="1417" w:right="1588" w:bottom="1417" w:left="1588" w:header="851" w:footer="992" w:gutter="0"/>
          <w:pgNumType w:fmt="numberInDash" w:start="1"/>
          <w:cols w:space="425" w:num="1"/>
          <w:docGrid w:type="lines" w:linePitch="312" w:charSpace="0"/>
        </w:sectPr>
      </w:pPr>
    </w:p>
    <w:p w14:paraId="3B74913F">
      <w:pPr>
        <w:rPr>
          <w:rFonts w:ascii="Times New Roman" w:hAnsi="Times New Roman" w:eastAsia="方正小标宋_GBK" w:cs="Times New Roman"/>
          <w:color w:val="000000" w:themeColor="text1"/>
          <w:sz w:val="72"/>
          <w:szCs w:val="72"/>
          <w14:textFill>
            <w14:solidFill>
              <w14:schemeClr w14:val="tx1"/>
            </w14:solidFill>
          </w14:textFill>
        </w:rPr>
      </w:pPr>
    </w:p>
    <w:p w14:paraId="1BB8CA5B">
      <w:pPr>
        <w:pStyle w:val="14"/>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p>
    <w:p w14:paraId="4F3DE702">
      <w:pPr>
        <w:pStyle w:val="14"/>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p>
    <w:p w14:paraId="3C3033FA">
      <w:pPr>
        <w:pStyle w:val="14"/>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p>
    <w:p w14:paraId="7A438C6D">
      <w:pPr>
        <w:pStyle w:val="14"/>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p>
    <w:p w14:paraId="58A6F996">
      <w:pPr>
        <w:pStyle w:val="14"/>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p>
    <w:p w14:paraId="02A168C7">
      <w:pPr>
        <w:pStyle w:val="14"/>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p>
    <w:p w14:paraId="61E35332">
      <w:pPr>
        <w:pStyle w:val="14"/>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r>
        <w:rPr>
          <w:rFonts w:ascii="Times New Roman" w:hAnsi="Times New Roman" w:eastAsia="方正小标宋_GBK" w:cs="Times New Roman"/>
          <w:color w:val="000000" w:themeColor="text1"/>
          <w:sz w:val="52"/>
          <w:szCs w:val="52"/>
          <w14:textFill>
            <w14:solidFill>
              <w14:schemeClr w14:val="tx1"/>
            </w14:solidFill>
          </w14:textFill>
        </w:rPr>
        <w:t>第一部分</w:t>
      </w:r>
    </w:p>
    <w:p w14:paraId="03D9B48B">
      <w:pPr>
        <w:pStyle w:val="14"/>
        <w:jc w:val="center"/>
        <w:rPr>
          <w:rFonts w:hint="default" w:ascii="Times New Roman" w:hAnsi="Times New Roman" w:eastAsia="方正小标宋简体" w:cs="Times New Roman"/>
          <w:color w:val="000000" w:themeColor="text1"/>
          <w:sz w:val="72"/>
          <w:szCs w:val="72"/>
          <w14:textFill>
            <w14:solidFill>
              <w14:schemeClr w14:val="tx1"/>
            </w14:solidFill>
          </w14:textFill>
        </w:rPr>
      </w:pPr>
      <w:r>
        <w:rPr>
          <w:rFonts w:hint="default" w:ascii="Times New Roman" w:hAnsi="Times New Roman" w:eastAsia="方正小标宋简体" w:cs="Times New Roman"/>
          <w:color w:val="000000" w:themeColor="text1"/>
          <w:sz w:val="72"/>
          <w:szCs w:val="72"/>
          <w14:textFill>
            <w14:solidFill>
              <w14:schemeClr w14:val="tx1"/>
            </w14:solidFill>
          </w14:textFill>
        </w:rPr>
        <w:t>怀化市无线电监测站</w:t>
      </w:r>
    </w:p>
    <w:p w14:paraId="32873BFA">
      <w:pPr>
        <w:pStyle w:val="14"/>
        <w:spacing w:line="360" w:lineRule="auto"/>
        <w:jc w:val="center"/>
        <w:rPr>
          <w:rFonts w:ascii="Times New Roman" w:hAnsi="Times New Roman" w:eastAsia="方正小标宋_GBK" w:cs="Times New Roman"/>
          <w:color w:val="000000" w:themeColor="text1"/>
          <w:sz w:val="52"/>
          <w:szCs w:val="52"/>
          <w14:textFill>
            <w14:solidFill>
              <w14:schemeClr w14:val="tx1"/>
            </w14:solidFill>
          </w14:textFill>
        </w:rPr>
      </w:pPr>
      <w:r>
        <w:rPr>
          <w:rFonts w:ascii="Times New Roman" w:hAnsi="Times New Roman" w:eastAsia="方正小标宋_GBK" w:cs="Times New Roman"/>
          <w:color w:val="000000" w:themeColor="text1"/>
          <w:sz w:val="52"/>
          <w:szCs w:val="52"/>
          <w14:textFill>
            <w14:solidFill>
              <w14:schemeClr w14:val="tx1"/>
            </w14:solidFill>
          </w14:textFill>
        </w:rPr>
        <w:t>概况</w:t>
      </w:r>
    </w:p>
    <w:p w14:paraId="0D0E6941">
      <w:pPr>
        <w:pStyle w:val="3"/>
        <w:ind w:left="0" w:leftChars="0" w:firstLine="0" w:firstLineChars="0"/>
        <w:rPr>
          <w:rFonts w:ascii="Times New Roman" w:hAnsi="Times New Roman" w:cs="Times New Roman"/>
          <w:color w:val="000000" w:themeColor="text1"/>
          <w14:textFill>
            <w14:solidFill>
              <w14:schemeClr w14:val="tx1"/>
            </w14:solidFill>
          </w14:textFill>
        </w:rPr>
      </w:pPr>
    </w:p>
    <w:p w14:paraId="2527B350">
      <w:pPr>
        <w:pStyle w:val="15"/>
        <w:spacing w:line="600" w:lineRule="exact"/>
        <w:ind w:firstLine="0" w:firstLineChars="0"/>
        <w:jc w:val="left"/>
        <w:rPr>
          <w:rFonts w:hint="eastAsia" w:ascii="Times New Roman" w:hAnsi="Times New Roman" w:eastAsia="黑体" w:cs="Times New Roman"/>
          <w:color w:val="000000" w:themeColor="text1"/>
          <w:sz w:val="32"/>
          <w:szCs w:val="32"/>
          <w14:textFill>
            <w14:solidFill>
              <w14:schemeClr w14:val="tx1"/>
            </w14:solidFill>
          </w14:textFill>
        </w:rPr>
      </w:pPr>
    </w:p>
    <w:p w14:paraId="36B99AA6">
      <w:pPr>
        <w:pStyle w:val="15"/>
        <w:spacing w:line="600" w:lineRule="exact"/>
        <w:ind w:firstLine="0" w:firstLineChars="0"/>
        <w:jc w:val="left"/>
        <w:rPr>
          <w:rFonts w:hint="eastAsia" w:ascii="Times New Roman" w:hAnsi="Times New Roman" w:eastAsia="黑体" w:cs="Times New Roman"/>
          <w:color w:val="000000" w:themeColor="text1"/>
          <w:sz w:val="32"/>
          <w:szCs w:val="32"/>
          <w14:textFill>
            <w14:solidFill>
              <w14:schemeClr w14:val="tx1"/>
            </w14:solidFill>
          </w14:textFill>
        </w:rPr>
      </w:pPr>
    </w:p>
    <w:p w14:paraId="1F905457">
      <w:pPr>
        <w:pStyle w:val="15"/>
        <w:spacing w:line="600" w:lineRule="exact"/>
        <w:ind w:firstLine="0" w:firstLineChars="0"/>
        <w:jc w:val="left"/>
        <w:rPr>
          <w:rFonts w:hint="eastAsia" w:ascii="Times New Roman" w:hAnsi="Times New Roman" w:eastAsia="黑体" w:cs="Times New Roman"/>
          <w:color w:val="000000" w:themeColor="text1"/>
          <w:sz w:val="32"/>
          <w:szCs w:val="32"/>
          <w14:textFill>
            <w14:solidFill>
              <w14:schemeClr w14:val="tx1"/>
            </w14:solidFill>
          </w14:textFill>
        </w:rPr>
      </w:pPr>
    </w:p>
    <w:p w14:paraId="3CAEC503">
      <w:pPr>
        <w:pStyle w:val="15"/>
        <w:spacing w:line="600" w:lineRule="exact"/>
        <w:ind w:firstLine="0" w:firstLineChars="0"/>
        <w:jc w:val="left"/>
        <w:rPr>
          <w:rFonts w:hint="eastAsia" w:ascii="Times New Roman" w:hAnsi="Times New Roman" w:eastAsia="黑体" w:cs="Times New Roman"/>
          <w:color w:val="000000" w:themeColor="text1"/>
          <w:sz w:val="32"/>
          <w:szCs w:val="32"/>
          <w14:textFill>
            <w14:solidFill>
              <w14:schemeClr w14:val="tx1"/>
            </w14:solidFill>
          </w14:textFill>
        </w:rPr>
      </w:pPr>
    </w:p>
    <w:p w14:paraId="070CE748">
      <w:pPr>
        <w:pStyle w:val="15"/>
        <w:spacing w:line="600" w:lineRule="exact"/>
        <w:ind w:firstLine="0" w:firstLineChars="0"/>
        <w:jc w:val="left"/>
        <w:rPr>
          <w:rFonts w:hint="eastAsia" w:ascii="Times New Roman" w:hAnsi="Times New Roman" w:eastAsia="黑体" w:cs="Times New Roman"/>
          <w:color w:val="000000" w:themeColor="text1"/>
          <w:sz w:val="32"/>
          <w:szCs w:val="32"/>
          <w14:textFill>
            <w14:solidFill>
              <w14:schemeClr w14:val="tx1"/>
            </w14:solidFill>
          </w14:textFill>
        </w:rPr>
      </w:pPr>
    </w:p>
    <w:p w14:paraId="05C3FBDB">
      <w:pPr>
        <w:pStyle w:val="15"/>
        <w:spacing w:line="600" w:lineRule="exact"/>
        <w:ind w:firstLine="0" w:firstLineChars="0"/>
        <w:jc w:val="left"/>
        <w:rPr>
          <w:rFonts w:hint="eastAsia" w:ascii="Times New Roman" w:hAnsi="Times New Roman" w:eastAsia="黑体" w:cs="Times New Roman"/>
          <w:color w:val="000000" w:themeColor="text1"/>
          <w:sz w:val="32"/>
          <w:szCs w:val="32"/>
          <w14:textFill>
            <w14:solidFill>
              <w14:schemeClr w14:val="tx1"/>
            </w14:solidFill>
          </w14:textFill>
        </w:rPr>
      </w:pPr>
    </w:p>
    <w:p w14:paraId="176F4602">
      <w:pPr>
        <w:pStyle w:val="15"/>
        <w:spacing w:line="600" w:lineRule="exact"/>
        <w:ind w:firstLine="0" w:firstLineChars="0"/>
        <w:jc w:val="left"/>
        <w:rPr>
          <w:rFonts w:hint="eastAsia" w:ascii="Times New Roman" w:hAnsi="Times New Roman" w:eastAsia="黑体" w:cs="Times New Roman"/>
          <w:color w:val="000000" w:themeColor="text1"/>
          <w:sz w:val="32"/>
          <w:szCs w:val="32"/>
          <w14:textFill>
            <w14:solidFill>
              <w14:schemeClr w14:val="tx1"/>
            </w14:solidFill>
          </w14:textFill>
        </w:rPr>
      </w:pPr>
    </w:p>
    <w:p w14:paraId="1EB65358">
      <w:pPr>
        <w:pStyle w:val="15"/>
        <w:spacing w:line="600" w:lineRule="exact"/>
        <w:ind w:firstLine="0" w:firstLineChars="0"/>
        <w:jc w:val="left"/>
        <w:rPr>
          <w:rFonts w:hint="eastAsia" w:ascii="Times New Roman" w:hAnsi="Times New Roman" w:eastAsia="黑体" w:cs="Times New Roman"/>
          <w:color w:val="000000" w:themeColor="text1"/>
          <w:sz w:val="32"/>
          <w:szCs w:val="32"/>
          <w14:textFill>
            <w14:solidFill>
              <w14:schemeClr w14:val="tx1"/>
            </w14:solidFill>
          </w14:textFill>
        </w:rPr>
      </w:pPr>
    </w:p>
    <w:p w14:paraId="10452AAB">
      <w:pPr>
        <w:pStyle w:val="15"/>
        <w:spacing w:line="600" w:lineRule="exact"/>
        <w:ind w:firstLine="0" w:firstLineChars="0"/>
        <w:jc w:val="left"/>
        <w:rPr>
          <w:rFonts w:hint="eastAsia" w:ascii="Times New Roman" w:hAnsi="Times New Roman" w:eastAsia="黑体" w:cs="Times New Roman"/>
          <w:color w:val="000000" w:themeColor="text1"/>
          <w:sz w:val="32"/>
          <w:szCs w:val="32"/>
          <w14:textFill>
            <w14:solidFill>
              <w14:schemeClr w14:val="tx1"/>
            </w14:solidFill>
          </w14:textFill>
        </w:rPr>
      </w:pPr>
    </w:p>
    <w:p w14:paraId="65F1D214">
      <w:pPr>
        <w:pStyle w:val="15"/>
        <w:spacing w:line="600" w:lineRule="exact"/>
        <w:ind w:firstLine="640" w:firstLineChars="200"/>
        <w:jc w:val="left"/>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一、</w:t>
      </w:r>
      <w:r>
        <w:rPr>
          <w:rFonts w:ascii="Times New Roman" w:hAnsi="Times New Roman" w:eastAsia="黑体" w:cs="Times New Roman"/>
          <w:color w:val="000000" w:themeColor="text1"/>
          <w:sz w:val="32"/>
          <w:szCs w:val="32"/>
          <w14:textFill>
            <w14:solidFill>
              <w14:schemeClr w14:val="tx1"/>
            </w14:solidFill>
          </w14:textFill>
        </w:rPr>
        <w:t>部门职责</w:t>
      </w:r>
    </w:p>
    <w:p w14:paraId="09CB52D1">
      <w:pPr>
        <w:keepNext w:val="0"/>
        <w:keepLines w:val="0"/>
        <w:pageBreakBefore w:val="0"/>
        <w:widowControl/>
        <w:kinsoku/>
        <w:wordWrap/>
        <w:overflowPunct/>
        <w:topLinePunct w:val="0"/>
        <w:autoSpaceDE/>
        <w:autoSpaceDN/>
        <w:bidi w:val="0"/>
        <w:adjustRightInd/>
        <w:spacing w:line="640" w:lineRule="exact"/>
        <w:ind w:firstLine="640" w:firstLineChars="200"/>
        <w:textAlignment w:val="auto"/>
        <w:rPr>
          <w:rFonts w:hint="default" w:ascii="Times New Roman" w:hAnsi="Times New Roman" w:eastAsia="仿宋_GB2312" w:cs="Times New Roman"/>
          <w:bCs/>
          <w:color w:val="000000" w:themeColor="text1"/>
          <w:kern w:val="0"/>
          <w:sz w:val="32"/>
          <w:szCs w:val="32"/>
          <w14:textFill>
            <w14:solidFill>
              <w14:schemeClr w14:val="tx1"/>
            </w14:solidFill>
          </w14:textFill>
        </w:rPr>
      </w:pPr>
      <w:r>
        <w:rPr>
          <w:rFonts w:hint="default" w:ascii="Times New Roman" w:hAnsi="Times New Roman" w:eastAsia="仿宋_GB2312" w:cs="Times New Roman"/>
          <w:bCs/>
          <w:color w:val="000000" w:themeColor="text1"/>
          <w:kern w:val="0"/>
          <w:sz w:val="32"/>
          <w:szCs w:val="32"/>
          <w14:textFill>
            <w14:solidFill>
              <w14:schemeClr w14:val="tx1"/>
            </w14:solidFill>
          </w14:textFill>
        </w:rPr>
        <w:t>负责无线电监测、干扰查处和涉外无线电管理等工作，协调处理无线电管理相关事宜。</w:t>
      </w:r>
    </w:p>
    <w:p w14:paraId="1053D675">
      <w:pPr>
        <w:widowControl/>
        <w:spacing w:line="600" w:lineRule="exact"/>
        <w:ind w:firstLine="640" w:firstLineChars="200"/>
        <w:rPr>
          <w:rFonts w:ascii="Times New Roman" w:hAnsi="Times New Roman" w:eastAsia="黑体" w:cs="Times New Roman"/>
          <w:bCs/>
          <w:color w:val="000000" w:themeColor="text1"/>
          <w:kern w:val="0"/>
          <w:sz w:val="32"/>
          <w:szCs w:val="32"/>
          <w14:textFill>
            <w14:solidFill>
              <w14:schemeClr w14:val="tx1"/>
            </w14:solidFill>
          </w14:textFill>
        </w:rPr>
      </w:pPr>
      <w:r>
        <w:rPr>
          <w:rFonts w:ascii="Times New Roman" w:hAnsi="Times New Roman" w:eastAsia="黑体" w:cs="Times New Roman"/>
          <w:bCs/>
          <w:color w:val="000000" w:themeColor="text1"/>
          <w:kern w:val="0"/>
          <w:sz w:val="32"/>
          <w:szCs w:val="32"/>
          <w14:textFill>
            <w14:solidFill>
              <w14:schemeClr w14:val="tx1"/>
            </w14:solidFill>
          </w14:textFill>
        </w:rPr>
        <w:t>二、机构设置及决算单位构成</w:t>
      </w:r>
    </w:p>
    <w:p w14:paraId="38ABA666">
      <w:pPr>
        <w:pStyle w:val="7"/>
        <w:keepNext w:val="0"/>
        <w:keepLines w:val="0"/>
        <w:pageBreakBefore w:val="0"/>
        <w:kinsoku/>
        <w:wordWrap/>
        <w:overflowPunct/>
        <w:topLinePunct w:val="0"/>
        <w:autoSpaceDE/>
        <w:autoSpaceDN/>
        <w:bidi w:val="0"/>
        <w:adjustRightInd/>
        <w:spacing w:line="640" w:lineRule="exact"/>
        <w:ind w:firstLine="640" w:firstLineChars="200"/>
        <w:textAlignment w:val="auto"/>
        <w:rPr>
          <w:rFonts w:ascii="Times New Roman" w:hAnsi="Times New Roman" w:eastAsia="仿宋_GB2312" w:cs="Times New Roman"/>
          <w:bCs/>
          <w:color w:val="000000" w:themeColor="text1"/>
          <w:kern w:val="0"/>
          <w:sz w:val="32"/>
          <w:szCs w:val="32"/>
          <w14:textFill>
            <w14:solidFill>
              <w14:schemeClr w14:val="tx1"/>
            </w14:solidFill>
          </w14:textFill>
        </w:rPr>
      </w:pPr>
      <w:r>
        <w:rPr>
          <w:rFonts w:ascii="Times New Roman" w:hAnsi="Times New Roman" w:eastAsia="仿宋_GB2312" w:cs="Times New Roman"/>
          <w:bCs/>
          <w:color w:val="000000" w:themeColor="text1"/>
          <w:kern w:val="0"/>
          <w:sz w:val="32"/>
          <w:szCs w:val="32"/>
          <w14:textFill>
            <w14:solidFill>
              <w14:schemeClr w14:val="tx1"/>
            </w14:solidFill>
          </w14:textFill>
        </w:rPr>
        <w:t>（一）内设机构设置。</w:t>
      </w:r>
    </w:p>
    <w:p w14:paraId="57AAEDC8">
      <w:pPr>
        <w:pStyle w:val="7"/>
        <w:keepNext w:val="0"/>
        <w:keepLines w:val="0"/>
        <w:pageBreakBefore w:val="0"/>
        <w:kinsoku/>
        <w:wordWrap/>
        <w:overflowPunct/>
        <w:topLinePunct w:val="0"/>
        <w:autoSpaceDE/>
        <w:autoSpaceDN/>
        <w:bidi w:val="0"/>
        <w:adjustRightInd/>
        <w:spacing w:line="640" w:lineRule="exact"/>
        <w:ind w:firstLine="640" w:firstLineChars="200"/>
        <w:textAlignment w:val="auto"/>
        <w:rPr>
          <w:rFonts w:hint="default" w:ascii="Times New Roman" w:hAnsi="Times New Roman" w:eastAsia="仿宋_GB2312" w:cs="Times New Roman"/>
          <w:bCs/>
          <w:color w:val="000000" w:themeColor="text1"/>
          <w:kern w:val="0"/>
          <w:sz w:val="32"/>
          <w:szCs w:val="32"/>
          <w14:textFill>
            <w14:solidFill>
              <w14:schemeClr w14:val="tx1"/>
            </w14:solidFill>
          </w14:textFill>
        </w:rPr>
      </w:pPr>
      <w:r>
        <w:rPr>
          <w:rFonts w:hint="default" w:ascii="Times New Roman" w:hAnsi="Times New Roman" w:eastAsia="仿宋_GB2312" w:cs="Times New Roman"/>
          <w:bCs/>
          <w:color w:val="000000" w:themeColor="text1"/>
          <w:kern w:val="0"/>
          <w:sz w:val="32"/>
          <w:szCs w:val="32"/>
          <w14:textFill>
            <w14:solidFill>
              <w14:schemeClr w14:val="tx1"/>
            </w14:solidFill>
          </w14:textFill>
        </w:rPr>
        <w:t>怀化市无线电监测站为二级预算单位。怀化市无线电监测站属怀化市工业和信息化局内设二级机构，无内设科室。</w:t>
      </w:r>
    </w:p>
    <w:p w14:paraId="0B601073">
      <w:pPr>
        <w:widowControl/>
        <w:numPr>
          <w:ilvl w:val="0"/>
          <w:numId w:val="1"/>
        </w:numPr>
        <w:spacing w:line="600" w:lineRule="exact"/>
        <w:ind w:firstLine="640" w:firstLineChars="200"/>
        <w:rPr>
          <w:rFonts w:ascii="Times New Roman" w:hAnsi="Times New Roman" w:eastAsia="仿宋_GB2312" w:cs="Times New Roman"/>
          <w:bCs/>
          <w:color w:val="000000" w:themeColor="text1"/>
          <w:kern w:val="0"/>
          <w:sz w:val="32"/>
          <w:szCs w:val="32"/>
          <w14:textFill>
            <w14:solidFill>
              <w14:schemeClr w14:val="tx1"/>
            </w14:solidFill>
          </w14:textFill>
        </w:rPr>
      </w:pPr>
      <w:r>
        <w:rPr>
          <w:rFonts w:ascii="Times New Roman" w:hAnsi="Times New Roman" w:eastAsia="仿宋_GB2312" w:cs="Times New Roman"/>
          <w:bCs/>
          <w:color w:val="000000" w:themeColor="text1"/>
          <w:kern w:val="0"/>
          <w:sz w:val="32"/>
          <w:szCs w:val="32"/>
          <w14:textFill>
            <w14:solidFill>
              <w14:schemeClr w14:val="tx1"/>
            </w14:solidFill>
          </w14:textFill>
        </w:rPr>
        <w:t>决算单位构成。</w:t>
      </w:r>
    </w:p>
    <w:p w14:paraId="6BD0CDF8">
      <w:pPr>
        <w:keepNext w:val="0"/>
        <w:keepLines w:val="0"/>
        <w:pageBreakBefore w:val="0"/>
        <w:widowControl/>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000000" w:themeColor="text1"/>
          <w:kern w:val="0"/>
          <w:sz w:val="32"/>
          <w:szCs w:val="32"/>
          <w14:textFill>
            <w14:solidFill>
              <w14:schemeClr w14:val="tx1"/>
            </w14:solidFill>
          </w14:textFill>
        </w:rPr>
      </w:pPr>
      <w:r>
        <w:rPr>
          <w:rFonts w:hint="default" w:ascii="Times New Roman" w:hAnsi="Times New Roman" w:eastAsia="仿宋_GB2312" w:cs="Times New Roman"/>
          <w:bCs/>
          <w:color w:val="000000" w:themeColor="text1"/>
          <w:kern w:val="0"/>
          <w:sz w:val="32"/>
          <w:szCs w:val="32"/>
          <w14:textFill>
            <w14:solidFill>
              <w14:schemeClr w14:val="tx1"/>
            </w14:solidFill>
          </w14:textFill>
        </w:rPr>
        <w:t>怀化市无线电监测站202</w:t>
      </w:r>
      <w:r>
        <w:rPr>
          <w:rFonts w:hint="eastAsia" w:ascii="Times New Roman" w:hAnsi="Times New Roman" w:eastAsia="仿宋_GB2312" w:cs="Times New Roman"/>
          <w:bCs/>
          <w:color w:val="000000" w:themeColor="text1"/>
          <w:kern w:val="0"/>
          <w:sz w:val="32"/>
          <w:szCs w:val="32"/>
          <w:lang w:val="en-US" w:eastAsia="zh-CN"/>
          <w14:textFill>
            <w14:solidFill>
              <w14:schemeClr w14:val="tx1"/>
            </w14:solidFill>
          </w14:textFill>
        </w:rPr>
        <w:t>5</w:t>
      </w:r>
      <w:r>
        <w:rPr>
          <w:rFonts w:hint="default" w:ascii="Times New Roman" w:hAnsi="Times New Roman" w:eastAsia="仿宋_GB2312" w:cs="Times New Roman"/>
          <w:bCs/>
          <w:color w:val="000000" w:themeColor="text1"/>
          <w:kern w:val="0"/>
          <w:sz w:val="32"/>
          <w:szCs w:val="32"/>
          <w14:textFill>
            <w14:solidFill>
              <w14:schemeClr w14:val="tx1"/>
            </w14:solidFill>
          </w14:textFill>
        </w:rPr>
        <w:t>年部门决算汇总公开单位构成包括：怀化市无线电监测站本级。</w:t>
      </w:r>
    </w:p>
    <w:p w14:paraId="07665CC5">
      <w:pPr>
        <w:keepNext w:val="0"/>
        <w:keepLines w:val="0"/>
        <w:pageBreakBefore w:val="0"/>
        <w:widowControl/>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000000" w:themeColor="text1"/>
          <w:kern w:val="0"/>
          <w:sz w:val="32"/>
          <w:szCs w:val="32"/>
          <w14:textFill>
            <w14:solidFill>
              <w14:schemeClr w14:val="tx1"/>
            </w14:solidFill>
          </w14:textFill>
        </w:rPr>
      </w:pPr>
    </w:p>
    <w:p w14:paraId="4D4B79E0">
      <w:pPr>
        <w:keepNext w:val="0"/>
        <w:keepLines w:val="0"/>
        <w:pageBreakBefore w:val="0"/>
        <w:widowControl/>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000000" w:themeColor="text1"/>
          <w:kern w:val="0"/>
          <w:sz w:val="32"/>
          <w:szCs w:val="32"/>
          <w14:textFill>
            <w14:solidFill>
              <w14:schemeClr w14:val="tx1"/>
            </w14:solidFill>
          </w14:textFill>
        </w:rPr>
      </w:pPr>
    </w:p>
    <w:p w14:paraId="0C4B046A">
      <w:pPr>
        <w:keepNext w:val="0"/>
        <w:keepLines w:val="0"/>
        <w:pageBreakBefore w:val="0"/>
        <w:widowControl/>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000000" w:themeColor="text1"/>
          <w:kern w:val="0"/>
          <w:sz w:val="32"/>
          <w:szCs w:val="32"/>
          <w14:textFill>
            <w14:solidFill>
              <w14:schemeClr w14:val="tx1"/>
            </w14:solidFill>
          </w14:textFill>
        </w:rPr>
      </w:pPr>
    </w:p>
    <w:p w14:paraId="2FB80B35">
      <w:pPr>
        <w:keepNext w:val="0"/>
        <w:keepLines w:val="0"/>
        <w:pageBreakBefore w:val="0"/>
        <w:widowControl/>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000000" w:themeColor="text1"/>
          <w:kern w:val="0"/>
          <w:sz w:val="32"/>
          <w:szCs w:val="32"/>
          <w14:textFill>
            <w14:solidFill>
              <w14:schemeClr w14:val="tx1"/>
            </w14:solidFill>
          </w14:textFill>
        </w:rPr>
      </w:pPr>
    </w:p>
    <w:p w14:paraId="279B54F5">
      <w:pPr>
        <w:keepNext w:val="0"/>
        <w:keepLines w:val="0"/>
        <w:pageBreakBefore w:val="0"/>
        <w:widowControl/>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000000" w:themeColor="text1"/>
          <w:kern w:val="0"/>
          <w:sz w:val="32"/>
          <w:szCs w:val="32"/>
          <w14:textFill>
            <w14:solidFill>
              <w14:schemeClr w14:val="tx1"/>
            </w14:solidFill>
          </w14:textFill>
        </w:rPr>
      </w:pPr>
    </w:p>
    <w:p w14:paraId="6421C645">
      <w:pPr>
        <w:keepNext w:val="0"/>
        <w:keepLines w:val="0"/>
        <w:pageBreakBefore w:val="0"/>
        <w:widowControl/>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000000" w:themeColor="text1"/>
          <w:kern w:val="0"/>
          <w:sz w:val="32"/>
          <w:szCs w:val="32"/>
          <w14:textFill>
            <w14:solidFill>
              <w14:schemeClr w14:val="tx1"/>
            </w14:solidFill>
          </w14:textFill>
        </w:rPr>
      </w:pPr>
    </w:p>
    <w:p w14:paraId="561CD2D8">
      <w:pPr>
        <w:keepNext w:val="0"/>
        <w:keepLines w:val="0"/>
        <w:pageBreakBefore w:val="0"/>
        <w:widowControl/>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000000" w:themeColor="text1"/>
          <w:kern w:val="0"/>
          <w:sz w:val="32"/>
          <w:szCs w:val="32"/>
          <w14:textFill>
            <w14:solidFill>
              <w14:schemeClr w14:val="tx1"/>
            </w14:solidFill>
          </w14:textFill>
        </w:rPr>
      </w:pPr>
    </w:p>
    <w:p w14:paraId="09808C8A">
      <w:pPr>
        <w:keepNext w:val="0"/>
        <w:keepLines w:val="0"/>
        <w:pageBreakBefore w:val="0"/>
        <w:widowControl/>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000000" w:themeColor="text1"/>
          <w:kern w:val="0"/>
          <w:sz w:val="32"/>
          <w:szCs w:val="32"/>
          <w14:textFill>
            <w14:solidFill>
              <w14:schemeClr w14:val="tx1"/>
            </w14:solidFill>
          </w14:textFill>
        </w:rPr>
      </w:pPr>
    </w:p>
    <w:p w14:paraId="4D22D64B">
      <w:pPr>
        <w:keepNext w:val="0"/>
        <w:keepLines w:val="0"/>
        <w:pageBreakBefore w:val="0"/>
        <w:widowControl/>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Cs/>
          <w:color w:val="000000" w:themeColor="text1"/>
          <w:kern w:val="0"/>
          <w:sz w:val="32"/>
          <w:szCs w:val="32"/>
          <w14:textFill>
            <w14:solidFill>
              <w14:schemeClr w14:val="tx1"/>
            </w14:solidFill>
          </w14:textFill>
        </w:rPr>
      </w:pPr>
    </w:p>
    <w:p w14:paraId="260B390B">
      <w:pPr>
        <w:pStyle w:val="14"/>
        <w:shd w:val="clear"/>
        <w:jc w:val="both"/>
        <w:rPr>
          <w:rFonts w:hint="default" w:ascii="Times New Roman" w:hAnsi="Times New Roman" w:eastAsia="方正小标宋简体" w:cs="Times New Roman"/>
          <w:color w:val="000000" w:themeColor="text1"/>
          <w:sz w:val="72"/>
          <w:szCs w:val="72"/>
          <w:lang w:val="en-US" w:eastAsia="zh-CN"/>
          <w14:textFill>
            <w14:solidFill>
              <w14:schemeClr w14:val="tx1"/>
            </w14:solidFill>
          </w14:textFill>
        </w:rPr>
      </w:pPr>
    </w:p>
    <w:p w14:paraId="42FC7780">
      <w:pP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br w:type="page"/>
      </w:r>
    </w:p>
    <w:p w14:paraId="60CCE3CF">
      <w:pPr>
        <w:pStyle w:val="14"/>
        <w:shd w:val="clear"/>
        <w:jc w:val="cente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p>
    <w:p w14:paraId="0CF676C6">
      <w:pPr>
        <w:pStyle w:val="14"/>
        <w:shd w:val="clear"/>
        <w:jc w:val="cente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第二部分</w:t>
      </w:r>
    </w:p>
    <w:p w14:paraId="49F05E67">
      <w:pPr>
        <w:pStyle w:val="14"/>
        <w:shd w:val="clear"/>
        <w:jc w:val="cente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部门决算表</w:t>
      </w:r>
    </w:p>
    <w:p w14:paraId="1B0B1F91">
      <w:pPr>
        <w:pStyle w:val="14"/>
        <w:shd w:val="clear"/>
        <w:jc w:val="center"/>
        <w:rPr>
          <w:rFonts w:hint="default" w:ascii="Times New Roman" w:hAnsi="Times New Roman" w:eastAsia="方正小标宋简体" w:cs="Times New Roman"/>
          <w:color w:val="000000" w:themeColor="text1"/>
          <w:sz w:val="72"/>
          <w:szCs w:val="72"/>
          <w:lang w:val="en-US" w:eastAsia="zh-CN"/>
          <w14:textFill>
            <w14:solidFill>
              <w14:schemeClr w14:val="tx1"/>
            </w14:solidFill>
          </w14:textFill>
        </w:rPr>
      </w:pPr>
    </w:p>
    <w:p w14:paraId="360D2099">
      <w:pPr>
        <w:pStyle w:val="14"/>
        <w:shd w:val="clear"/>
        <w:jc w:val="center"/>
        <w:rPr>
          <w:rFonts w:hint="default" w:ascii="Times New Roman" w:hAnsi="Times New Roman" w:eastAsia="方正小标宋简体" w:cs="Times New Roman"/>
          <w:color w:val="000000" w:themeColor="text1"/>
          <w:sz w:val="72"/>
          <w:szCs w:val="72"/>
          <w:lang w:val="en-US" w:eastAsia="zh-CN"/>
          <w14:textFill>
            <w14:solidFill>
              <w14:schemeClr w14:val="tx1"/>
            </w14:solidFill>
          </w14:textFill>
        </w:rPr>
      </w:pPr>
    </w:p>
    <w:p w14:paraId="549FA91F">
      <w:pPr>
        <w:pStyle w:val="14"/>
        <w:shd w:val="clear"/>
        <w:jc w:val="center"/>
        <w:rPr>
          <w:rFonts w:hint="default" w:ascii="Times New Roman" w:hAnsi="Times New Roman" w:eastAsia="方正小标宋简体" w:cs="Times New Roman"/>
          <w:color w:val="000000" w:themeColor="text1"/>
          <w:sz w:val="72"/>
          <w:szCs w:val="72"/>
          <w:lang w:val="en-US" w:eastAsia="zh-CN"/>
          <w14:textFill>
            <w14:solidFill>
              <w14:schemeClr w14:val="tx1"/>
            </w14:solidFill>
          </w14:textFill>
        </w:rPr>
      </w:pPr>
    </w:p>
    <w:p w14:paraId="3CC0883D">
      <w:pPr>
        <w:pStyle w:val="14"/>
        <w:shd w:val="clear"/>
        <w:jc w:val="center"/>
        <w:rPr>
          <w:rFonts w:ascii="Times New Roman" w:hAnsi="Times New Roman" w:cs="Times New Roman"/>
          <w:color w:val="000000" w:themeColor="text1"/>
          <w14:textFill>
            <w14:solidFill>
              <w14:schemeClr w14:val="tx1"/>
            </w14:solidFill>
          </w14:textFill>
        </w:rPr>
        <w:sectPr>
          <w:footerReference r:id="rId5" w:type="default"/>
          <w:pgSz w:w="11906" w:h="16838"/>
          <w:pgMar w:top="1417" w:right="1588" w:bottom="1417" w:left="1588" w:header="851" w:footer="992" w:gutter="0"/>
          <w:pgNumType w:fmt="numberInDash" w:start="1"/>
          <w:cols w:space="425" w:num="1"/>
          <w:docGrid w:type="lines" w:linePitch="312" w:charSpace="0"/>
        </w:sectPr>
      </w:pPr>
      <w:r>
        <w:rPr>
          <w:rFonts w:hint="default" w:ascii="Times New Roman" w:hAnsi="Times New Roman" w:eastAsia="方正小标宋简体" w:cs="Times New Roman"/>
          <w:color w:val="000000" w:themeColor="text1"/>
          <w:sz w:val="72"/>
          <w:szCs w:val="72"/>
          <w:lang w:val="en-US" w:eastAsia="zh-CN"/>
          <w14:textFill>
            <w14:solidFill>
              <w14:schemeClr w14:val="tx1"/>
            </w14:solidFill>
          </w14:textFill>
        </w:rPr>
        <w:t>（详情见附件）</w:t>
      </w:r>
    </w:p>
    <w:p w14:paraId="4BB91C3E">
      <w:pPr>
        <w:pStyle w:val="14"/>
        <w:jc w:val="center"/>
        <w:rPr>
          <w:rFonts w:ascii="Times New Roman" w:hAnsi="Times New Roman" w:eastAsia="方正小标宋_GBK" w:cs="Times New Roman"/>
          <w:color w:val="000000" w:themeColor="text1"/>
          <w:sz w:val="72"/>
          <w:szCs w:val="72"/>
          <w14:textFill>
            <w14:solidFill>
              <w14:schemeClr w14:val="tx1"/>
            </w14:solidFill>
          </w14:textFill>
        </w:rPr>
      </w:pPr>
    </w:p>
    <w:p w14:paraId="37BD2100">
      <w:pPr>
        <w:pStyle w:val="14"/>
        <w:spacing w:line="360" w:lineRule="auto"/>
        <w:jc w:val="center"/>
        <w:rPr>
          <w:rFonts w:ascii="Times New Roman" w:hAnsi="Times New Roman" w:eastAsia="方正小标宋_GBK" w:cs="Times New Roman"/>
          <w:color w:val="000000" w:themeColor="text1"/>
          <w:sz w:val="44"/>
          <w:szCs w:val="44"/>
          <w14:textFill>
            <w14:solidFill>
              <w14:schemeClr w14:val="tx1"/>
            </w14:solidFill>
          </w14:textFill>
        </w:rPr>
      </w:pPr>
      <w:r>
        <w:rPr>
          <w:rFonts w:ascii="Times New Roman" w:hAnsi="Times New Roman" w:eastAsia="方正小标宋_GBK" w:cs="Times New Roman"/>
          <w:color w:val="000000" w:themeColor="text1"/>
          <w:sz w:val="44"/>
          <w:szCs w:val="44"/>
          <w14:textFill>
            <w14:solidFill>
              <w14:schemeClr w14:val="tx1"/>
            </w14:solidFill>
          </w14:textFill>
        </w:rPr>
        <w:t>第三部分</w:t>
      </w:r>
    </w:p>
    <w:p w14:paraId="3CC647C8">
      <w:pPr>
        <w:pStyle w:val="14"/>
        <w:spacing w:line="360" w:lineRule="auto"/>
        <w:jc w:val="center"/>
        <w:rPr>
          <w:rFonts w:ascii="Times New Roman" w:hAnsi="Times New Roman" w:eastAsia="方正小标宋_GBK" w:cs="Times New Roman"/>
          <w:color w:val="000000" w:themeColor="text1"/>
          <w:sz w:val="44"/>
          <w:szCs w:val="44"/>
          <w14:textFill>
            <w14:solidFill>
              <w14:schemeClr w14:val="tx1"/>
            </w14:solidFill>
          </w14:textFill>
        </w:rPr>
      </w:pPr>
      <w:r>
        <w:rPr>
          <w:rFonts w:ascii="Times New Roman" w:hAnsi="Times New Roman" w:eastAsia="方正小标宋_GBK" w:cs="Times New Roman"/>
          <w:color w:val="000000" w:themeColor="text1"/>
          <w:sz w:val="44"/>
          <w:szCs w:val="44"/>
          <w14:textFill>
            <w14:solidFill>
              <w14:schemeClr w14:val="tx1"/>
            </w14:solidFill>
          </w14:textFill>
        </w:rPr>
        <w:t>202</w:t>
      </w:r>
      <w:r>
        <w:rPr>
          <w:rFonts w:hint="eastAsia" w:ascii="Times New Roman" w:hAnsi="Times New Roman" w:eastAsia="方正小标宋_GBK" w:cs="Times New Roman"/>
          <w:color w:val="000000" w:themeColor="text1"/>
          <w:sz w:val="44"/>
          <w:szCs w:val="44"/>
          <w:lang w:val="en-US" w:eastAsia="zh-CN"/>
          <w14:textFill>
            <w14:solidFill>
              <w14:schemeClr w14:val="tx1"/>
            </w14:solidFill>
          </w14:textFill>
        </w:rPr>
        <w:t>5</w:t>
      </w:r>
      <w:r>
        <w:rPr>
          <w:rFonts w:ascii="Times New Roman" w:hAnsi="Times New Roman" w:eastAsia="方正小标宋_GBK" w:cs="Times New Roman"/>
          <w:color w:val="000000" w:themeColor="text1"/>
          <w:sz w:val="44"/>
          <w:szCs w:val="44"/>
          <w14:textFill>
            <w14:solidFill>
              <w14:schemeClr w14:val="tx1"/>
            </w14:solidFill>
          </w14:textFill>
        </w:rPr>
        <w:t>年度部门决算情况说明</w:t>
      </w:r>
    </w:p>
    <w:p w14:paraId="3696F35B">
      <w:pPr>
        <w:widowControl/>
        <w:jc w:val="left"/>
        <w:rPr>
          <w:rFonts w:ascii="Times New Roman" w:hAnsi="Times New Roman" w:cs="Times New Roman"/>
          <w:color w:val="000000" w:themeColor="text1"/>
          <w:sz w:val="32"/>
          <w:szCs w:val="32"/>
          <w14:textFill>
            <w14:solidFill>
              <w14:schemeClr w14:val="tx1"/>
            </w14:solidFill>
          </w14:textFill>
        </w:rPr>
      </w:pPr>
      <w:r>
        <w:rPr>
          <w:color w:val="000000" w:themeColor="text1"/>
          <w14:textFill>
            <w14:solidFill>
              <w14:schemeClr w14:val="tx1"/>
            </w14:solidFill>
          </w14:textFill>
        </w:rPr>
        <w:br w:type="page"/>
      </w:r>
    </w:p>
    <w:p w14:paraId="1ADDE0CB">
      <w:pPr>
        <w:pStyle w:val="14"/>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一、收入支出决算总体情况说明</w:t>
      </w:r>
    </w:p>
    <w:p w14:paraId="1084408D">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年度收、支总计</w:t>
      </w:r>
      <w:r>
        <w:rPr>
          <w:rFonts w:hint="eastAsia" w:ascii="Times New Roman" w:hAnsi="Times New Roman" w:eastAsia="仿宋_GB2312" w:cs="Times New Roman"/>
          <w:color w:val="000000" w:themeColor="text1"/>
          <w:sz w:val="32"/>
          <w:szCs w:val="32"/>
          <w14:textFill>
            <w14:solidFill>
              <w14:schemeClr w14:val="tx1"/>
            </w14:solidFill>
          </w14:textFill>
        </w:rPr>
        <w:t>366.29</w:t>
      </w:r>
      <w:r>
        <w:rPr>
          <w:rFonts w:ascii="Times New Roman" w:hAnsi="Times New Roman" w:eastAsia="仿宋_GB2312" w:cs="Times New Roman"/>
          <w:color w:val="000000" w:themeColor="text1"/>
          <w:sz w:val="32"/>
          <w:szCs w:val="32"/>
          <w14:textFill>
            <w14:solidFill>
              <w14:schemeClr w14:val="tx1"/>
            </w14:solidFill>
          </w14:textFill>
        </w:rPr>
        <w:t>万元。与上年相比，增加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66.79</w:t>
      </w:r>
      <w:r>
        <w:rPr>
          <w:rFonts w:ascii="Times New Roman" w:hAnsi="Times New Roman" w:eastAsia="仿宋_GB2312" w:cs="Times New Roman"/>
          <w:color w:val="000000" w:themeColor="text1"/>
          <w:sz w:val="32"/>
          <w:szCs w:val="32"/>
          <w14:textFill>
            <w14:solidFill>
              <w14:schemeClr w14:val="tx1"/>
            </w14:solidFill>
          </w14:textFill>
        </w:rPr>
        <w:t>万元，增长</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22.3</w:t>
      </w:r>
      <w:r>
        <w:rPr>
          <w:rFonts w:ascii="Times New Roman" w:hAnsi="Times New Roman" w:eastAsia="仿宋_GB2312" w:cs="Times New Roman"/>
          <w:color w:val="000000" w:themeColor="text1"/>
          <w:sz w:val="32"/>
          <w:szCs w:val="32"/>
          <w14:textFill>
            <w14:solidFill>
              <w14:schemeClr w14:val="tx1"/>
            </w14:solidFill>
          </w14:textFill>
        </w:rPr>
        <w:t>%，主要是因为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基本支出和项目支出较上年增加</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6CD58368">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保工资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保运作</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保基本民生</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等重点支出，体现在有关支出科目中。</w:t>
      </w:r>
    </w:p>
    <w:p w14:paraId="3B53C8CE">
      <w:pPr>
        <w:pStyle w:val="14"/>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二、收入决算情况说明</w:t>
      </w:r>
    </w:p>
    <w:p w14:paraId="12F782A8">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年度收入合计</w:t>
      </w:r>
      <w:r>
        <w:rPr>
          <w:rFonts w:hint="eastAsia" w:ascii="Times New Roman" w:hAnsi="Times New Roman" w:eastAsia="仿宋_GB2312" w:cs="Times New Roman"/>
          <w:color w:val="000000" w:themeColor="text1"/>
          <w:sz w:val="32"/>
          <w:szCs w:val="32"/>
          <w14:textFill>
            <w14:solidFill>
              <w14:schemeClr w14:val="tx1"/>
            </w14:solidFill>
          </w14:textFill>
        </w:rPr>
        <w:t>366.29</w:t>
      </w:r>
      <w:r>
        <w:rPr>
          <w:rFonts w:ascii="Times New Roman" w:hAnsi="Times New Roman" w:eastAsia="仿宋_GB2312" w:cs="Times New Roman"/>
          <w:color w:val="000000" w:themeColor="text1"/>
          <w:sz w:val="32"/>
          <w:szCs w:val="32"/>
          <w14:textFill>
            <w14:solidFill>
              <w14:schemeClr w14:val="tx1"/>
            </w14:solidFill>
          </w14:textFill>
        </w:rPr>
        <w:t>万元，其中：财政拨款收入</w:t>
      </w:r>
      <w:r>
        <w:rPr>
          <w:rFonts w:hint="eastAsia" w:ascii="Times New Roman" w:hAnsi="Times New Roman" w:eastAsia="仿宋_GB2312" w:cs="Times New Roman"/>
          <w:color w:val="000000" w:themeColor="text1"/>
          <w:sz w:val="32"/>
          <w:szCs w:val="32"/>
          <w14:textFill>
            <w14:solidFill>
              <w14:schemeClr w14:val="tx1"/>
            </w14:solidFill>
          </w14:textFill>
        </w:rPr>
        <w:t>366.29</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w:t>
      </w:r>
    </w:p>
    <w:p w14:paraId="4536685F">
      <w:pPr>
        <w:pStyle w:val="14"/>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三、支出决算情况说明</w:t>
      </w:r>
    </w:p>
    <w:p w14:paraId="5676039B">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年度支出合计</w:t>
      </w:r>
      <w:r>
        <w:rPr>
          <w:rFonts w:hint="eastAsia" w:ascii="Times New Roman" w:hAnsi="Times New Roman" w:eastAsia="仿宋_GB2312" w:cs="Times New Roman"/>
          <w:color w:val="000000" w:themeColor="text1"/>
          <w:sz w:val="32"/>
          <w:szCs w:val="32"/>
          <w14:textFill>
            <w14:solidFill>
              <w14:schemeClr w14:val="tx1"/>
            </w14:solidFill>
          </w14:textFill>
        </w:rPr>
        <w:t>366.29</w:t>
      </w:r>
      <w:r>
        <w:rPr>
          <w:rFonts w:ascii="Times New Roman" w:hAnsi="Times New Roman" w:eastAsia="仿宋_GB2312" w:cs="Times New Roman"/>
          <w:color w:val="000000" w:themeColor="text1"/>
          <w:sz w:val="32"/>
          <w:szCs w:val="32"/>
          <w14:textFill>
            <w14:solidFill>
              <w14:schemeClr w14:val="tx1"/>
            </w14:solidFill>
          </w14:textFill>
        </w:rPr>
        <w:t>万元，其中：基本支出</w:t>
      </w:r>
      <w:r>
        <w:rPr>
          <w:rFonts w:hint="eastAsia" w:ascii="Times New Roman" w:hAnsi="Times New Roman" w:eastAsia="仿宋_GB2312" w:cs="Times New Roman"/>
          <w:color w:val="000000" w:themeColor="text1"/>
          <w:sz w:val="32"/>
          <w:szCs w:val="32"/>
          <w14:textFill>
            <w14:solidFill>
              <w14:schemeClr w14:val="tx1"/>
            </w14:solidFill>
          </w14:textFill>
        </w:rPr>
        <w:t>258.9</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70.68</w:t>
      </w:r>
      <w:r>
        <w:rPr>
          <w:rFonts w:ascii="Times New Roman" w:hAnsi="Times New Roman" w:eastAsia="仿宋_GB2312" w:cs="Times New Roman"/>
          <w:color w:val="000000" w:themeColor="text1"/>
          <w:sz w:val="32"/>
          <w:szCs w:val="32"/>
          <w14:textFill>
            <w14:solidFill>
              <w14:schemeClr w14:val="tx1"/>
            </w14:solidFill>
          </w14:textFill>
        </w:rPr>
        <w:t>%；项目支出</w:t>
      </w:r>
      <w:r>
        <w:rPr>
          <w:rFonts w:hint="eastAsia" w:ascii="Times New Roman" w:hAnsi="Times New Roman" w:eastAsia="仿宋_GB2312" w:cs="Times New Roman"/>
          <w:color w:val="000000" w:themeColor="text1"/>
          <w:sz w:val="32"/>
          <w:szCs w:val="32"/>
          <w14:textFill>
            <w14:solidFill>
              <w14:schemeClr w14:val="tx1"/>
            </w14:solidFill>
          </w14:textFill>
        </w:rPr>
        <w:t>107.39</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29.32</w:t>
      </w:r>
      <w:r>
        <w:rPr>
          <w:rFonts w:ascii="Times New Roman" w:hAnsi="Times New Roman" w:eastAsia="仿宋_GB2312" w:cs="Times New Roman"/>
          <w:color w:val="000000" w:themeColor="text1"/>
          <w:sz w:val="32"/>
          <w:szCs w:val="32"/>
          <w14:textFill>
            <w14:solidFill>
              <w14:schemeClr w14:val="tx1"/>
            </w14:solidFill>
          </w14:textFill>
        </w:rPr>
        <w:t>%。</w:t>
      </w:r>
    </w:p>
    <w:p w14:paraId="12BA8DC5">
      <w:pPr>
        <w:pStyle w:val="14"/>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四、财政拨款收入支出决算总体情况说明</w:t>
      </w:r>
    </w:p>
    <w:p w14:paraId="08972C18">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年度财政拨款收、支总计</w:t>
      </w:r>
      <w:r>
        <w:rPr>
          <w:rFonts w:hint="eastAsia" w:ascii="Times New Roman" w:hAnsi="Times New Roman" w:eastAsia="仿宋_GB2312" w:cs="Times New Roman"/>
          <w:color w:val="000000" w:themeColor="text1"/>
          <w:sz w:val="32"/>
          <w:szCs w:val="32"/>
          <w14:textFill>
            <w14:solidFill>
              <w14:schemeClr w14:val="tx1"/>
            </w14:solidFill>
          </w14:textFill>
        </w:rPr>
        <w:t>366.29</w:t>
      </w:r>
      <w:r>
        <w:rPr>
          <w:rFonts w:ascii="Times New Roman" w:hAnsi="Times New Roman" w:eastAsia="仿宋_GB2312" w:cs="Times New Roman"/>
          <w:color w:val="000000" w:themeColor="text1"/>
          <w:sz w:val="32"/>
          <w:szCs w:val="32"/>
          <w14:textFill>
            <w14:solidFill>
              <w14:schemeClr w14:val="tx1"/>
            </w14:solidFill>
          </w14:textFill>
        </w:rPr>
        <w:t>万元，与上年相比，增加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66.79</w:t>
      </w:r>
      <w:r>
        <w:rPr>
          <w:rFonts w:ascii="Times New Roman" w:hAnsi="Times New Roman" w:eastAsia="仿宋_GB2312" w:cs="Times New Roman"/>
          <w:color w:val="000000" w:themeColor="text1"/>
          <w:sz w:val="32"/>
          <w:szCs w:val="32"/>
          <w14:textFill>
            <w14:solidFill>
              <w14:schemeClr w14:val="tx1"/>
            </w14:solidFill>
          </w14:textFill>
        </w:rPr>
        <w:t>万元,增长</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22.3</w:t>
      </w:r>
      <w:r>
        <w:rPr>
          <w:rFonts w:ascii="Times New Roman" w:hAnsi="Times New Roman" w:eastAsia="仿宋_GB2312" w:cs="Times New Roman"/>
          <w:color w:val="000000" w:themeColor="text1"/>
          <w:sz w:val="32"/>
          <w:szCs w:val="32"/>
          <w14:textFill>
            <w14:solidFill>
              <w14:schemeClr w14:val="tx1"/>
            </w14:solidFill>
          </w14:textFill>
        </w:rPr>
        <w:t>%，主要是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基本支出和项目支出收支较上年增加</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109B6ABB">
      <w:pPr>
        <w:pStyle w:val="14"/>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五、一般公共预算财政拨款支出决算情况说明</w:t>
      </w:r>
    </w:p>
    <w:p w14:paraId="55BA05D9">
      <w:pPr>
        <w:pStyle w:val="14"/>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（一）一般公共预算财政拨款支出决算总体情况</w:t>
      </w:r>
    </w:p>
    <w:p w14:paraId="10E0B399">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年度财政拨款支出</w:t>
      </w:r>
      <w:r>
        <w:rPr>
          <w:rFonts w:hint="eastAsia" w:ascii="Times New Roman" w:hAnsi="Times New Roman" w:eastAsia="仿宋_GB2312" w:cs="Times New Roman"/>
          <w:color w:val="000000" w:themeColor="text1"/>
          <w:sz w:val="32"/>
          <w:szCs w:val="32"/>
          <w14:textFill>
            <w14:solidFill>
              <w14:schemeClr w14:val="tx1"/>
            </w14:solidFill>
          </w14:textFill>
        </w:rPr>
        <w:t>366.29</w:t>
      </w:r>
      <w:r>
        <w:rPr>
          <w:rFonts w:ascii="Times New Roman" w:hAnsi="Times New Roman" w:eastAsia="仿宋_GB2312" w:cs="Times New Roman"/>
          <w:color w:val="000000" w:themeColor="text1"/>
          <w:sz w:val="32"/>
          <w:szCs w:val="32"/>
          <w14:textFill>
            <w14:solidFill>
              <w14:schemeClr w14:val="tx1"/>
            </w14:solidFill>
          </w14:textFill>
        </w:rPr>
        <w:t>万元，占本年支出合计的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%，与上年相比，财政拨款支出增加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66.79</w:t>
      </w:r>
      <w:r>
        <w:rPr>
          <w:rFonts w:ascii="Times New Roman" w:hAnsi="Times New Roman" w:eastAsia="仿宋_GB2312" w:cs="Times New Roman"/>
          <w:color w:val="000000" w:themeColor="text1"/>
          <w:sz w:val="32"/>
          <w:szCs w:val="32"/>
          <w14:textFill>
            <w14:solidFill>
              <w14:schemeClr w14:val="tx1"/>
            </w14:solidFill>
          </w14:textFill>
        </w:rPr>
        <w:t>万元，增长</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22.3</w:t>
      </w:r>
      <w:r>
        <w:rPr>
          <w:rFonts w:ascii="Times New Roman" w:hAnsi="Times New Roman" w:eastAsia="仿宋_GB2312" w:cs="Times New Roman"/>
          <w:color w:val="000000" w:themeColor="text1"/>
          <w:sz w:val="32"/>
          <w:szCs w:val="32"/>
          <w14:textFill>
            <w14:solidFill>
              <w14:schemeClr w14:val="tx1"/>
            </w14:solidFill>
          </w14:textFill>
        </w:rPr>
        <w:t>%，主要是因为</w:t>
      </w:r>
      <w:r>
        <w:rPr>
          <w:rFonts w:hint="eastAsia" w:ascii="Times New Roman" w:hAnsi="Times New Roman" w:eastAsia="仿宋_GB2312" w:cs="Times New Roman"/>
          <w:color w:val="000000" w:themeColor="text1"/>
          <w:sz w:val="32"/>
          <w:szCs w:val="32"/>
          <w14:textFill>
            <w14:solidFill>
              <w14:schemeClr w14:val="tx1"/>
            </w14:solidFill>
          </w14:textFill>
        </w:rPr>
        <w:t>工资福利支出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较上年增加37.98万元、对个人和家庭的补助较上年增加9.9万元、商品和服务支出较上年减少0.88万元、项目支出较上年增加19.79万元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31FE6FA3">
      <w:pPr>
        <w:pStyle w:val="14"/>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（二）一般公共预算财政拨款支出决算结构情况</w:t>
      </w:r>
    </w:p>
    <w:p w14:paraId="08EA873B">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2025年</w:t>
      </w:r>
      <w:r>
        <w:rPr>
          <w:rFonts w:ascii="Times New Roman" w:hAnsi="Times New Roman" w:eastAsia="仿宋_GB2312" w:cs="Times New Roman"/>
          <w:color w:val="000000" w:themeColor="text1"/>
          <w:sz w:val="32"/>
          <w:szCs w:val="32"/>
          <w14:textFill>
            <w14:solidFill>
              <w14:schemeClr w14:val="tx1"/>
            </w14:solidFill>
          </w14:textFill>
        </w:rPr>
        <w:t>度财政拨款支出</w:t>
      </w:r>
      <w:r>
        <w:rPr>
          <w:rFonts w:hint="eastAsia" w:ascii="Times New Roman" w:hAnsi="Times New Roman" w:eastAsia="仿宋_GB2312" w:cs="Times New Roman"/>
          <w:color w:val="000000" w:themeColor="text1"/>
          <w:sz w:val="32"/>
          <w:szCs w:val="32"/>
          <w14:textFill>
            <w14:solidFill>
              <w14:schemeClr w14:val="tx1"/>
            </w14:solidFill>
          </w14:textFill>
        </w:rPr>
        <w:t>366.29</w:t>
      </w:r>
      <w:r>
        <w:rPr>
          <w:rFonts w:ascii="Times New Roman" w:hAnsi="Times New Roman" w:eastAsia="仿宋_GB2312" w:cs="Times New Roman"/>
          <w:color w:val="000000" w:themeColor="text1"/>
          <w:sz w:val="32"/>
          <w:szCs w:val="32"/>
          <w14:textFill>
            <w14:solidFill>
              <w14:schemeClr w14:val="tx1"/>
            </w14:solidFill>
          </w14:textFill>
        </w:rPr>
        <w:t>万元，主要用于以下方面：一般公共服务（类）支出</w:t>
      </w:r>
      <w:r>
        <w:rPr>
          <w:rFonts w:hint="eastAsia" w:ascii="Times New Roman" w:hAnsi="Times New Roman" w:eastAsia="仿宋_GB2312" w:cs="Times New Roman"/>
          <w:color w:val="000000" w:themeColor="text1"/>
          <w:sz w:val="32"/>
          <w:szCs w:val="32"/>
          <w14:textFill>
            <w14:solidFill>
              <w14:schemeClr w14:val="tx1"/>
            </w14:solidFill>
          </w14:textFill>
        </w:rPr>
        <w:t>22.56</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6.16</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资源勘探工业信息等支出</w:t>
      </w:r>
      <w:r>
        <w:rPr>
          <w:rFonts w:ascii="Times New Roman" w:hAnsi="Times New Roman" w:eastAsia="仿宋_GB2312" w:cs="Times New Roman"/>
          <w:color w:val="000000" w:themeColor="text1"/>
          <w:sz w:val="32"/>
          <w:szCs w:val="32"/>
          <w14:textFill>
            <w14:solidFill>
              <w14:schemeClr w14:val="tx1"/>
            </w14:solidFill>
          </w14:textFill>
        </w:rPr>
        <w:t>（类）支出</w:t>
      </w:r>
      <w:r>
        <w:rPr>
          <w:rFonts w:hint="eastAsia" w:ascii="Times New Roman" w:hAnsi="Times New Roman" w:eastAsia="仿宋_GB2312" w:cs="Times New Roman"/>
          <w:color w:val="000000" w:themeColor="text1"/>
          <w:sz w:val="32"/>
          <w:szCs w:val="32"/>
          <w14:textFill>
            <w14:solidFill>
              <w14:schemeClr w14:val="tx1"/>
            </w14:solidFill>
          </w14:textFill>
        </w:rPr>
        <w:t>310.52</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84.77</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社会保障和就业支出</w:t>
      </w:r>
      <w:r>
        <w:rPr>
          <w:rFonts w:ascii="Times New Roman" w:hAnsi="Times New Roman" w:eastAsia="仿宋_GB2312" w:cs="Times New Roman"/>
          <w:color w:val="000000" w:themeColor="text1"/>
          <w:sz w:val="32"/>
          <w:szCs w:val="32"/>
          <w14:textFill>
            <w14:solidFill>
              <w14:schemeClr w14:val="tx1"/>
            </w14:solidFill>
          </w14:textFill>
        </w:rPr>
        <w:t>（类）支出</w:t>
      </w:r>
      <w:r>
        <w:rPr>
          <w:rFonts w:hint="eastAsia" w:ascii="Times New Roman" w:hAnsi="Times New Roman" w:eastAsia="仿宋_GB2312" w:cs="Times New Roman"/>
          <w:color w:val="000000" w:themeColor="text1"/>
          <w:sz w:val="32"/>
          <w:szCs w:val="32"/>
          <w14:textFill>
            <w14:solidFill>
              <w14:schemeClr w14:val="tx1"/>
            </w14:solidFill>
          </w14:textFill>
        </w:rPr>
        <w:t>22.31</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6.09</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卫生健康支出</w:t>
      </w:r>
      <w:r>
        <w:rPr>
          <w:rFonts w:ascii="Times New Roman" w:hAnsi="Times New Roman" w:eastAsia="仿宋_GB2312" w:cs="Times New Roman"/>
          <w:color w:val="000000" w:themeColor="text1"/>
          <w:sz w:val="32"/>
          <w:szCs w:val="32"/>
          <w14:textFill>
            <w14:solidFill>
              <w14:schemeClr w14:val="tx1"/>
            </w14:solidFill>
          </w14:textFill>
        </w:rPr>
        <w:t>（类）支出</w:t>
      </w:r>
      <w:r>
        <w:rPr>
          <w:rFonts w:hint="eastAsia" w:ascii="Times New Roman" w:hAnsi="Times New Roman" w:eastAsia="仿宋_GB2312" w:cs="Times New Roman"/>
          <w:color w:val="000000" w:themeColor="text1"/>
          <w:sz w:val="32"/>
          <w:szCs w:val="32"/>
          <w14:textFill>
            <w14:solidFill>
              <w14:schemeClr w14:val="tx1"/>
            </w14:solidFill>
          </w14:textFill>
        </w:rPr>
        <w:t>8.1</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2.21</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住房保障支出</w:t>
      </w:r>
      <w:r>
        <w:rPr>
          <w:rFonts w:ascii="Times New Roman" w:hAnsi="Times New Roman" w:eastAsia="仿宋_GB2312" w:cs="Times New Roman"/>
          <w:color w:val="000000" w:themeColor="text1"/>
          <w:sz w:val="32"/>
          <w:szCs w:val="32"/>
          <w14:textFill>
            <w14:solidFill>
              <w14:schemeClr w14:val="tx1"/>
            </w14:solidFill>
          </w14:textFill>
        </w:rPr>
        <w:t>（类）支出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2.8</w:t>
      </w:r>
      <w:r>
        <w:rPr>
          <w:rFonts w:ascii="Times New Roman" w:hAnsi="Times New Roman" w:eastAsia="仿宋_GB2312" w:cs="Times New Roman"/>
          <w:color w:val="000000" w:themeColor="text1"/>
          <w:sz w:val="32"/>
          <w:szCs w:val="32"/>
          <w14:textFill>
            <w14:solidFill>
              <w14:schemeClr w14:val="tx1"/>
            </w14:solidFill>
          </w14:textFill>
        </w:rPr>
        <w:t>万元，占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0.77</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756351BB">
      <w:pPr>
        <w:pStyle w:val="14"/>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（三）一般公共预算财政拨款支出决算具体情况</w:t>
      </w:r>
    </w:p>
    <w:p w14:paraId="05128B5D">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年度财政拨款支出年初预算数为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217.19</w:t>
      </w:r>
      <w:r>
        <w:rPr>
          <w:rFonts w:ascii="Times New Roman" w:hAnsi="Times New Roman" w:eastAsia="仿宋_GB2312" w:cs="Times New Roman"/>
          <w:color w:val="000000" w:themeColor="text1"/>
          <w:sz w:val="32"/>
          <w:szCs w:val="32"/>
          <w14:textFill>
            <w14:solidFill>
              <w14:schemeClr w14:val="tx1"/>
            </w14:solidFill>
          </w14:textFill>
        </w:rPr>
        <w:t>万元，支出决算数为</w:t>
      </w:r>
      <w:r>
        <w:rPr>
          <w:rFonts w:hint="eastAsia" w:ascii="Times New Roman" w:hAnsi="Times New Roman" w:eastAsia="仿宋_GB2312" w:cs="Times New Roman"/>
          <w:color w:val="000000" w:themeColor="text1"/>
          <w:sz w:val="32"/>
          <w:szCs w:val="32"/>
          <w14:textFill>
            <w14:solidFill>
              <w14:schemeClr w14:val="tx1"/>
            </w14:solidFill>
          </w14:textFill>
        </w:rPr>
        <w:t>366.29</w:t>
      </w:r>
      <w:r>
        <w:rPr>
          <w:rFonts w:ascii="Times New Roman" w:hAnsi="Times New Roman" w:eastAsia="仿宋_GB2312" w:cs="Times New Roman"/>
          <w:color w:val="000000" w:themeColor="text1"/>
          <w:sz w:val="32"/>
          <w:szCs w:val="32"/>
          <w14:textFill>
            <w14:solidFill>
              <w14:schemeClr w14:val="tx1"/>
            </w14:solidFill>
          </w14:textFill>
        </w:rPr>
        <w:t>万元，完成年初预算的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168.65</w:t>
      </w:r>
      <w:r>
        <w:rPr>
          <w:rFonts w:ascii="Times New Roman" w:hAnsi="Times New Roman" w:eastAsia="仿宋_GB2312" w:cs="Times New Roman"/>
          <w:color w:val="000000" w:themeColor="text1"/>
          <w:sz w:val="32"/>
          <w:szCs w:val="32"/>
          <w14:textFill>
            <w14:solidFill>
              <w14:schemeClr w14:val="tx1"/>
            </w14:solidFill>
          </w14:textFill>
        </w:rPr>
        <w:t>%，其中：</w:t>
      </w:r>
    </w:p>
    <w:p w14:paraId="5002E94D">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1、一般公共服务（类）</w:t>
      </w:r>
      <w:r>
        <w:rPr>
          <w:rFonts w:hint="eastAsia" w:ascii="Times New Roman" w:hAnsi="Times New Roman" w:eastAsia="仿宋_GB2312" w:cs="Times New Roman"/>
          <w:color w:val="000000" w:themeColor="text1"/>
          <w:sz w:val="32"/>
          <w:szCs w:val="32"/>
          <w14:textFill>
            <w14:solidFill>
              <w14:schemeClr w14:val="tx1"/>
            </w14:solidFill>
          </w14:textFill>
        </w:rPr>
        <w:t>其他一般公共服务支出</w:t>
      </w:r>
      <w:r>
        <w:rPr>
          <w:rFonts w:ascii="Times New Roman" w:hAnsi="Times New Roman" w:eastAsia="仿宋_GB2312" w:cs="Times New Roman"/>
          <w:color w:val="000000" w:themeColor="text1"/>
          <w:sz w:val="32"/>
          <w:szCs w:val="32"/>
          <w14:textFill>
            <w14:solidFill>
              <w14:schemeClr w14:val="tx1"/>
            </w14:solidFill>
          </w14:textFill>
        </w:rPr>
        <w:t>（款）</w:t>
      </w:r>
      <w:r>
        <w:rPr>
          <w:rFonts w:hint="eastAsia" w:ascii="Times New Roman" w:hAnsi="Times New Roman" w:eastAsia="仿宋_GB2312" w:cs="Times New Roman"/>
          <w:color w:val="000000" w:themeColor="text1"/>
          <w:sz w:val="32"/>
          <w:szCs w:val="32"/>
          <w14:textFill>
            <w14:solidFill>
              <w14:schemeClr w14:val="tx1"/>
            </w14:solidFill>
          </w14:textFill>
        </w:rPr>
        <w:t>其他一般公共服务支出</w:t>
      </w:r>
      <w:r>
        <w:rPr>
          <w:rFonts w:ascii="Times New Roman" w:hAnsi="Times New Roman" w:eastAsia="仿宋_GB2312" w:cs="Times New Roman"/>
          <w:color w:val="000000" w:themeColor="text1"/>
          <w:sz w:val="32"/>
          <w:szCs w:val="32"/>
          <w14:textFill>
            <w14:solidFill>
              <w14:schemeClr w14:val="tx1"/>
            </w14:solidFill>
          </w14:textFill>
        </w:rPr>
        <w:t>（项）。</w:t>
      </w:r>
    </w:p>
    <w:p w14:paraId="693AD115">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14:textFill>
            <w14:solidFill>
              <w14:schemeClr w14:val="tx1"/>
            </w14:solidFill>
          </w14:textFill>
        </w:rPr>
        <w:t>22.56</w:t>
      </w:r>
      <w:r>
        <w:rPr>
          <w:rFonts w:ascii="Times New Roman" w:hAnsi="Times New Roman" w:eastAsia="仿宋_GB2312" w:cs="Times New Roman"/>
          <w:color w:val="000000" w:themeColor="text1"/>
          <w:sz w:val="32"/>
          <w:szCs w:val="32"/>
          <w14:textFill>
            <w14:solidFill>
              <w14:schemeClr w14:val="tx1"/>
            </w14:solidFill>
          </w14:textFill>
        </w:rPr>
        <w:t>万元，决算数大于年初预算数的主要原因是：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财政统一发放工资功能科目调整。</w:t>
      </w:r>
    </w:p>
    <w:p w14:paraId="350127DB">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社会保障和就业支出（类）行政事业单位养老支出（款）行政单位离退休（项）</w:t>
      </w:r>
    </w:p>
    <w:p w14:paraId="366312EB">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14:textFill>
            <w14:solidFill>
              <w14:schemeClr w14:val="tx1"/>
            </w14:solidFill>
          </w14:textFill>
        </w:rPr>
        <w:t>19.04</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14:textFill>
            <w14:solidFill>
              <w14:schemeClr w14:val="tx1"/>
            </w14:solidFill>
          </w14:textFill>
        </w:rPr>
        <w:t>22.31</w:t>
      </w:r>
      <w:r>
        <w:rPr>
          <w:rFonts w:ascii="Times New Roman" w:hAnsi="Times New Roman" w:eastAsia="仿宋_GB2312" w:cs="Times New Roman"/>
          <w:color w:val="000000" w:themeColor="text1"/>
          <w:sz w:val="32"/>
          <w:szCs w:val="32"/>
          <w14:textFill>
            <w14:solidFill>
              <w14:schemeClr w14:val="tx1"/>
            </w14:solidFill>
          </w14:textFill>
        </w:rPr>
        <w:t>万元，完成年初预算的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117.17</w:t>
      </w:r>
      <w:r>
        <w:rPr>
          <w:rFonts w:ascii="Times New Roman" w:hAnsi="Times New Roman" w:eastAsia="仿宋_GB2312" w:cs="Times New Roman"/>
          <w:color w:val="000000" w:themeColor="text1"/>
          <w:sz w:val="32"/>
          <w:szCs w:val="32"/>
          <w14:textFill>
            <w14:solidFill>
              <w14:schemeClr w14:val="tx1"/>
            </w14:solidFill>
          </w14:textFill>
        </w:rPr>
        <w:t>%，决算数大于年初预算数的主要原因是：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用于缴纳在职人员基本养老保险缴费及发放奖金等追加的养老保险缴费单位部分</w:t>
      </w:r>
      <w:r>
        <w:rPr>
          <w:rFonts w:hint="eastAsia" w:ascii="Times New Roman" w:hAnsi="Times New Roman" w:eastAsia="楷体_GB2312" w:cs="Times New Roman"/>
          <w:b/>
          <w:bCs/>
          <w:i/>
          <w:color w:val="000000" w:themeColor="text1"/>
          <w:sz w:val="32"/>
          <w:szCs w:val="32"/>
          <w:lang w:eastAsia="zh-CN"/>
          <w14:textFill>
            <w14:solidFill>
              <w14:schemeClr w14:val="tx1"/>
            </w14:solidFill>
          </w14:textFill>
        </w:rPr>
        <w:t>。</w:t>
      </w:r>
    </w:p>
    <w:p w14:paraId="482EEAB4">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卫生健康支出（类）行政事业单位医疗（款）行政单位医疗（项）</w:t>
      </w:r>
    </w:p>
    <w:p w14:paraId="45A7C296">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0.29</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决算数大于预算数的主要原因的用于职工基本医疗保险缴费。</w:t>
      </w:r>
    </w:p>
    <w:p w14:paraId="1FF2301E">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卫生健康支出（类）行政事业单位医疗（款）事业单位医疗（项）</w:t>
      </w:r>
    </w:p>
    <w:p w14:paraId="22C483AB">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7.43</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7.8</w:t>
      </w:r>
      <w:r>
        <w:rPr>
          <w:rFonts w:ascii="Times New Roman" w:hAnsi="Times New Roman" w:eastAsia="仿宋_GB2312" w:cs="Times New Roman"/>
          <w:color w:val="000000" w:themeColor="text1"/>
          <w:sz w:val="32"/>
          <w:szCs w:val="32"/>
          <w14:textFill>
            <w14:solidFill>
              <w14:schemeClr w14:val="tx1"/>
            </w14:solidFill>
          </w14:textFill>
        </w:rPr>
        <w:t>万元，完成年初预算的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104.98</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决算数与预算数基本持平，用于在职人员基本医疗保险缴费。</w:t>
      </w:r>
    </w:p>
    <w:p w14:paraId="1BB4E76F">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5、资源勘探工业信息等支出（类）工业和信息产业监管（款）行政运行（项）</w:t>
      </w:r>
    </w:p>
    <w:p w14:paraId="30F90596">
      <w:pPr>
        <w:pStyle w:val="14"/>
        <w:keepNext w:val="0"/>
        <w:keepLines w:val="0"/>
        <w:pageBreakBefore w:val="0"/>
        <w:widowControl w:val="0"/>
        <w:kinsoku/>
        <w:wordWrap/>
        <w:overflowPunct w:val="0"/>
        <w:topLinePunct w:val="0"/>
        <w:autoSpaceDE/>
        <w:autoSpaceDN/>
        <w:bidi w:val="0"/>
        <w:adjustRightInd w:val="0"/>
        <w:snapToGrid/>
        <w:spacing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190.12</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201.19</w:t>
      </w:r>
      <w:r>
        <w:rPr>
          <w:rFonts w:ascii="Times New Roman" w:hAnsi="Times New Roman" w:eastAsia="仿宋_GB2312" w:cs="Times New Roman"/>
          <w:color w:val="000000" w:themeColor="text1"/>
          <w:sz w:val="32"/>
          <w:szCs w:val="32"/>
          <w14:textFill>
            <w14:solidFill>
              <w14:schemeClr w14:val="tx1"/>
            </w14:solidFill>
          </w14:textFill>
        </w:rPr>
        <w:t>万元，完成年初预算的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105.81</w:t>
      </w:r>
      <w:r>
        <w:rPr>
          <w:rFonts w:ascii="Times New Roman" w:hAnsi="Times New Roman" w:eastAsia="仿宋_GB2312" w:cs="Times New Roman"/>
          <w:color w:val="000000" w:themeColor="text1"/>
          <w:sz w:val="32"/>
          <w:szCs w:val="32"/>
          <w14:textFill>
            <w14:solidFill>
              <w14:schemeClr w14:val="tx1"/>
            </w14:solidFill>
          </w14:textFill>
        </w:rPr>
        <w:t>%，决算数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与</w:t>
      </w:r>
      <w:r>
        <w:rPr>
          <w:rFonts w:ascii="Times New Roman" w:hAnsi="Times New Roman" w:eastAsia="仿宋_GB2312" w:cs="Times New Roman"/>
          <w:color w:val="000000" w:themeColor="text1"/>
          <w:sz w:val="32"/>
          <w:szCs w:val="32"/>
          <w14:textFill>
            <w14:solidFill>
              <w14:schemeClr w14:val="tx1"/>
            </w14:solidFill>
          </w14:textFill>
        </w:rPr>
        <w:t>年初预算数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基本持平，主要用于</w:t>
      </w:r>
      <w:r>
        <w:rPr>
          <w:rFonts w:hint="eastAsia" w:ascii="Times New Roman" w:hAnsi="Times New Roman" w:eastAsia="仿宋_GB2312" w:cs="Times New Roman"/>
          <w:color w:val="000000" w:themeColor="text1"/>
          <w:sz w:val="32"/>
          <w:szCs w:val="32"/>
          <w14:textFill>
            <w14:solidFill>
              <w14:schemeClr w14:val="tx1"/>
            </w14:solidFill>
          </w14:textFill>
        </w:rPr>
        <w:t>工资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奖金</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财政配套公积金、伙食补助费及基本养老保险缴费等支出。</w:t>
      </w:r>
    </w:p>
    <w:p w14:paraId="010915E1">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6、资源勘探工业信息等支出（类）工业和信息产业（款）无线电及信息通信监管（项）</w:t>
      </w:r>
    </w:p>
    <w:p w14:paraId="53F5B246">
      <w:pPr>
        <w:pStyle w:val="14"/>
        <w:keepNext w:val="0"/>
        <w:keepLines w:val="0"/>
        <w:pageBreakBefore w:val="0"/>
        <w:widowControl w:val="0"/>
        <w:kinsoku/>
        <w:wordWrap/>
        <w:overflowPunct w:val="0"/>
        <w:topLinePunct w:val="0"/>
        <w:autoSpaceDE/>
        <w:autoSpaceDN/>
        <w:bidi w:val="0"/>
        <w:adjustRightInd w:val="0"/>
        <w:snapToGrid/>
        <w:spacing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107.39</w:t>
      </w:r>
      <w:r>
        <w:rPr>
          <w:rFonts w:ascii="Times New Roman" w:hAnsi="Times New Roman" w:eastAsia="仿宋_GB2312" w:cs="Times New Roman"/>
          <w:color w:val="000000" w:themeColor="text1"/>
          <w:sz w:val="32"/>
          <w:szCs w:val="32"/>
          <w14:textFill>
            <w14:solidFill>
              <w14:schemeClr w14:val="tx1"/>
            </w14:solidFill>
          </w14:textFill>
        </w:rPr>
        <w:t>万元，决算数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大于</w:t>
      </w:r>
      <w:r>
        <w:rPr>
          <w:rFonts w:ascii="Times New Roman" w:hAnsi="Times New Roman" w:eastAsia="仿宋_GB2312" w:cs="Times New Roman"/>
          <w:color w:val="000000" w:themeColor="text1"/>
          <w:sz w:val="32"/>
          <w:szCs w:val="32"/>
          <w14:textFill>
            <w14:solidFill>
              <w14:schemeClr w14:val="tx1"/>
            </w14:solidFill>
          </w14:textFill>
        </w:rPr>
        <w:t>年初预算数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的主要原因是追加项目支出：2025年中央无线电管理经费预算。</w:t>
      </w:r>
    </w:p>
    <w:p w14:paraId="2165DE65">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7、资源勘探工业信息等支出（类）资源勘探开发（款）行政运行（项）</w:t>
      </w:r>
    </w:p>
    <w:p w14:paraId="45E71AD2">
      <w:pPr>
        <w:pStyle w:val="14"/>
        <w:keepNext w:val="0"/>
        <w:keepLines w:val="0"/>
        <w:pageBreakBefore w:val="0"/>
        <w:widowControl w:val="0"/>
        <w:kinsoku/>
        <w:wordWrap/>
        <w:overflowPunct w:val="0"/>
        <w:topLinePunct w:val="0"/>
        <w:autoSpaceDE/>
        <w:autoSpaceDN/>
        <w:bidi w:val="0"/>
        <w:adjustRightInd w:val="0"/>
        <w:snapToGrid/>
        <w:spacing w:line="580" w:lineRule="exact"/>
        <w:ind w:firstLine="640" w:firstLineChars="200"/>
        <w:jc w:val="both"/>
        <w:textAlignment w:val="auto"/>
        <w:rPr>
          <w:rFonts w:hint="eastAsia" w:ascii="Times New Roman" w:hAnsi="Times New Roman" w:eastAsia="仿宋_GB2312" w:cs="Times New Roman"/>
          <w:color w:val="000000" w:themeColor="text1"/>
          <w:spacing w:val="-1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0.6</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1.95</w:t>
      </w:r>
      <w:r>
        <w:rPr>
          <w:rFonts w:ascii="Times New Roman" w:hAnsi="Times New Roman" w:eastAsia="仿宋_GB2312" w:cs="Times New Roman"/>
          <w:color w:val="000000" w:themeColor="text1"/>
          <w:sz w:val="32"/>
          <w:szCs w:val="32"/>
          <w14:textFill>
            <w14:solidFill>
              <w14:schemeClr w14:val="tx1"/>
            </w14:solidFill>
          </w14:textFill>
        </w:rPr>
        <w:t>万元，完成年初预</w:t>
      </w:r>
      <w:r>
        <w:rPr>
          <w:rFonts w:ascii="Times New Roman" w:hAnsi="Times New Roman" w:eastAsia="仿宋_GB2312" w:cs="Times New Roman"/>
          <w:color w:val="000000" w:themeColor="text1"/>
          <w:spacing w:val="-11"/>
          <w:sz w:val="32"/>
          <w:szCs w:val="32"/>
          <w14:textFill>
            <w14:solidFill>
              <w14:schemeClr w14:val="tx1"/>
            </w14:solidFill>
          </w14:textFill>
        </w:rPr>
        <w:t>算的</w:t>
      </w:r>
      <w:r>
        <w:rPr>
          <w:rFonts w:hint="eastAsia" w:ascii="Times New Roman" w:hAnsi="Times New Roman" w:eastAsia="仿宋_GB2312" w:cs="Times New Roman"/>
          <w:color w:val="000000" w:themeColor="text1"/>
          <w:spacing w:val="-11"/>
          <w:sz w:val="32"/>
          <w:szCs w:val="32"/>
          <w:lang w:val="en-US" w:eastAsia="zh-CN"/>
          <w14:textFill>
            <w14:solidFill>
              <w14:schemeClr w14:val="tx1"/>
            </w14:solidFill>
          </w14:textFill>
        </w:rPr>
        <w:t>325</w:t>
      </w:r>
      <w:r>
        <w:rPr>
          <w:rFonts w:ascii="Times New Roman" w:hAnsi="Times New Roman" w:eastAsia="仿宋_GB2312" w:cs="Times New Roman"/>
          <w:color w:val="000000" w:themeColor="text1"/>
          <w:spacing w:val="-11"/>
          <w:sz w:val="32"/>
          <w:szCs w:val="32"/>
          <w14:textFill>
            <w14:solidFill>
              <w14:schemeClr w14:val="tx1"/>
            </w14:solidFill>
          </w14:textFill>
        </w:rPr>
        <w:t>%，决算数</w:t>
      </w:r>
      <w:r>
        <w:rPr>
          <w:rFonts w:hint="eastAsia" w:ascii="Times New Roman" w:hAnsi="Times New Roman" w:eastAsia="仿宋_GB2312" w:cs="Times New Roman"/>
          <w:color w:val="000000" w:themeColor="text1"/>
          <w:spacing w:val="-11"/>
          <w:sz w:val="32"/>
          <w:szCs w:val="32"/>
          <w:lang w:val="en-US" w:eastAsia="zh-CN"/>
          <w14:textFill>
            <w14:solidFill>
              <w14:schemeClr w14:val="tx1"/>
            </w14:solidFill>
          </w14:textFill>
        </w:rPr>
        <w:t>大于</w:t>
      </w:r>
      <w:r>
        <w:rPr>
          <w:rFonts w:ascii="Times New Roman" w:hAnsi="Times New Roman" w:eastAsia="仿宋_GB2312" w:cs="Times New Roman"/>
          <w:color w:val="000000" w:themeColor="text1"/>
          <w:spacing w:val="-11"/>
          <w:sz w:val="32"/>
          <w:szCs w:val="32"/>
          <w14:textFill>
            <w14:solidFill>
              <w14:schemeClr w14:val="tx1"/>
            </w14:solidFill>
          </w14:textFill>
        </w:rPr>
        <w:t>年初预算数</w:t>
      </w:r>
      <w:r>
        <w:rPr>
          <w:rFonts w:hint="eastAsia" w:ascii="Times New Roman" w:hAnsi="Times New Roman" w:eastAsia="仿宋_GB2312" w:cs="Times New Roman"/>
          <w:color w:val="000000" w:themeColor="text1"/>
          <w:spacing w:val="-11"/>
          <w:sz w:val="32"/>
          <w:szCs w:val="32"/>
          <w:lang w:val="en-US" w:eastAsia="zh-CN"/>
          <w14:textFill>
            <w14:solidFill>
              <w14:schemeClr w14:val="tx1"/>
            </w14:solidFill>
          </w14:textFill>
        </w:rPr>
        <w:t>的主要原因是追加配套公积金。</w:t>
      </w:r>
    </w:p>
    <w:p w14:paraId="6B7A1520">
      <w:pPr>
        <w:pStyle w:val="14"/>
        <w:numPr>
          <w:ilvl w:val="0"/>
          <w:numId w:val="0"/>
        </w:numPr>
        <w:overflowPunct w:val="0"/>
        <w:autoSpaceDE/>
        <w:autoSpaceDN/>
        <w:spacing w:line="600" w:lineRule="exact"/>
        <w:ind w:firstLine="320" w:firstLineChars="1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8、住房保障支出（类）住房改革支出（款）住房公积金（项）</w:t>
      </w:r>
    </w:p>
    <w:p w14:paraId="1F514235">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2.8</w:t>
      </w:r>
      <w:r>
        <w:rPr>
          <w:rFonts w:ascii="Times New Roman" w:hAnsi="Times New Roman" w:eastAsia="仿宋_GB2312" w:cs="Times New Roman"/>
          <w:color w:val="000000" w:themeColor="text1"/>
          <w:sz w:val="32"/>
          <w:szCs w:val="32"/>
          <w14:textFill>
            <w14:solidFill>
              <w14:schemeClr w14:val="tx1"/>
            </w14:solidFill>
          </w14:textFill>
        </w:rPr>
        <w:t>万元，决算数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大于</w:t>
      </w:r>
      <w:r>
        <w:rPr>
          <w:rFonts w:ascii="Times New Roman" w:hAnsi="Times New Roman" w:eastAsia="仿宋_GB2312" w:cs="Times New Roman"/>
          <w:color w:val="000000" w:themeColor="text1"/>
          <w:sz w:val="32"/>
          <w:szCs w:val="32"/>
          <w14:textFill>
            <w14:solidFill>
              <w14:schemeClr w14:val="tx1"/>
            </w14:solidFill>
          </w14:textFill>
        </w:rPr>
        <w:t>年初预算数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的主要原因是：追加财政配套公积金。</w:t>
      </w:r>
    </w:p>
    <w:p w14:paraId="554A7A21">
      <w:pPr>
        <w:pStyle w:val="14"/>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按照支出功能分类，</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资源勘探工业信息等支出</w:t>
      </w:r>
      <w:r>
        <w:rPr>
          <w:rFonts w:hint="eastAsia" w:ascii="Times New Roman" w:hAnsi="Times New Roman" w:eastAsia="仿宋_GB2312" w:cs="Times New Roman"/>
          <w:color w:val="000000" w:themeColor="text1"/>
          <w:sz w:val="32"/>
          <w:szCs w:val="32"/>
          <w14:textFill>
            <w14:solidFill>
              <w14:schemeClr w14:val="tx1"/>
            </w14:solidFill>
          </w14:textFill>
        </w:rPr>
        <w:t>规模较大，2025年度决算数为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310.53</w:t>
      </w:r>
      <w:r>
        <w:rPr>
          <w:rFonts w:hint="eastAsia" w:ascii="Times New Roman" w:hAnsi="Times New Roman" w:eastAsia="仿宋_GB2312" w:cs="Times New Roman"/>
          <w:color w:val="000000" w:themeColor="text1"/>
          <w:sz w:val="32"/>
          <w:szCs w:val="32"/>
          <w14:textFill>
            <w14:solidFill>
              <w14:schemeClr w14:val="tx1"/>
            </w14:solidFill>
          </w14:textFill>
        </w:rPr>
        <w:t>万元，占财政拨款支出总额的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84.78</w:t>
      </w:r>
      <w:r>
        <w:rPr>
          <w:rFonts w:hint="eastAsia" w:ascii="Times New Roman" w:hAnsi="Times New Roman" w:eastAsia="仿宋_GB2312" w:cs="Times New Roman"/>
          <w:color w:val="000000" w:themeColor="text1"/>
          <w:sz w:val="32"/>
          <w:szCs w:val="32"/>
          <w14:textFill>
            <w14:solidFill>
              <w14:schemeClr w14:val="tx1"/>
            </w14:solidFill>
          </w14:textFill>
        </w:rPr>
        <w:t>%，主要用于工资福利支出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财政配套公积金和2025年中央无线电管理经费预算</w:t>
      </w:r>
      <w:r>
        <w:rPr>
          <w:rFonts w:hint="eastAsia" w:ascii="Times New Roman" w:hAnsi="Times New Roman" w:eastAsia="仿宋_GB2312" w:cs="Times New Roman"/>
          <w:color w:val="000000" w:themeColor="text1"/>
          <w:sz w:val="32"/>
          <w:szCs w:val="32"/>
          <w14:textFill>
            <w14:solidFill>
              <w14:schemeClr w14:val="tx1"/>
            </w14:solidFill>
          </w14:textFill>
        </w:rPr>
        <w:t>项目</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支出。</w:t>
      </w:r>
    </w:p>
    <w:p w14:paraId="46F6BFBB">
      <w:pPr>
        <w:pStyle w:val="14"/>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六、一般公共预算财政拨款基本支出决算情况说明</w:t>
      </w:r>
    </w:p>
    <w:p w14:paraId="182F9BC2">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年度一般公共预算财政拨款基本支出</w:t>
      </w:r>
      <w:r>
        <w:rPr>
          <w:rFonts w:hint="eastAsia" w:ascii="Times New Roman" w:hAnsi="Times New Roman" w:eastAsia="仿宋_GB2312" w:cs="Times New Roman"/>
          <w:color w:val="000000" w:themeColor="text1"/>
          <w:sz w:val="32"/>
          <w:szCs w:val="32"/>
          <w14:textFill>
            <w14:solidFill>
              <w14:schemeClr w14:val="tx1"/>
            </w14:solidFill>
          </w14:textFill>
        </w:rPr>
        <w:t>258.9</w:t>
      </w:r>
      <w:r>
        <w:rPr>
          <w:rFonts w:ascii="Times New Roman" w:hAnsi="Times New Roman" w:eastAsia="仿宋_GB2312" w:cs="Times New Roman"/>
          <w:color w:val="000000" w:themeColor="text1"/>
          <w:sz w:val="32"/>
          <w:szCs w:val="32"/>
          <w14:textFill>
            <w14:solidFill>
              <w14:schemeClr w14:val="tx1"/>
            </w14:solidFill>
          </w14:textFill>
        </w:rPr>
        <w:t>万元，其中：</w:t>
      </w:r>
    </w:p>
    <w:p w14:paraId="2CEDBB62">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bCs/>
          <w:color w:val="000000" w:themeColor="text1"/>
          <w:sz w:val="32"/>
          <w:szCs w:val="32"/>
          <w14:textFill>
            <w14:solidFill>
              <w14:schemeClr w14:val="tx1"/>
            </w14:solidFill>
          </w14:textFill>
        </w:rPr>
        <w:t>人员经费</w:t>
      </w:r>
      <w:r>
        <w:rPr>
          <w:rFonts w:hint="eastAsia" w:ascii="Times New Roman" w:hAnsi="Times New Roman" w:eastAsia="仿宋_GB2312" w:cs="Times New Roman"/>
          <w:color w:val="000000" w:themeColor="text1"/>
          <w:sz w:val="32"/>
          <w:szCs w:val="32"/>
          <w14:textFill>
            <w14:solidFill>
              <w14:schemeClr w14:val="tx1"/>
            </w14:solidFill>
          </w14:textFill>
        </w:rPr>
        <w:t>246.37</w:t>
      </w:r>
      <w:r>
        <w:rPr>
          <w:rFonts w:ascii="Times New Roman" w:hAnsi="Times New Roman" w:eastAsia="仿宋_GB2312" w:cs="Times New Roman"/>
          <w:color w:val="000000" w:themeColor="text1"/>
          <w:sz w:val="32"/>
          <w:szCs w:val="32"/>
          <w14:textFill>
            <w14:solidFill>
              <w14:schemeClr w14:val="tx1"/>
            </w14:solidFill>
          </w14:textFill>
        </w:rPr>
        <w:t>万元，占基本支出的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95.16</w:t>
      </w:r>
      <w:r>
        <w:rPr>
          <w:rFonts w:ascii="Times New Roman" w:hAnsi="Times New Roman" w:eastAsia="仿宋_GB2312" w:cs="Times New Roman"/>
          <w:color w:val="000000" w:themeColor="text1"/>
          <w:sz w:val="32"/>
          <w:szCs w:val="32"/>
          <w14:textFill>
            <w14:solidFill>
              <w14:schemeClr w14:val="tx1"/>
            </w14:solidFill>
          </w14:textFill>
        </w:rPr>
        <w:t>%,主要包括基本工资、津贴补贴、奖金、伙食补助费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、机关事业单位基本养老保险缴费、职工基本医疗保险缴费、住房公积金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及退休人员一次性生活补助等</w:t>
      </w:r>
      <w:r>
        <w:rPr>
          <w:rFonts w:ascii="Times New Roman" w:hAnsi="Times New Roman" w:eastAsia="仿宋_GB2312" w:cs="Times New Roman"/>
          <w:color w:val="000000" w:themeColor="text1"/>
          <w:sz w:val="32"/>
          <w:szCs w:val="32"/>
          <w14:textFill>
            <w14:solidFill>
              <w14:schemeClr w14:val="tx1"/>
            </w14:solidFill>
          </w14:textFill>
        </w:rPr>
        <w:t>。</w:t>
      </w:r>
    </w:p>
    <w:p w14:paraId="38E3BFBF">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bCs/>
          <w:color w:val="000000" w:themeColor="text1"/>
          <w:sz w:val="32"/>
          <w:szCs w:val="32"/>
          <w14:textFill>
            <w14:solidFill>
              <w14:schemeClr w14:val="tx1"/>
            </w14:solidFill>
          </w14:textFill>
        </w:rPr>
        <w:t>公用经费</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12.53</w:t>
      </w:r>
      <w:r>
        <w:rPr>
          <w:rFonts w:ascii="Times New Roman" w:hAnsi="Times New Roman" w:eastAsia="仿宋_GB2312" w:cs="Times New Roman"/>
          <w:color w:val="000000" w:themeColor="text1"/>
          <w:sz w:val="32"/>
          <w:szCs w:val="32"/>
          <w14:textFill>
            <w14:solidFill>
              <w14:schemeClr w14:val="tx1"/>
            </w14:solidFill>
          </w14:textFill>
        </w:rPr>
        <w:t>万元，占基本支出的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4.84</w:t>
      </w:r>
      <w:r>
        <w:rPr>
          <w:rFonts w:ascii="Times New Roman" w:hAnsi="Times New Roman" w:eastAsia="仿宋_GB2312" w:cs="Times New Roman"/>
          <w:color w:val="000000" w:themeColor="text1"/>
          <w:sz w:val="32"/>
          <w:szCs w:val="32"/>
          <w14:textFill>
            <w14:solidFill>
              <w14:schemeClr w14:val="tx1"/>
            </w14:solidFill>
          </w14:textFill>
        </w:rPr>
        <w:t>%，主要包括办公费、</w:t>
      </w:r>
      <w:r>
        <w:rPr>
          <w:rFonts w:hint="eastAsia" w:ascii="Times New Roman" w:hAnsi="Times New Roman" w:eastAsia="仿宋_GB2312" w:cs="Times New Roman"/>
          <w:color w:val="000000" w:themeColor="text1"/>
          <w:sz w:val="32"/>
          <w:szCs w:val="32"/>
          <w14:textFill>
            <w14:solidFill>
              <w14:schemeClr w14:val="tx1"/>
            </w14:solidFill>
          </w14:textFill>
        </w:rPr>
        <w:t>工会经费</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及其他交通费用等</w:t>
      </w:r>
      <w:r>
        <w:rPr>
          <w:rFonts w:ascii="Times New Roman" w:hAnsi="Times New Roman" w:eastAsia="仿宋_GB2312" w:cs="Times New Roman"/>
          <w:color w:val="000000" w:themeColor="text1"/>
          <w:sz w:val="32"/>
          <w:szCs w:val="32"/>
          <w14:textFill>
            <w14:solidFill>
              <w14:schemeClr w14:val="tx1"/>
            </w14:solidFill>
          </w14:textFill>
        </w:rPr>
        <w:t>。</w:t>
      </w:r>
    </w:p>
    <w:p w14:paraId="6D393472">
      <w:pPr>
        <w:pStyle w:val="14"/>
        <w:overflowPunct w:val="0"/>
        <w:autoSpaceDE/>
        <w:autoSpaceDN/>
        <w:spacing w:line="600" w:lineRule="exact"/>
        <w:ind w:firstLine="640" w:firstLineChars="200"/>
        <w:jc w:val="both"/>
        <w:rPr>
          <w:rFonts w:ascii="Times New Roman" w:hAnsi="Times New Roman" w:eastAsia="仿宋_GB2312" w:cs="Times New Roman"/>
          <w:b/>
          <w:i w:val="0"/>
          <w:i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七、财政拨款“三公”经费支出决算情况说明</w:t>
      </w:r>
      <w:r>
        <w:rPr>
          <w:rFonts w:ascii="Times New Roman" w:hAnsi="Times New Roman" w:eastAsia="楷体_GB2312" w:cs="Times New Roman"/>
          <w:b/>
          <w:bCs/>
          <w:i w:val="0"/>
          <w:iCs/>
          <w:color w:val="000000" w:themeColor="text1"/>
          <w:sz w:val="32"/>
          <w:szCs w:val="32"/>
          <w14:textFill>
            <w14:solidFill>
              <w14:schemeClr w14:val="tx1"/>
            </w14:solidFill>
          </w14:textFill>
        </w:rPr>
        <w:t>（注意：“三公”经费不再是一般公共预算财政拨款口径，而是财政拨款口径）</w:t>
      </w:r>
    </w:p>
    <w:p w14:paraId="561C27BD">
      <w:pPr>
        <w:pStyle w:val="14"/>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（一）“三公”经费财政拨款支出决算总体情况说明</w:t>
      </w:r>
    </w:p>
    <w:p w14:paraId="708C8454">
      <w:pPr>
        <w:keepNext w:val="0"/>
        <w:keepLines w:val="0"/>
        <w:pageBreakBefore w:val="0"/>
        <w:shd w:val="clear"/>
        <w:kinsoku/>
        <w:wordWrap/>
        <w:topLinePunct w:val="0"/>
        <w:bidi w:val="0"/>
        <w:snapToGrid w:val="0"/>
        <w:spacing w:line="600" w:lineRule="exact"/>
        <w:ind w:firstLine="640" w:firstLineChars="200"/>
        <w:jc w:val="left"/>
        <w:textAlignment w:val="auto"/>
        <w:rPr>
          <w:rFonts w:hint="default" w:ascii="Times New Roman" w:hAnsi="Times New Roman" w:eastAsia="仿宋_GB2312" w:cs="Times New Roman"/>
          <w:color w:val="000000" w:themeColor="text1"/>
          <w:sz w:val="32"/>
          <w:szCs w:val="32"/>
          <w:highlight w:val="yellow"/>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年度“三公”经费财政拨款支出预算为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0.9</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10.49</w:t>
      </w:r>
      <w:r>
        <w:rPr>
          <w:rFonts w:ascii="Times New Roman" w:hAnsi="Times New Roman" w:eastAsia="仿宋_GB2312" w:cs="Times New Roman"/>
          <w:color w:val="000000" w:themeColor="text1"/>
          <w:sz w:val="32"/>
          <w:szCs w:val="32"/>
          <w14:textFill>
            <w14:solidFill>
              <w14:schemeClr w14:val="tx1"/>
            </w14:solidFill>
          </w14:textFill>
        </w:rPr>
        <w:t>万元，完成预算的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1165.56</w:t>
      </w:r>
      <w:r>
        <w:rPr>
          <w:rFonts w:ascii="Times New Roman" w:hAnsi="Times New Roman" w:eastAsia="仿宋_GB2312" w:cs="Times New Roman"/>
          <w:color w:val="000000" w:themeColor="text1"/>
          <w:sz w:val="32"/>
          <w:szCs w:val="32"/>
          <w14:textFill>
            <w14:solidFill>
              <w14:schemeClr w14:val="tx1"/>
            </w14:solidFill>
          </w14:textFill>
        </w:rPr>
        <w:t>%；与上年相比增加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0.17</w:t>
      </w:r>
      <w:r>
        <w:rPr>
          <w:rFonts w:ascii="Times New Roman" w:hAnsi="Times New Roman" w:eastAsia="仿宋_GB2312" w:cs="Times New Roman"/>
          <w:color w:val="000000" w:themeColor="text1"/>
          <w:sz w:val="32"/>
          <w:szCs w:val="32"/>
          <w14:textFill>
            <w14:solidFill>
              <w14:schemeClr w14:val="tx1"/>
            </w14:solidFill>
          </w14:textFill>
        </w:rPr>
        <w:t>万元，增长</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1.6</w:t>
      </w:r>
      <w:r>
        <w:rPr>
          <w:rFonts w:ascii="Times New Roman" w:hAnsi="Times New Roman" w:eastAsia="仿宋_GB2312" w:cs="Times New Roman"/>
          <w:color w:val="000000" w:themeColor="text1"/>
          <w:sz w:val="32"/>
          <w:szCs w:val="32"/>
          <w14:textFill>
            <w14:solidFill>
              <w14:schemeClr w14:val="tx1"/>
            </w14:solidFill>
          </w14:textFill>
        </w:rPr>
        <w:t>%。决算数大于预算数的主要原因是</w:t>
      </w:r>
      <w:r>
        <w:rPr>
          <w:rFonts w:hint="default" w:ascii="Times New Roman" w:hAnsi="Times New Roman" w:eastAsia="仿宋_GB2312" w:cs="Times New Roman"/>
          <w:color w:val="000000" w:themeColor="text1"/>
          <w:sz w:val="32"/>
          <w:szCs w:val="32"/>
          <w14:textFill>
            <w14:solidFill>
              <w14:schemeClr w14:val="tx1"/>
            </w14:solidFill>
          </w14:textFill>
        </w:rPr>
        <w:t>年初追加</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中央无线电管理经费核定的无线电监测特种车辆维护费</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用于</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无线电监测特种车辆</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维修、油料、保险、过路费等支出</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w:t>
      </w:r>
    </w:p>
    <w:p w14:paraId="30AE56B8">
      <w:pPr>
        <w:pStyle w:val="14"/>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（二）“三公”经费财政拨款支出决算具体情况说明</w:t>
      </w:r>
    </w:p>
    <w:p w14:paraId="2AA08ACE">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1.因公出国（境）费支出预算为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5B88866D">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2.公务用车购置费及运行维护费支出预算为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0.6</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14:textFill>
            <w14:solidFill>
              <w14:schemeClr w14:val="tx1"/>
            </w14:solidFill>
          </w14:textFill>
        </w:rPr>
        <w:t>10.49</w:t>
      </w:r>
      <w:r>
        <w:rPr>
          <w:rFonts w:ascii="Times New Roman" w:hAnsi="Times New Roman" w:eastAsia="仿宋_GB2312" w:cs="Times New Roman"/>
          <w:color w:val="000000" w:themeColor="text1"/>
          <w:sz w:val="32"/>
          <w:szCs w:val="32"/>
          <w14:textFill>
            <w14:solidFill>
              <w14:schemeClr w14:val="tx1"/>
            </w14:solidFill>
          </w14:textFill>
        </w:rPr>
        <w:t>万元，完成预算的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1748.33</w:t>
      </w:r>
      <w:r>
        <w:rPr>
          <w:rFonts w:ascii="Times New Roman" w:hAnsi="Times New Roman" w:eastAsia="仿宋_GB2312" w:cs="Times New Roman"/>
          <w:color w:val="000000" w:themeColor="text1"/>
          <w:sz w:val="32"/>
          <w:szCs w:val="32"/>
          <w14:textFill>
            <w14:solidFill>
              <w14:schemeClr w14:val="tx1"/>
            </w14:solidFill>
          </w14:textFill>
        </w:rPr>
        <w:t>%；与上年相比增加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0.87</w:t>
      </w:r>
      <w:r>
        <w:rPr>
          <w:rFonts w:ascii="Times New Roman" w:hAnsi="Times New Roman" w:eastAsia="仿宋_GB2312" w:cs="Times New Roman"/>
          <w:color w:val="000000" w:themeColor="text1"/>
          <w:sz w:val="32"/>
          <w:szCs w:val="32"/>
          <w14:textFill>
            <w14:solidFill>
              <w14:schemeClr w14:val="tx1"/>
            </w14:solidFill>
          </w14:textFill>
        </w:rPr>
        <w:t>万元，增长</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8.9</w:t>
      </w:r>
      <w:r>
        <w:rPr>
          <w:rFonts w:ascii="Times New Roman" w:hAnsi="Times New Roman" w:eastAsia="仿宋_GB2312" w:cs="Times New Roman"/>
          <w:color w:val="000000" w:themeColor="text1"/>
          <w:sz w:val="32"/>
          <w:szCs w:val="32"/>
          <w14:textFill>
            <w14:solidFill>
              <w14:schemeClr w14:val="tx1"/>
            </w14:solidFill>
          </w14:textFill>
        </w:rPr>
        <w:t>%。其中：</w:t>
      </w:r>
    </w:p>
    <w:p w14:paraId="56F612A5">
      <w:pPr>
        <w:pStyle w:val="14"/>
        <w:keepNext w:val="0"/>
        <w:keepLines w:val="0"/>
        <w:pageBreakBefore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公务用车购置费支出预算为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ascii="Times New Roman" w:hAnsi="Times New Roman" w:eastAsia="仿宋_GB2312" w:cs="Times New Roman"/>
          <w:color w:val="000000" w:themeColor="text1"/>
          <w:sz w:val="32"/>
          <w:szCs w:val="32"/>
          <w14:textFill>
            <w14:solidFill>
              <w14:schemeClr w14:val="tx1"/>
            </w14:solidFill>
          </w14:textFill>
        </w:rPr>
        <w:t>公务用车运行维护费支出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全年</w:t>
      </w:r>
      <w:r>
        <w:rPr>
          <w:rFonts w:ascii="Times New Roman" w:hAnsi="Times New Roman" w:eastAsia="仿宋_GB2312" w:cs="Times New Roman"/>
          <w:color w:val="000000" w:themeColor="text1"/>
          <w:sz w:val="32"/>
          <w:szCs w:val="32"/>
          <w14:textFill>
            <w14:solidFill>
              <w14:schemeClr w14:val="tx1"/>
            </w14:solidFill>
          </w14:textFill>
        </w:rPr>
        <w:t>预算</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数</w:t>
      </w:r>
      <w:r>
        <w:rPr>
          <w:rFonts w:ascii="Times New Roman" w:hAnsi="Times New Roman" w:eastAsia="仿宋_GB2312" w:cs="Times New Roman"/>
          <w:color w:val="000000" w:themeColor="text1"/>
          <w:sz w:val="32"/>
          <w:szCs w:val="32"/>
          <w14:textFill>
            <w14:solidFill>
              <w14:schemeClr w14:val="tx1"/>
            </w14:solidFill>
          </w14:textFill>
        </w:rPr>
        <w:t>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10.49</w:t>
      </w:r>
      <w:r>
        <w:rPr>
          <w:rFonts w:ascii="Times New Roman" w:hAnsi="Times New Roman" w:eastAsia="仿宋_GB2312" w:cs="Times New Roman"/>
          <w:color w:val="000000" w:themeColor="text1"/>
          <w:sz w:val="32"/>
          <w:szCs w:val="32"/>
          <w14:textFill>
            <w14:solidFill>
              <w14:schemeClr w14:val="tx1"/>
            </w14:solidFill>
          </w14:textFill>
        </w:rPr>
        <w:t>万元，支出决算</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数</w:t>
      </w:r>
      <w:r>
        <w:rPr>
          <w:rFonts w:ascii="Times New Roman" w:hAnsi="Times New Roman" w:eastAsia="仿宋_GB2312" w:cs="Times New Roman"/>
          <w:color w:val="000000" w:themeColor="text1"/>
          <w:sz w:val="32"/>
          <w:szCs w:val="32"/>
          <w14:textFill>
            <w14:solidFill>
              <w14:schemeClr w14:val="tx1"/>
            </w14:solidFill>
          </w14:textFill>
        </w:rPr>
        <w:t>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10.49</w:t>
      </w:r>
      <w:r>
        <w:rPr>
          <w:rFonts w:ascii="Times New Roman" w:hAnsi="Times New Roman" w:eastAsia="仿宋_GB2312" w:cs="Times New Roman"/>
          <w:color w:val="000000" w:themeColor="text1"/>
          <w:sz w:val="32"/>
          <w:szCs w:val="32"/>
          <w14:textFill>
            <w14:solidFill>
              <w14:schemeClr w14:val="tx1"/>
            </w14:solidFill>
          </w14:textFill>
        </w:rPr>
        <w:t>万元，主要是</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用于</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无线电监测特种车辆</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维修2.22万元、油料费5.7万元、保险费0.39万元、过路费2.18万元等支出，</w:t>
      </w:r>
      <w:r>
        <w:rPr>
          <w:rFonts w:ascii="Times New Roman" w:hAnsi="Times New Roman" w:eastAsia="仿宋_GB2312" w:cs="Times New Roman"/>
          <w:color w:val="000000" w:themeColor="text1"/>
          <w:sz w:val="32"/>
          <w:szCs w:val="32"/>
          <w14:textFill>
            <w14:solidFill>
              <w14:schemeClr w14:val="tx1"/>
            </w14:solidFill>
          </w14:textFill>
        </w:rPr>
        <w:t>与上年相比增加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0.86</w:t>
      </w:r>
      <w:r>
        <w:rPr>
          <w:rFonts w:ascii="Times New Roman" w:hAnsi="Times New Roman" w:eastAsia="仿宋_GB2312" w:cs="Times New Roman"/>
          <w:color w:val="000000" w:themeColor="text1"/>
          <w:sz w:val="32"/>
          <w:szCs w:val="32"/>
          <w14:textFill>
            <w14:solidFill>
              <w14:schemeClr w14:val="tx1"/>
            </w14:solidFill>
          </w14:textFill>
        </w:rPr>
        <w:t>万元，增长</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8.93</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本单位</w:t>
      </w:r>
      <w:r>
        <w:rPr>
          <w:rFonts w:ascii="Times New Roman" w:hAnsi="Times New Roman" w:eastAsia="仿宋_GB2312" w:cs="Times New Roman"/>
          <w:color w:val="000000" w:themeColor="text1"/>
          <w:sz w:val="32"/>
          <w:szCs w:val="32"/>
          <w14:textFill>
            <w14:solidFill>
              <w14:schemeClr w14:val="tx1"/>
            </w14:solidFill>
          </w14:textFill>
        </w:rPr>
        <w:t>公务用车运行维护费</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为</w:t>
      </w: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年追加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项目支出“</w:t>
      </w:r>
      <w:r>
        <w:rPr>
          <w:rFonts w:hint="default" w:ascii="Times New Roman" w:hAnsi="Times New Roman" w:eastAsia="仿宋_GB2312" w:cs="Times New Roman"/>
          <w:color w:val="000000" w:themeColor="text1"/>
          <w:sz w:val="32"/>
          <w:szCs w:val="32"/>
          <w14:textFill>
            <w14:solidFill>
              <w14:schemeClr w14:val="tx1"/>
            </w14:solidFill>
          </w14:textFill>
        </w:rPr>
        <w:t>中央无线电管理经费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核定的无线电监测特种车辆维护费，不在</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市</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本级</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三公”经费</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预算内。</w:t>
      </w:r>
    </w:p>
    <w:p w14:paraId="12A0ACBB">
      <w:pPr>
        <w:pStyle w:val="14"/>
        <w:keepNext w:val="0"/>
        <w:keepLines w:val="0"/>
        <w:pageBreakBefore w:val="0"/>
        <w:shd w:val="clear"/>
        <w:kinsoku/>
        <w:wordWrap/>
        <w:overflowPunct w:val="0"/>
        <w:topLinePunct w:val="0"/>
        <w:autoSpaceDE/>
        <w:autoSpaceDN/>
        <w:bidi w:val="0"/>
        <w:spacing w:line="600" w:lineRule="exact"/>
        <w:ind w:firstLine="640" w:firstLineChars="200"/>
        <w:jc w:val="both"/>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截止202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年12月31日，我单位开支财政拨款的公务用车</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无线电监测特种车辆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ascii="Times New Roman" w:hAnsi="Times New Roman" w:eastAsia="仿宋_GB2312" w:cs="Times New Roman"/>
          <w:color w:val="000000" w:themeColor="text1"/>
          <w:sz w:val="32"/>
          <w:szCs w:val="32"/>
          <w14:textFill>
            <w14:solidFill>
              <w14:schemeClr w14:val="tx1"/>
            </w14:solidFill>
          </w14:textFill>
        </w:rPr>
        <w:t>保有量为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ascii="Times New Roman" w:hAnsi="Times New Roman" w:eastAsia="仿宋_GB2312" w:cs="Times New Roman"/>
          <w:color w:val="000000" w:themeColor="text1"/>
          <w:sz w:val="32"/>
          <w:szCs w:val="32"/>
          <w14:textFill>
            <w14:solidFill>
              <w14:schemeClr w14:val="tx1"/>
            </w14:solidFill>
          </w14:textFill>
        </w:rPr>
        <w:t>辆。</w:t>
      </w:r>
    </w:p>
    <w:p w14:paraId="670253DF">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3.公务接待费支出预算为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0.3</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万元；与上年相比减少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0.69</w:t>
      </w:r>
      <w:r>
        <w:rPr>
          <w:rFonts w:ascii="Times New Roman" w:hAnsi="Times New Roman" w:eastAsia="仿宋_GB2312" w:cs="Times New Roman"/>
          <w:color w:val="000000" w:themeColor="text1"/>
          <w:sz w:val="32"/>
          <w:szCs w:val="32"/>
          <w14:textFill>
            <w14:solidFill>
              <w14:schemeClr w14:val="tx1"/>
            </w14:solidFill>
          </w14:textFill>
        </w:rPr>
        <w:t>万元，降低</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%。决算数小于预算数的主要原因是</w:t>
      </w:r>
      <w:r>
        <w:rPr>
          <w:rFonts w:hint="eastAsia" w:ascii="Times New Roman" w:hAnsi="Times New Roman" w:eastAsia="仿宋_GB2312" w:cs="Times New Roman"/>
          <w:color w:val="000000" w:themeColor="text1"/>
          <w:sz w:val="32"/>
          <w:szCs w:val="32"/>
          <w14:textFill>
            <w14:solidFill>
              <w14:schemeClr w14:val="tx1"/>
            </w14:solidFill>
          </w14:textFill>
        </w:rPr>
        <w:t>严格执行相关规定，</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坚持</w:t>
      </w:r>
      <w:r>
        <w:rPr>
          <w:rFonts w:hint="eastAsia" w:ascii="Times New Roman" w:hAnsi="Times New Roman" w:eastAsia="仿宋_GB2312" w:cs="Times New Roman"/>
          <w:color w:val="000000" w:themeColor="text1"/>
          <w:sz w:val="32"/>
          <w:szCs w:val="32"/>
          <w14:textFill>
            <w14:solidFill>
              <w14:schemeClr w14:val="tx1"/>
            </w14:solidFill>
          </w14:textFill>
        </w:rPr>
        <w:t>接待费只减不增</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原则</w:t>
      </w:r>
      <w:r>
        <w:rPr>
          <w:rFonts w:hint="eastAsia" w:ascii="Times New Roman" w:hAnsi="Times New Roman" w:eastAsia="仿宋_GB2312" w:cs="Times New Roman"/>
          <w:color w:val="000000" w:themeColor="text1"/>
          <w:sz w:val="32"/>
          <w:szCs w:val="32"/>
          <w14:textFill>
            <w14:solidFill>
              <w14:schemeClr w14:val="tx1"/>
            </w14:solidFill>
          </w14:textFill>
        </w:rPr>
        <w:t>。</w:t>
      </w:r>
      <w:r>
        <w:rPr>
          <w:rFonts w:ascii="Times New Roman" w:hAnsi="Times New Roman" w:eastAsia="仿宋_GB2312" w:cs="Times New Roman"/>
          <w:color w:val="000000" w:themeColor="text1"/>
          <w:sz w:val="32"/>
          <w:szCs w:val="32"/>
          <w14:textFill>
            <w14:solidFill>
              <w14:schemeClr w14:val="tx1"/>
            </w14:solidFill>
          </w14:textFill>
        </w:rPr>
        <w:t>。</w:t>
      </w:r>
    </w:p>
    <w:p w14:paraId="5E73D0B0">
      <w:pPr>
        <w:pStyle w:val="14"/>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八、政府性基金预算收入支出决算情况</w:t>
      </w:r>
    </w:p>
    <w:p w14:paraId="68354406">
      <w:pPr>
        <w:pStyle w:val="14"/>
        <w:keepNext w:val="0"/>
        <w:keepLines w:val="0"/>
        <w:pageBreakBefore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年度本单位无政府性基金收支。</w:t>
      </w:r>
    </w:p>
    <w:p w14:paraId="7FB6ECA4">
      <w:pPr>
        <w:pStyle w:val="15"/>
        <w:shd w:val="clear"/>
        <w:ind w:firstLine="640" w:firstLineChars="200"/>
        <w:jc w:val="left"/>
        <w:rPr>
          <w:rFonts w:hint="default"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九、</w:t>
      </w:r>
      <w:r>
        <w:rPr>
          <w:rFonts w:hint="default" w:ascii="Times New Roman" w:hAnsi="Times New Roman" w:eastAsia="黑体" w:cs="Times New Roman"/>
          <w:color w:val="000000" w:themeColor="text1"/>
          <w:sz w:val="32"/>
          <w:szCs w:val="32"/>
          <w14:textFill>
            <w14:solidFill>
              <w14:schemeClr w14:val="tx1"/>
            </w14:solidFill>
          </w14:textFill>
        </w:rPr>
        <w:t>国有资本经营预算收入支出决算情况</w:t>
      </w:r>
    </w:p>
    <w:p w14:paraId="2BFC0266">
      <w:pPr>
        <w:pStyle w:val="15"/>
        <w:shd w:val="clear"/>
        <w:ind w:firstLine="800" w:firstLineChars="250"/>
        <w:jc w:val="left"/>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本单位202</w:t>
      </w:r>
      <w:r>
        <w:rPr>
          <w:rFonts w:hint="eastAsia" w:ascii="Times New Roman" w:hAnsi="Times New Roman" w:eastAsia="仿宋_GB2312" w:cs="Times New Roman"/>
          <w:bCs/>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bCs/>
          <w:color w:val="000000" w:themeColor="text1"/>
          <w:sz w:val="32"/>
          <w:szCs w:val="32"/>
          <w14:textFill>
            <w14:solidFill>
              <w14:schemeClr w14:val="tx1"/>
            </w14:solidFill>
          </w14:textFill>
        </w:rPr>
        <w:t>年度无国有资本经营预算收支。</w:t>
      </w:r>
    </w:p>
    <w:p w14:paraId="66024258">
      <w:pPr>
        <w:pStyle w:val="14"/>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hint="eastAsia" w:ascii="Times New Roman" w:hAnsi="Times New Roman" w:cs="Times New Roman"/>
          <w:bCs/>
          <w:color w:val="000000" w:themeColor="text1"/>
          <w:sz w:val="32"/>
          <w:szCs w:val="32"/>
          <w:lang w:val="en-US" w:eastAsia="zh-CN"/>
          <w14:textFill>
            <w14:solidFill>
              <w14:schemeClr w14:val="tx1"/>
            </w14:solidFill>
          </w14:textFill>
        </w:rPr>
        <w:t>十、</w:t>
      </w:r>
      <w:r>
        <w:rPr>
          <w:rFonts w:ascii="Times New Roman" w:hAnsi="Times New Roman" w:cs="Times New Roman"/>
          <w:bCs/>
          <w:color w:val="000000" w:themeColor="text1"/>
          <w:sz w:val="32"/>
          <w:szCs w:val="32"/>
          <w14:textFill>
            <w14:solidFill>
              <w14:schemeClr w14:val="tx1"/>
            </w14:solidFill>
          </w14:textFill>
        </w:rPr>
        <w:t>关于机关运行经费支出说明</w:t>
      </w:r>
    </w:p>
    <w:p w14:paraId="6BC2A597">
      <w:pPr>
        <w:pStyle w:val="14"/>
        <w:overflowPunct w:val="0"/>
        <w:autoSpaceDE/>
        <w:autoSpaceDN/>
        <w:spacing w:line="600" w:lineRule="exact"/>
        <w:ind w:firstLine="640" w:firstLineChars="20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本单位是财政补助事业单位，无机关运行经费。</w:t>
      </w:r>
    </w:p>
    <w:p w14:paraId="00F397EE">
      <w:pPr>
        <w:pStyle w:val="14"/>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十</w:t>
      </w:r>
      <w:r>
        <w:rPr>
          <w:rFonts w:hint="eastAsia" w:ascii="Times New Roman" w:hAnsi="Times New Roman" w:cs="Times New Roman"/>
          <w:bCs/>
          <w:color w:val="000000" w:themeColor="text1"/>
          <w:sz w:val="32"/>
          <w:szCs w:val="32"/>
          <w:lang w:val="en-US" w:eastAsia="zh-CN"/>
          <w14:textFill>
            <w14:solidFill>
              <w14:schemeClr w14:val="tx1"/>
            </w14:solidFill>
          </w14:textFill>
        </w:rPr>
        <w:t>一</w:t>
      </w:r>
      <w:r>
        <w:rPr>
          <w:rFonts w:ascii="Times New Roman" w:hAnsi="Times New Roman" w:cs="Times New Roman"/>
          <w:bCs/>
          <w:color w:val="000000" w:themeColor="text1"/>
          <w:sz w:val="32"/>
          <w:szCs w:val="32"/>
          <w14:textFill>
            <w14:solidFill>
              <w14:schemeClr w14:val="tx1"/>
            </w14:solidFill>
          </w14:textFill>
        </w:rPr>
        <w:t>、一般性支出情况说明</w:t>
      </w:r>
    </w:p>
    <w:p w14:paraId="1E0D0D66">
      <w:pPr>
        <w:pStyle w:val="14"/>
        <w:keepNext w:val="0"/>
        <w:keepLines w:val="0"/>
        <w:pageBreakBefore w:val="0"/>
        <w:shd w:val="clear"/>
        <w:kinsoku/>
        <w:wordWrap/>
        <w:overflowPunct w:val="0"/>
        <w:topLinePunct w:val="0"/>
        <w:autoSpaceDE/>
        <w:autoSpaceDN/>
        <w:bidi w:val="0"/>
        <w:spacing w:line="60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w:t>
      </w:r>
      <w:r>
        <w:rPr>
          <w:rFonts w:hint="default" w:ascii="Times New Roman" w:hAnsi="Times New Roman" w:eastAsia="仿宋_GB2312" w:cs="Times New Roman"/>
          <w:color w:val="000000" w:themeColor="text1"/>
          <w:sz w:val="32"/>
          <w:szCs w:val="32"/>
          <w14:textFill>
            <w14:solidFill>
              <w14:schemeClr w14:val="tx1"/>
            </w14:solidFill>
          </w14:textFill>
        </w:rPr>
        <w:t>本单位无会议费、培训费支出；无节庆、晚会、论坛、赛事活动开支。</w:t>
      </w:r>
    </w:p>
    <w:p w14:paraId="59C433CE">
      <w:pPr>
        <w:pStyle w:val="14"/>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十</w:t>
      </w:r>
      <w:r>
        <w:rPr>
          <w:rFonts w:hint="eastAsia" w:ascii="Times New Roman" w:hAnsi="Times New Roman" w:cs="Times New Roman"/>
          <w:bCs/>
          <w:color w:val="000000" w:themeColor="text1"/>
          <w:sz w:val="32"/>
          <w:szCs w:val="32"/>
          <w:lang w:val="en-US" w:eastAsia="zh-CN"/>
          <w14:textFill>
            <w14:solidFill>
              <w14:schemeClr w14:val="tx1"/>
            </w14:solidFill>
          </w14:textFill>
        </w:rPr>
        <w:t>二</w:t>
      </w:r>
      <w:r>
        <w:rPr>
          <w:rFonts w:ascii="Times New Roman" w:hAnsi="Times New Roman" w:cs="Times New Roman"/>
          <w:bCs/>
          <w:color w:val="000000" w:themeColor="text1"/>
          <w:sz w:val="32"/>
          <w:szCs w:val="32"/>
          <w14:textFill>
            <w14:solidFill>
              <w14:schemeClr w14:val="tx1"/>
            </w14:solidFill>
          </w14:textFill>
        </w:rPr>
        <w:t>、关于政府采购支出说明</w:t>
      </w:r>
    </w:p>
    <w:p w14:paraId="4B9EDD74">
      <w:pPr>
        <w:pStyle w:val="14"/>
        <w:overflowPunct w:val="0"/>
        <w:autoSpaceDE/>
        <w:autoSpaceDN/>
        <w:spacing w:line="600" w:lineRule="exact"/>
        <w:ind w:firstLine="640" w:firstLineChars="200"/>
        <w:jc w:val="both"/>
        <w:rPr>
          <w:rFonts w:ascii="Times New Roman" w:hAnsi="Times New Roman" w:eastAsia="楷体" w:cs="Times New Roman"/>
          <w:b/>
          <w:bCs/>
          <w:i/>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本部门202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年度政府采购支出总额</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76.09</w:t>
      </w:r>
      <w:r>
        <w:rPr>
          <w:rFonts w:ascii="Times New Roman" w:hAnsi="Times New Roman" w:eastAsia="仿宋_GB2312" w:cs="Times New Roman"/>
          <w:color w:val="000000" w:themeColor="text1"/>
          <w:sz w:val="32"/>
          <w:szCs w:val="32"/>
          <w14:textFill>
            <w14:solidFill>
              <w14:schemeClr w14:val="tx1"/>
            </w14:solidFill>
          </w14:textFill>
        </w:rPr>
        <w:t>万元，其中：政府采购货物支出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3.02</w:t>
      </w:r>
      <w:r>
        <w:rPr>
          <w:rFonts w:ascii="Times New Roman" w:hAnsi="Times New Roman" w:eastAsia="仿宋_GB2312" w:cs="Times New Roman"/>
          <w:color w:val="000000" w:themeColor="text1"/>
          <w:sz w:val="32"/>
          <w:szCs w:val="32"/>
          <w14:textFill>
            <w14:solidFill>
              <w14:schemeClr w14:val="tx1"/>
            </w14:solidFill>
          </w14:textFill>
        </w:rPr>
        <w:t xml:space="preserve"> 万元、政府采购工程支出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万元、政府采购服务支出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73.06</w:t>
      </w:r>
      <w:r>
        <w:rPr>
          <w:rFonts w:ascii="Times New Roman" w:hAnsi="Times New Roman" w:eastAsia="仿宋_GB2312" w:cs="Times New Roman"/>
          <w:color w:val="000000" w:themeColor="text1"/>
          <w:sz w:val="32"/>
          <w:szCs w:val="32"/>
          <w14:textFill>
            <w14:solidFill>
              <w14:schemeClr w14:val="tx1"/>
            </w14:solidFill>
          </w14:textFill>
        </w:rPr>
        <w:t>万元。授予中小企业合同金额</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76.09</w:t>
      </w:r>
      <w:r>
        <w:rPr>
          <w:rFonts w:ascii="Times New Roman" w:hAnsi="Times New Roman" w:eastAsia="仿宋_GB2312" w:cs="Times New Roman"/>
          <w:color w:val="000000" w:themeColor="text1"/>
          <w:sz w:val="32"/>
          <w:szCs w:val="32"/>
          <w14:textFill>
            <w14:solidFill>
              <w14:schemeClr w14:val="tx1"/>
            </w14:solidFill>
          </w14:textFill>
        </w:rPr>
        <w:t>万元，占政府采购支出总额的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%，其中：授予小微企业合同金额</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76.09</w:t>
      </w:r>
      <w:r>
        <w:rPr>
          <w:rFonts w:ascii="Times New Roman" w:hAnsi="Times New Roman" w:eastAsia="仿宋_GB2312" w:cs="Times New Roman"/>
          <w:color w:val="000000" w:themeColor="text1"/>
          <w:sz w:val="32"/>
          <w:szCs w:val="32"/>
          <w14:textFill>
            <w14:solidFill>
              <w14:schemeClr w14:val="tx1"/>
            </w14:solidFill>
          </w14:textFill>
        </w:rPr>
        <w:t>万元，占授予中小企业合同金额的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%。货物采购授予中小企业合同金额占货物支出金额的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%，工程采购授予中小企业合同金额占工程支出金额的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，服务采购授予中小企业合同金额占服务支出金额的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w:t>
      </w:r>
    </w:p>
    <w:p w14:paraId="10C546E6">
      <w:pPr>
        <w:pStyle w:val="14"/>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十</w:t>
      </w:r>
      <w:r>
        <w:rPr>
          <w:rFonts w:hint="eastAsia" w:ascii="Times New Roman" w:hAnsi="Times New Roman" w:cs="Times New Roman"/>
          <w:bCs/>
          <w:color w:val="000000" w:themeColor="text1"/>
          <w:sz w:val="32"/>
          <w:szCs w:val="32"/>
          <w:lang w:val="en-US" w:eastAsia="zh-CN"/>
          <w14:textFill>
            <w14:solidFill>
              <w14:schemeClr w14:val="tx1"/>
            </w14:solidFill>
          </w14:textFill>
        </w:rPr>
        <w:t>三</w:t>
      </w:r>
      <w:r>
        <w:rPr>
          <w:rFonts w:ascii="Times New Roman" w:hAnsi="Times New Roman" w:cs="Times New Roman"/>
          <w:bCs/>
          <w:color w:val="000000" w:themeColor="text1"/>
          <w:sz w:val="32"/>
          <w:szCs w:val="32"/>
          <w14:textFill>
            <w14:solidFill>
              <w14:schemeClr w14:val="tx1"/>
            </w14:solidFill>
          </w14:textFill>
        </w:rPr>
        <w:t>、关于国有资产占用情况说明</w:t>
      </w:r>
    </w:p>
    <w:p w14:paraId="4F142ACE">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截至202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年12月31日，部门（单位）共有车辆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ascii="Times New Roman" w:hAnsi="Times New Roman" w:eastAsia="仿宋_GB2312" w:cs="Times New Roman"/>
          <w:color w:val="000000" w:themeColor="text1"/>
          <w:sz w:val="32"/>
          <w:szCs w:val="32"/>
          <w14:textFill>
            <w14:solidFill>
              <w14:schemeClr w14:val="tx1"/>
            </w14:solidFill>
          </w14:textFill>
        </w:rPr>
        <w:t>辆，其中，副部（省）级及以上领导用车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辆、主要负责人用车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辆、机要通信用车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辆、应急保障用车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辆、执法执勤用车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辆、特种专业技术用车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ascii="Times New Roman" w:hAnsi="Times New Roman" w:eastAsia="仿宋_GB2312" w:cs="Times New Roman"/>
          <w:color w:val="000000" w:themeColor="text1"/>
          <w:sz w:val="32"/>
          <w:szCs w:val="32"/>
          <w14:textFill>
            <w14:solidFill>
              <w14:schemeClr w14:val="tx1"/>
            </w14:solidFill>
          </w14:textFill>
        </w:rPr>
        <w:t>辆、离退休干部服务用车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辆、其他用车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辆；单位价值100万元以上设备（不含车辆）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台（套）。</w:t>
      </w:r>
    </w:p>
    <w:p w14:paraId="741262A0">
      <w:pPr>
        <w:pStyle w:val="14"/>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十</w:t>
      </w:r>
      <w:r>
        <w:rPr>
          <w:rFonts w:hint="eastAsia" w:ascii="Times New Roman" w:hAnsi="Times New Roman" w:cs="Times New Roman"/>
          <w:bCs/>
          <w:color w:val="000000" w:themeColor="text1"/>
          <w:sz w:val="32"/>
          <w:szCs w:val="32"/>
          <w:lang w:val="en-US" w:eastAsia="zh-CN"/>
          <w14:textFill>
            <w14:solidFill>
              <w14:schemeClr w14:val="tx1"/>
            </w14:solidFill>
          </w14:textFill>
        </w:rPr>
        <w:t>四</w:t>
      </w:r>
      <w:r>
        <w:rPr>
          <w:rFonts w:ascii="Times New Roman" w:hAnsi="Times New Roman" w:cs="Times New Roman"/>
          <w:bCs/>
          <w:color w:val="000000" w:themeColor="text1"/>
          <w:sz w:val="32"/>
          <w:szCs w:val="32"/>
          <w14:textFill>
            <w14:solidFill>
              <w14:schemeClr w14:val="tx1"/>
            </w14:solidFill>
          </w14:textFill>
        </w:rPr>
        <w:t>、关于</w:t>
      </w: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cs="Times New Roman"/>
          <w:bCs/>
          <w:color w:val="000000" w:themeColor="text1"/>
          <w:sz w:val="32"/>
          <w:szCs w:val="32"/>
          <w14:textFill>
            <w14:solidFill>
              <w14:schemeClr w14:val="tx1"/>
            </w14:solidFill>
          </w14:textFill>
        </w:rPr>
        <w:t>年度预算绩效情况的说明</w:t>
      </w:r>
    </w:p>
    <w:p w14:paraId="10F56FCC">
      <w:pPr>
        <w:keepNext w:val="0"/>
        <w:keepLines w:val="0"/>
        <w:pageBreakBefore w:val="0"/>
        <w:shd w:val="clear"/>
        <w:kinsoku/>
        <w:wordWrap/>
        <w:overflowPunct w:val="0"/>
        <w:topLinePunct w:val="0"/>
        <w:bidi w:val="0"/>
        <w:spacing w:line="600" w:lineRule="exact"/>
        <w:ind w:firstLine="640" w:firstLineChars="200"/>
        <w:textAlignment w:val="auto"/>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ascii="Times New Roman" w:hAnsi="Times New Roman" w:eastAsia="楷体_GB2312" w:cs="Times New Roman"/>
          <w:b/>
          <w:bCs/>
          <w:color w:val="000000" w:themeColor="text1"/>
          <w:sz w:val="32"/>
          <w:szCs w:val="32"/>
          <w14:textFill>
            <w14:solidFill>
              <w14:schemeClr w14:val="tx1"/>
            </w14:solidFill>
          </w14:textFill>
        </w:rPr>
        <w:t>（一）绩效评价工作开展情况。</w:t>
      </w:r>
      <w:r>
        <w:rPr>
          <w:rFonts w:ascii="Times New Roman" w:hAnsi="Times New Roman" w:eastAsia="仿宋_GB2312" w:cs="Times New Roman"/>
          <w:b/>
          <w:bCs/>
          <w:color w:val="000000" w:themeColor="text1"/>
          <w:kern w:val="0"/>
          <w:sz w:val="32"/>
          <w:szCs w:val="32"/>
          <w14:textFill>
            <w14:solidFill>
              <w14:schemeClr w14:val="tx1"/>
            </w14:solidFill>
          </w14:textFill>
        </w:rPr>
        <w:t>一是绩效自评开展情况。</w:t>
      </w:r>
      <w:r>
        <w:rPr>
          <w:rFonts w:ascii="Times New Roman" w:hAnsi="Times New Roman" w:eastAsia="仿宋_GB2312" w:cs="Times New Roman"/>
          <w:color w:val="000000" w:themeColor="text1"/>
          <w:kern w:val="0"/>
          <w:sz w:val="32"/>
          <w:szCs w:val="32"/>
          <w14:textFill>
            <w14:solidFill>
              <w14:schemeClr w14:val="tx1"/>
            </w14:solidFill>
          </w14:textFill>
        </w:rPr>
        <w:t>组织对202</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5</w:t>
      </w:r>
      <w:r>
        <w:rPr>
          <w:rFonts w:ascii="Times New Roman" w:hAnsi="Times New Roman" w:eastAsia="仿宋_GB2312" w:cs="Times New Roman"/>
          <w:color w:val="000000" w:themeColor="text1"/>
          <w:kern w:val="0"/>
          <w:sz w:val="32"/>
          <w:szCs w:val="32"/>
          <w14:textFill>
            <w14:solidFill>
              <w14:schemeClr w14:val="tx1"/>
            </w14:solidFill>
          </w14:textFill>
        </w:rPr>
        <w:t>年度本部门（单位）整体支出开展绩效自评，涉及项目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w:t>
      </w:r>
      <w:r>
        <w:rPr>
          <w:rFonts w:ascii="Times New Roman" w:hAnsi="Times New Roman" w:eastAsia="仿宋_GB2312" w:cs="Times New Roman"/>
          <w:color w:val="000000" w:themeColor="text1"/>
          <w:kern w:val="0"/>
          <w:sz w:val="32"/>
          <w:szCs w:val="32"/>
          <w14:textFill>
            <w14:solidFill>
              <w14:schemeClr w14:val="tx1"/>
            </w14:solidFill>
          </w14:textFill>
        </w:rPr>
        <w:t>个，共涉及资金</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107.39</w:t>
      </w:r>
      <w:r>
        <w:rPr>
          <w:rFonts w:ascii="Times New Roman" w:hAnsi="Times New Roman" w:eastAsia="仿宋_GB2312" w:cs="Times New Roman"/>
          <w:color w:val="000000" w:themeColor="text1"/>
          <w:kern w:val="0"/>
          <w:sz w:val="32"/>
          <w:szCs w:val="32"/>
          <w14:textFill>
            <w14:solidFill>
              <w14:schemeClr w14:val="tx1"/>
            </w14:solidFill>
          </w14:textFill>
        </w:rPr>
        <w:t>万元。其中，一般公共预算项目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w:t>
      </w:r>
      <w:r>
        <w:rPr>
          <w:rFonts w:ascii="Times New Roman" w:hAnsi="Times New Roman" w:eastAsia="仿宋_GB2312" w:cs="Times New Roman"/>
          <w:color w:val="000000" w:themeColor="text1"/>
          <w:kern w:val="0"/>
          <w:sz w:val="32"/>
          <w:szCs w:val="32"/>
          <w14:textFill>
            <w14:solidFill>
              <w14:schemeClr w14:val="tx1"/>
            </w14:solidFill>
          </w14:textFill>
        </w:rPr>
        <w:t xml:space="preserve"> 个</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107.39</w:t>
      </w:r>
      <w:r>
        <w:rPr>
          <w:rFonts w:ascii="Times New Roman" w:hAnsi="Times New Roman" w:eastAsia="仿宋_GB2312" w:cs="Times New Roman"/>
          <w:color w:val="000000" w:themeColor="text1"/>
          <w:kern w:val="0"/>
          <w:sz w:val="32"/>
          <w:szCs w:val="32"/>
          <w14:textFill>
            <w14:solidFill>
              <w14:schemeClr w14:val="tx1"/>
            </w14:solidFill>
          </w14:textFill>
        </w:rPr>
        <w:t xml:space="preserve"> 万元，占一般公共预算支出总额的</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kern w:val="0"/>
          <w:sz w:val="32"/>
          <w:szCs w:val="32"/>
          <w14:textFill>
            <w14:solidFill>
              <w14:schemeClr w14:val="tx1"/>
            </w14:solidFill>
          </w14:textFill>
        </w:rPr>
        <w:t>%；</w:t>
      </w:r>
      <w:r>
        <w:rPr>
          <w:rFonts w:hint="default" w:ascii="Times New Roman" w:hAnsi="Times New Roman" w:eastAsia="仿宋_GB2312" w:cs="Times New Roman"/>
          <w:color w:val="000000" w:themeColor="text1"/>
          <w:kern w:val="0"/>
          <w:sz w:val="32"/>
          <w:szCs w:val="32"/>
          <w14:textFill>
            <w14:solidFill>
              <w14:schemeClr w14:val="tx1"/>
            </w14:solidFill>
          </w14:textFill>
        </w:rPr>
        <w:t>本单位202</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kern w:val="0"/>
          <w:sz w:val="32"/>
          <w:szCs w:val="32"/>
          <w14:textFill>
            <w14:solidFill>
              <w14:schemeClr w14:val="tx1"/>
            </w14:solidFill>
          </w14:textFill>
        </w:rPr>
        <w:t>年无政府性基金预算、国有资本经营预算、社会保险基金预算项目支出。</w:t>
      </w:r>
    </w:p>
    <w:p w14:paraId="3E2005CE">
      <w:pPr>
        <w:pStyle w:val="8"/>
        <w:widowControl/>
        <w:numPr>
          <w:ilvl w:val="0"/>
          <w:numId w:val="0"/>
        </w:numPr>
        <w:shd w:val="clear" w:color="auto" w:fill="FFFFFF"/>
        <w:snapToGrid w:val="0"/>
        <w:spacing w:beforeAutospacing="0" w:afterAutospacing="0" w:line="520" w:lineRule="exact"/>
        <w:ind w:right="0" w:rightChars="0" w:firstLine="320" w:firstLineChars="100"/>
        <w:rPr>
          <w:rFonts w:hint="eastAsia" w:ascii="仿宋_GB2312" w:hAnsi="仿宋_GB2312" w:eastAsia="仿宋_GB2312" w:cs="仿宋_GB2312"/>
          <w:color w:val="000000" w:themeColor="text1"/>
          <w:sz w:val="32"/>
          <w:szCs w:val="32"/>
          <w:highlight w:val="none"/>
          <w:shd w:val="clear"/>
          <w:lang w:val="en-US" w:eastAsia="zh-CN"/>
          <w14:textFill>
            <w14:solidFill>
              <w14:schemeClr w14:val="tx1"/>
            </w14:solidFill>
          </w14:textFill>
        </w:rPr>
      </w:pPr>
      <w:r>
        <w:rPr>
          <w:rFonts w:ascii="Times New Roman" w:hAnsi="Times New Roman" w:eastAsia="楷体_GB2312" w:cs="Times New Roman"/>
          <w:b/>
          <w:bCs/>
          <w:color w:val="000000" w:themeColor="text1"/>
          <w:sz w:val="32"/>
          <w:szCs w:val="32"/>
          <w:highlight w:val="none"/>
          <w:shd w:val="clear"/>
          <w14:textFill>
            <w14:solidFill>
              <w14:schemeClr w14:val="tx1"/>
            </w14:solidFill>
          </w14:textFill>
        </w:rPr>
        <w:t>（二）绩效评价结果。</w:t>
      </w:r>
      <w:r>
        <w:rPr>
          <w:rFonts w:ascii="Times New Roman" w:hAnsi="Times New Roman" w:eastAsia="仿宋_GB2312" w:cs="Times New Roman"/>
          <w:b/>
          <w:bCs/>
          <w:color w:val="000000" w:themeColor="text1"/>
          <w:kern w:val="0"/>
          <w:sz w:val="32"/>
          <w:szCs w:val="32"/>
          <w:highlight w:val="none"/>
          <w:shd w:val="clear"/>
          <w14:textFill>
            <w14:solidFill>
              <w14:schemeClr w14:val="tx1"/>
            </w14:solidFill>
          </w14:textFill>
        </w:rPr>
        <w:t>一是绩效自评结果。</w:t>
      </w:r>
      <w:r>
        <w:rPr>
          <w:rFonts w:hint="eastAsia" w:ascii="仿宋_GB2312" w:hAnsi="仿宋_GB2312" w:eastAsia="仿宋_GB2312" w:cs="仿宋_GB2312"/>
          <w:color w:val="000000" w:themeColor="text1"/>
          <w:kern w:val="0"/>
          <w:sz w:val="32"/>
          <w:szCs w:val="32"/>
          <w:highlight w:val="none"/>
          <w:shd w:val="clear"/>
          <w14:textFill>
            <w14:solidFill>
              <w14:schemeClr w14:val="tx1"/>
            </w14:solidFill>
          </w14:textFill>
        </w:rPr>
        <w:t>202</w:t>
      </w:r>
      <w:r>
        <w:rPr>
          <w:rFonts w:hint="eastAsia" w:ascii="仿宋_GB2312" w:hAnsi="仿宋_GB2312" w:eastAsia="仿宋_GB2312" w:cs="仿宋_GB2312"/>
          <w:color w:val="000000" w:themeColor="text1"/>
          <w:kern w:val="0"/>
          <w:sz w:val="32"/>
          <w:szCs w:val="32"/>
          <w:highlight w:val="none"/>
          <w:shd w:val="clear"/>
          <w:lang w:val="en-US" w:eastAsia="zh-CN"/>
          <w14:textFill>
            <w14:solidFill>
              <w14:schemeClr w14:val="tx1"/>
            </w14:solidFill>
          </w14:textFill>
        </w:rPr>
        <w:t>5</w:t>
      </w:r>
      <w:r>
        <w:rPr>
          <w:rFonts w:hint="eastAsia" w:ascii="仿宋_GB2312" w:hAnsi="仿宋_GB2312" w:eastAsia="仿宋_GB2312" w:cs="仿宋_GB2312"/>
          <w:color w:val="000000" w:themeColor="text1"/>
          <w:kern w:val="0"/>
          <w:sz w:val="32"/>
          <w:szCs w:val="32"/>
          <w:highlight w:val="none"/>
          <w:shd w:val="clear"/>
          <w14:textFill>
            <w14:solidFill>
              <w14:schemeClr w14:val="tx1"/>
            </w14:solidFill>
          </w14:textFill>
        </w:rPr>
        <w:t>年度本部门（单位）整体支出</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全年预算数</w:t>
      </w:r>
      <w:r>
        <w:rPr>
          <w:rFonts w:hint="eastAsia" w:ascii="仿宋_GB2312" w:hAnsi="仿宋_GB2312" w:eastAsia="仿宋_GB2312" w:cs="仿宋_GB2312"/>
          <w:color w:val="000000" w:themeColor="text1"/>
          <w:sz w:val="32"/>
          <w:szCs w:val="32"/>
          <w:highlight w:val="none"/>
          <w:shd w:val="clear"/>
          <w:lang w:val="en-US" w:eastAsia="zh-CN"/>
          <w14:textFill>
            <w14:solidFill>
              <w14:schemeClr w14:val="tx1"/>
            </w14:solidFill>
          </w14:textFill>
        </w:rPr>
        <w:t>217.19</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万元，执行数</w:t>
      </w:r>
      <w:r>
        <w:rPr>
          <w:rFonts w:hint="eastAsia" w:ascii="仿宋_GB2312" w:hAnsi="仿宋_GB2312" w:eastAsia="仿宋_GB2312" w:cs="仿宋_GB2312"/>
          <w:color w:val="000000" w:themeColor="text1"/>
          <w:sz w:val="32"/>
          <w:szCs w:val="32"/>
          <w:highlight w:val="none"/>
          <w:shd w:val="clear"/>
          <w:lang w:val="en-US" w:eastAsia="zh-CN"/>
          <w14:textFill>
            <w14:solidFill>
              <w14:schemeClr w14:val="tx1"/>
            </w14:solidFill>
          </w14:textFill>
        </w:rPr>
        <w:t>366.29</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万元，完成预算的</w:t>
      </w:r>
      <w:r>
        <w:rPr>
          <w:rFonts w:hint="eastAsia" w:ascii="仿宋_GB2312" w:hAnsi="仿宋_GB2312" w:eastAsia="仿宋_GB2312" w:cs="仿宋_GB2312"/>
          <w:color w:val="000000" w:themeColor="text1"/>
          <w:sz w:val="32"/>
          <w:szCs w:val="32"/>
          <w:highlight w:val="none"/>
          <w:shd w:val="clear"/>
          <w:lang w:val="en-US" w:eastAsia="zh-CN"/>
          <w14:textFill>
            <w14:solidFill>
              <w14:schemeClr w14:val="tx1"/>
            </w14:solidFill>
          </w14:textFill>
        </w:rPr>
        <w:t>168.65</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shd w:val="clear"/>
          <w14:textFill>
            <w14:solidFill>
              <w14:schemeClr w14:val="tx1"/>
            </w14:solidFill>
          </w14:textFill>
        </w:rPr>
        <w:t>，绩效自评得分</w:t>
      </w:r>
      <w:r>
        <w:rPr>
          <w:rFonts w:hint="eastAsia" w:ascii="仿宋_GB2312" w:hAnsi="仿宋_GB2312" w:eastAsia="仿宋_GB2312" w:cs="仿宋_GB2312"/>
          <w:color w:val="000000" w:themeColor="text1"/>
          <w:sz w:val="32"/>
          <w:szCs w:val="32"/>
          <w:highlight w:val="none"/>
          <w:shd w:val="clear"/>
          <w:lang w:val="en-US" w:eastAsia="zh-CN"/>
          <w14:textFill>
            <w14:solidFill>
              <w14:schemeClr w14:val="tx1"/>
            </w14:solidFill>
          </w14:textFill>
        </w:rPr>
        <w:t>98</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分</w:t>
      </w:r>
      <w:r>
        <w:rPr>
          <w:rFonts w:hint="eastAsia" w:ascii="仿宋_GB2312" w:hAnsi="仿宋_GB2312" w:eastAsia="仿宋_GB2312" w:cs="仿宋_GB2312"/>
          <w:color w:val="000000" w:themeColor="text1"/>
          <w:kern w:val="0"/>
          <w:sz w:val="32"/>
          <w:szCs w:val="32"/>
          <w:highlight w:val="none"/>
          <w:shd w:val="clear"/>
          <w14:textFill>
            <w14:solidFill>
              <w14:schemeClr w14:val="tx1"/>
            </w14:solidFill>
          </w14:textFill>
        </w:rPr>
        <w:t>，评价等级为</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lang w:val="en-US" w:eastAsia="zh-CN"/>
          <w14:textFill>
            <w14:solidFill>
              <w14:schemeClr w14:val="tx1"/>
            </w14:solidFill>
          </w14:textFill>
        </w:rPr>
        <w:t>优</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”。绩效目标完成情况：</w:t>
      </w:r>
      <w:r>
        <w:rPr>
          <w:rFonts w:hint="eastAsia" w:ascii="仿宋_GB2312" w:hAnsi="仿宋_GB2312" w:eastAsia="仿宋_GB2312" w:cs="仿宋_GB2312"/>
          <w:color w:val="000000" w:themeColor="text1"/>
          <w:sz w:val="32"/>
          <w:szCs w:val="32"/>
          <w:highlight w:val="none"/>
          <w:shd w:val="clear"/>
          <w:lang w:val="en-US" w:eastAsia="zh-CN"/>
          <w14:textFill>
            <w14:solidFill>
              <w14:schemeClr w14:val="tx1"/>
            </w14:solidFill>
          </w14:textFill>
        </w:rPr>
        <w:t>一是</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全年共实施频谱占用度监测23000小时，移动监测2000小时，对台站数据库以外的频率进行核查。做好重点频段的监测分析，2025年日常监测任务涉及数字集群、公众移动通信、调频广播、北斗/GPS导航(L波段)、民航无线通信业务等频段，对重点频段进行占用度统计，主动监测排查重点频段的不明信号，在各月频谱监测和分析中排查各类信号。较为全面地完成国家和省下达的日常监测任务，并按时上报监测频谱月报</w:t>
      </w:r>
      <w:r>
        <w:rPr>
          <w:rFonts w:hint="eastAsia" w:ascii="仿宋_GB2312" w:hAnsi="仿宋_GB2312" w:eastAsia="仿宋_GB2312" w:cs="仿宋_GB2312"/>
          <w:color w:val="000000" w:themeColor="text1"/>
          <w:sz w:val="32"/>
          <w:szCs w:val="32"/>
          <w:highlight w:val="none"/>
          <w:shd w:val="clear"/>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开展打击“黑广播”“伪基站”，开展机场电磁环境保护专项监测，落实省无线电管理机构制定的</w:t>
      </w:r>
      <w:bookmarkStart w:id="0" w:name="OLE_LINK13"/>
      <w:bookmarkStart w:id="1" w:name="OLE_LINK12"/>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“护频行动”</w:t>
      </w:r>
      <w:bookmarkEnd w:id="0"/>
      <w:bookmarkEnd w:id="1"/>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，完成省无线电管理机构要求对重点区域的重点监测</w:t>
      </w:r>
      <w:r>
        <w:rPr>
          <w:rFonts w:hint="eastAsia" w:ascii="仿宋_GB2312" w:hAnsi="仿宋_GB2312" w:eastAsia="仿宋_GB2312" w:cs="仿宋_GB2312"/>
          <w:color w:val="000000" w:themeColor="text1"/>
          <w:sz w:val="32"/>
          <w:szCs w:val="32"/>
          <w:highlight w:val="none"/>
          <w:shd w:val="clear"/>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lang w:val="en-US" w:eastAsia="zh-CN"/>
          <w14:textFill>
            <w14:solidFill>
              <w14:schemeClr w14:val="tx1"/>
            </w14:solidFill>
          </w14:textFill>
        </w:rPr>
        <w:t>二是</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完成设备检测3次，完成对38个台站的检测测试</w:t>
      </w:r>
      <w:r>
        <w:rPr>
          <w:rFonts w:hint="eastAsia" w:ascii="仿宋_GB2312" w:hAnsi="仿宋_GB2312" w:eastAsia="仿宋_GB2312" w:cs="仿宋_GB2312"/>
          <w:color w:val="000000" w:themeColor="text1"/>
          <w:sz w:val="32"/>
          <w:szCs w:val="32"/>
          <w:highlight w:val="none"/>
          <w:shd w:val="clear"/>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lang w:val="en-US" w:eastAsia="zh-CN"/>
          <w14:textFill>
            <w14:solidFill>
              <w14:schemeClr w14:val="tx1"/>
            </w14:solidFill>
          </w14:textFill>
        </w:rPr>
        <w:t>三是完成</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“元旦”、“春节”、“全国两会”、国庆等节假日和重要时期的无线电安全保障工作</w:t>
      </w:r>
      <w:r>
        <w:rPr>
          <w:rFonts w:hint="eastAsia" w:ascii="仿宋_GB2312" w:hAnsi="仿宋_GB2312" w:eastAsia="仿宋_GB2312" w:cs="仿宋_GB2312"/>
          <w:color w:val="000000" w:themeColor="text1"/>
          <w:sz w:val="32"/>
          <w:szCs w:val="32"/>
          <w:highlight w:val="none"/>
          <w:shd w:val="clear"/>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lang w:val="en-US" w:eastAsia="zh-CN"/>
          <w14:textFill>
            <w14:solidFill>
              <w14:schemeClr w14:val="tx1"/>
            </w14:solidFill>
          </w14:textFill>
        </w:rPr>
        <w:t>四是</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参与了公务员招考、事业单位招考、高考、学考、会计、司法等各类考试保障，有效防范考试中利用无线电设备进行考试作弊的行为</w:t>
      </w:r>
      <w:r>
        <w:rPr>
          <w:rFonts w:hint="eastAsia" w:ascii="仿宋_GB2312" w:hAnsi="仿宋_GB2312" w:eastAsia="仿宋_GB2312" w:cs="仿宋_GB2312"/>
          <w:color w:val="000000" w:themeColor="text1"/>
          <w:sz w:val="32"/>
          <w:szCs w:val="32"/>
          <w:highlight w:val="none"/>
          <w:shd w:val="clear"/>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lang w:val="en-US" w:eastAsia="zh-CN"/>
          <w14:textFill>
            <w14:solidFill>
              <w14:schemeClr w14:val="tx1"/>
            </w14:solidFill>
          </w14:textFill>
        </w:rPr>
        <w:t>五是</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完成10座四类固定监测站建设维护，1座航路站建设维护：完成了溆浦航路站的建设</w:t>
      </w:r>
      <w:r>
        <w:rPr>
          <w:rFonts w:hint="eastAsia" w:ascii="仿宋_GB2312" w:hAnsi="仿宋_GB2312" w:eastAsia="仿宋_GB2312" w:cs="仿宋_GB2312"/>
          <w:color w:val="000000" w:themeColor="text1"/>
          <w:sz w:val="32"/>
          <w:szCs w:val="32"/>
          <w:highlight w:val="none"/>
          <w:shd w:val="clear"/>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shd w:val="clear"/>
          <w:lang w:val="en-US" w:eastAsia="zh-CN"/>
          <w14:textFill>
            <w14:solidFill>
              <w14:schemeClr w14:val="tx1"/>
            </w14:solidFill>
          </w14:textFill>
        </w:rPr>
        <w:t>六是</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完成了金海广场站危塔降高工作</w:t>
      </w:r>
      <w:r>
        <w:rPr>
          <w:rFonts w:hint="eastAsia" w:ascii="仿宋_GB2312" w:hAnsi="仿宋_GB2312" w:eastAsia="仿宋_GB2312" w:cs="仿宋_GB2312"/>
          <w:color w:val="000000" w:themeColor="text1"/>
          <w:sz w:val="32"/>
          <w:szCs w:val="32"/>
          <w:highlight w:val="none"/>
          <w:shd w:val="clear"/>
          <w:lang w:val="en-US" w:eastAsia="zh-CN"/>
          <w14:textFill>
            <w14:solidFill>
              <w14:schemeClr w14:val="tx1"/>
            </w14:solidFill>
          </w14:textFill>
        </w:rPr>
        <w:t>等</w:t>
      </w:r>
      <w:r>
        <w:rPr>
          <w:rFonts w:hint="eastAsia" w:ascii="仿宋_GB2312" w:hAnsi="仿宋_GB2312" w:eastAsia="仿宋_GB2312" w:cs="仿宋_GB2312"/>
          <w:color w:val="000000" w:themeColor="text1"/>
          <w:sz w:val="32"/>
          <w:szCs w:val="32"/>
          <w:highlight w:val="none"/>
          <w:shd w:val="clear"/>
          <w14:textFill>
            <w14:solidFill>
              <w14:schemeClr w14:val="tx1"/>
            </w14:solidFill>
          </w14:textFill>
        </w:rPr>
        <w:t>。下一步改进措施：</w:t>
      </w:r>
      <w:r>
        <w:rPr>
          <w:rFonts w:hint="eastAsia" w:ascii="仿宋_GB2312" w:hAnsi="仿宋_GB2312" w:eastAsia="仿宋_GB2312" w:cs="仿宋_GB2312"/>
          <w:color w:val="000000" w:themeColor="text1"/>
          <w:sz w:val="32"/>
          <w:szCs w:val="32"/>
          <w:highlight w:val="none"/>
          <w:shd w:val="clear"/>
          <w:lang w:val="en-US" w:eastAsia="zh-CN"/>
          <w14:textFill>
            <w14:solidFill>
              <w14:schemeClr w14:val="tx1"/>
            </w14:solidFill>
          </w14:textFill>
        </w:rPr>
        <w:t>1、科学合理地设置绩效指标。首先，强化资金使用和绩效目标管理意识；其次，根据单位职能科学合理地设置绩效指标，提高预算绩效指标的针对性和可测性，充分发挥预算绩效目标管理的导向作用。2、强化预算约束。各科室合力加速流程管理，确保在2026年度加快项目进度及项目资金的支付，强化预算执行的严肃性。</w:t>
      </w:r>
    </w:p>
    <w:p w14:paraId="2353E475">
      <w:pPr>
        <w:pStyle w:val="14"/>
        <w:overflowPunct w:val="0"/>
        <w:autoSpaceDE/>
        <w:autoSpaceDN/>
        <w:spacing w:line="600" w:lineRule="exact"/>
        <w:ind w:firstLine="640" w:firstLineChars="200"/>
        <w:jc w:val="both"/>
        <w:rPr>
          <w:rFonts w:hint="eastAsia" w:ascii="仿宋_GB2312" w:hAnsi="仿宋_GB2312" w:eastAsia="仿宋_GB2312" w:cs="仿宋_GB2312"/>
          <w:color w:val="000000" w:themeColor="text1"/>
          <w:sz w:val="72"/>
          <w:szCs w:val="72"/>
          <w14:textFill>
            <w14:solidFill>
              <w14:schemeClr w14:val="tx1"/>
            </w14:solidFill>
          </w14:textFill>
        </w:rPr>
      </w:pPr>
      <w:r>
        <w:rPr>
          <w:rFonts w:ascii="Times New Roman" w:hAnsi="Times New Roman" w:eastAsia="楷体_GB2312" w:cs="Times New Roman"/>
          <w:b/>
          <w:bCs/>
          <w:color w:val="000000" w:themeColor="text1"/>
          <w:kern w:val="2"/>
          <w:sz w:val="32"/>
          <w:szCs w:val="32"/>
          <w14:textFill>
            <w14:solidFill>
              <w14:schemeClr w14:val="tx1"/>
            </w14:solidFill>
          </w14:textFill>
        </w:rPr>
        <w:t>（三）评价结果应用情况。</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将绩效自评结果作为本单位完善制度和改进管理的重要依据，根据绩效自评结果，对比设定目标和实际完成情况，及时调整工作重点，提高工作效率，根据绩效自评结果，制定发展计划，提高财政资金支出决策水平和管理水平。</w:t>
      </w:r>
    </w:p>
    <w:p w14:paraId="1071D64D">
      <w:pPr>
        <w:pStyle w:val="14"/>
        <w:jc w:val="center"/>
        <w:rPr>
          <w:rFonts w:ascii="Times New Roman" w:hAnsi="Times New Roman" w:cs="Times New Roman"/>
          <w:color w:val="000000" w:themeColor="text1"/>
          <w:sz w:val="72"/>
          <w:szCs w:val="72"/>
          <w14:textFill>
            <w14:solidFill>
              <w14:schemeClr w14:val="tx1"/>
            </w14:solidFill>
          </w14:textFill>
        </w:rPr>
      </w:pPr>
    </w:p>
    <w:p w14:paraId="1FA7FCEB">
      <w:pPr>
        <w:pStyle w:val="14"/>
        <w:jc w:val="center"/>
        <w:rPr>
          <w:rFonts w:ascii="Times New Roman" w:hAnsi="Times New Roman" w:cs="Times New Roman"/>
          <w:color w:val="000000" w:themeColor="text1"/>
          <w:sz w:val="72"/>
          <w:szCs w:val="72"/>
          <w14:textFill>
            <w14:solidFill>
              <w14:schemeClr w14:val="tx1"/>
            </w14:solidFill>
          </w14:textFill>
        </w:rPr>
      </w:pPr>
    </w:p>
    <w:p w14:paraId="148B3C5C">
      <w:pPr>
        <w:pStyle w:val="14"/>
        <w:jc w:val="center"/>
        <w:rPr>
          <w:rFonts w:ascii="Times New Roman" w:hAnsi="Times New Roman" w:cs="Times New Roman"/>
          <w:color w:val="000000" w:themeColor="text1"/>
          <w:sz w:val="72"/>
          <w:szCs w:val="72"/>
          <w14:textFill>
            <w14:solidFill>
              <w14:schemeClr w14:val="tx1"/>
            </w14:solidFill>
          </w14:textFill>
        </w:rPr>
      </w:pPr>
    </w:p>
    <w:p w14:paraId="28F43C20">
      <w:pPr>
        <w:pStyle w:val="14"/>
        <w:jc w:val="center"/>
        <w:rPr>
          <w:rFonts w:ascii="Times New Roman" w:hAnsi="Times New Roman" w:cs="Times New Roman"/>
          <w:color w:val="000000" w:themeColor="text1"/>
          <w:sz w:val="72"/>
          <w:szCs w:val="72"/>
          <w14:textFill>
            <w14:solidFill>
              <w14:schemeClr w14:val="tx1"/>
            </w14:solidFill>
          </w14:textFill>
        </w:rPr>
      </w:pPr>
    </w:p>
    <w:p w14:paraId="1FB3B75D">
      <w:pPr>
        <w:pStyle w:val="14"/>
        <w:jc w:val="center"/>
        <w:rPr>
          <w:rFonts w:ascii="Times New Roman" w:hAnsi="Times New Roman" w:cs="Times New Roman"/>
          <w:color w:val="000000" w:themeColor="text1"/>
          <w:sz w:val="72"/>
          <w:szCs w:val="72"/>
          <w14:textFill>
            <w14:solidFill>
              <w14:schemeClr w14:val="tx1"/>
            </w14:solidFill>
          </w14:textFill>
        </w:rPr>
      </w:pPr>
    </w:p>
    <w:p w14:paraId="618141EA">
      <w:pPr>
        <w:pStyle w:val="14"/>
        <w:jc w:val="center"/>
        <w:rPr>
          <w:rFonts w:ascii="Times New Roman" w:hAnsi="Times New Roman" w:cs="Times New Roman"/>
          <w:color w:val="000000" w:themeColor="text1"/>
          <w:sz w:val="72"/>
          <w:szCs w:val="72"/>
          <w14:textFill>
            <w14:solidFill>
              <w14:schemeClr w14:val="tx1"/>
            </w14:solidFill>
          </w14:textFill>
        </w:rPr>
      </w:pPr>
    </w:p>
    <w:p w14:paraId="2F7E82DB">
      <w:pPr>
        <w:pStyle w:val="14"/>
        <w:jc w:val="center"/>
        <w:rPr>
          <w:rFonts w:ascii="Times New Roman" w:hAnsi="Times New Roman" w:cs="Times New Roman"/>
          <w:color w:val="000000" w:themeColor="text1"/>
          <w:sz w:val="72"/>
          <w:szCs w:val="72"/>
          <w14:textFill>
            <w14:solidFill>
              <w14:schemeClr w14:val="tx1"/>
            </w14:solidFill>
          </w14:textFill>
        </w:rPr>
      </w:pPr>
    </w:p>
    <w:p w14:paraId="58B17374">
      <w:pPr>
        <w:pStyle w:val="14"/>
        <w:jc w:val="center"/>
        <w:rPr>
          <w:rFonts w:ascii="Times New Roman" w:hAnsi="Times New Roman" w:cs="Times New Roman"/>
          <w:color w:val="000000" w:themeColor="text1"/>
          <w:sz w:val="72"/>
          <w:szCs w:val="72"/>
          <w14:textFill>
            <w14:solidFill>
              <w14:schemeClr w14:val="tx1"/>
            </w14:solidFill>
          </w14:textFill>
        </w:rPr>
      </w:pPr>
    </w:p>
    <w:p w14:paraId="04DC7A5C">
      <w:pPr>
        <w:pStyle w:val="14"/>
        <w:jc w:val="center"/>
        <w:rPr>
          <w:rFonts w:ascii="Times New Roman" w:hAnsi="Times New Roman" w:cs="Times New Roman"/>
          <w:color w:val="000000" w:themeColor="text1"/>
          <w:sz w:val="72"/>
          <w:szCs w:val="72"/>
          <w14:textFill>
            <w14:solidFill>
              <w14:schemeClr w14:val="tx1"/>
            </w14:solidFill>
          </w14:textFill>
        </w:rPr>
      </w:pPr>
    </w:p>
    <w:p w14:paraId="25D7267A">
      <w:pPr>
        <w:pStyle w:val="14"/>
        <w:jc w:val="center"/>
        <w:rPr>
          <w:rFonts w:ascii="Times New Roman" w:hAnsi="Times New Roman" w:cs="Times New Roman"/>
          <w:color w:val="000000" w:themeColor="text1"/>
          <w:sz w:val="72"/>
          <w:szCs w:val="72"/>
          <w14:textFill>
            <w14:solidFill>
              <w14:schemeClr w14:val="tx1"/>
            </w14:solidFill>
          </w14:textFill>
        </w:rPr>
      </w:pPr>
    </w:p>
    <w:p w14:paraId="14F03186">
      <w:pPr>
        <w:pStyle w:val="14"/>
        <w:spacing w:line="360" w:lineRule="auto"/>
        <w:jc w:val="center"/>
        <w:rPr>
          <w:rFonts w:ascii="Times New Roman" w:hAnsi="Times New Roman" w:eastAsia="方正小标宋_GBK" w:cs="Times New Roman"/>
          <w:color w:val="000000" w:themeColor="text1"/>
          <w:sz w:val="44"/>
          <w:szCs w:val="44"/>
          <w14:textFill>
            <w14:solidFill>
              <w14:schemeClr w14:val="tx1"/>
            </w14:solidFill>
          </w14:textFill>
        </w:rPr>
      </w:pPr>
      <w:r>
        <w:rPr>
          <w:rFonts w:ascii="Times New Roman" w:hAnsi="Times New Roman" w:eastAsia="方正小标宋_GBK" w:cs="Times New Roman"/>
          <w:color w:val="000000" w:themeColor="text1"/>
          <w:sz w:val="44"/>
          <w:szCs w:val="44"/>
          <w14:textFill>
            <w14:solidFill>
              <w14:schemeClr w14:val="tx1"/>
            </w14:solidFill>
          </w14:textFill>
        </w:rPr>
        <w:t>第四部分    名词解释</w:t>
      </w:r>
    </w:p>
    <w:p w14:paraId="363E786D">
      <w:pPr>
        <w:widowControl/>
        <w:jc w:val="left"/>
        <w:rPr>
          <w:rFonts w:ascii="Times New Roman" w:hAnsi="Times New Roman" w:cs="Times New Roman"/>
          <w:color w:val="000000" w:themeColor="text1"/>
          <w:kern w:val="0"/>
          <w:sz w:val="32"/>
          <w:szCs w:val="32"/>
          <w14:textFill>
            <w14:solidFill>
              <w14:schemeClr w14:val="tx1"/>
            </w14:solidFill>
          </w14:textFill>
        </w:rPr>
      </w:pPr>
    </w:p>
    <w:p w14:paraId="5E0FB5F8">
      <w:pPr>
        <w:pStyle w:val="8"/>
        <w:keepNext w:val="0"/>
        <w:keepLines w:val="0"/>
        <w:pageBreakBefore w:val="0"/>
        <w:widowControl/>
        <w:shd w:val="clear" w:color="auto"/>
        <w:kinsoku/>
        <w:wordWrap/>
        <w:overflowPunct/>
        <w:topLinePunct w:val="0"/>
        <w:autoSpaceDE/>
        <w:autoSpaceDN/>
        <w:bidi w:val="0"/>
        <w:adjustRightInd/>
        <w:snapToGrid/>
        <w:spacing w:beforeAutospacing="0" w:afterAutospacing="0" w:line="255" w:lineRule="atLeas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bCs/>
          <w:color w:val="000000" w:themeColor="text1"/>
          <w:kern w:val="0"/>
          <w:sz w:val="32"/>
          <w:szCs w:val="32"/>
          <w:lang w:val="en-US" w:eastAsia="zh-CN" w:bidi="ar-SA"/>
          <w14:textFill>
            <w14:solidFill>
              <w14:schemeClr w14:val="tx1"/>
            </w14:solidFill>
          </w14:textFill>
        </w:rPr>
        <w:t>一、机关运行经费：</w:t>
      </w:r>
      <w:r>
        <w:rPr>
          <w:rFonts w:hint="default" w:ascii="Times New Roman" w:hAnsi="Times New Roman" w:eastAsia="仿宋_GB2312" w:cs="Times New Roman"/>
          <w:color w:val="000000" w:themeColor="text1"/>
          <w:sz w:val="32"/>
          <w:szCs w:val="32"/>
          <w14:textFill>
            <w14:solidFill>
              <w14:schemeClr w14:val="tx1"/>
            </w14:solidFill>
          </w14:textFill>
        </w:rPr>
        <w:t>为保障行政单位（包括参照公务员法管理的事业单位）运行，用一般公共预算拨款安排用于购买货物和服务的各项资金，包括办公及印刷费、邮电费、差旅费、会议费、福利费、日常维修费、办公用房水电费、办公用房取</w:t>
      </w:r>
      <w:r>
        <w:rPr>
          <w:rFonts w:hint="default" w:ascii="Times New Roman" w:hAnsi="Times New Roman" w:eastAsia="仿宋_GB2312" w:cs="Times New Roman"/>
          <w:color w:val="000000" w:themeColor="text1"/>
          <w:spacing w:val="-6"/>
          <w:sz w:val="32"/>
          <w:szCs w:val="32"/>
          <w14:textFill>
            <w14:solidFill>
              <w14:schemeClr w14:val="tx1"/>
            </w14:solidFill>
          </w14:textFill>
        </w:rPr>
        <w:t>暖费、办公用房物业管理费、公务用车运行维护费以及其他费用。</w:t>
      </w:r>
    </w:p>
    <w:p w14:paraId="21979BDC">
      <w:pPr>
        <w:pStyle w:val="8"/>
        <w:keepNext w:val="0"/>
        <w:keepLines w:val="0"/>
        <w:pageBreakBefore w:val="0"/>
        <w:widowControl/>
        <w:shd w:val="clear" w:color="auto"/>
        <w:kinsoku/>
        <w:wordWrap/>
        <w:overflowPunct/>
        <w:topLinePunct w:val="0"/>
        <w:autoSpaceDE/>
        <w:autoSpaceDN/>
        <w:bidi w:val="0"/>
        <w:adjustRightInd/>
        <w:snapToGrid/>
        <w:spacing w:beforeAutospacing="0" w:after="38" w:afterAutospacing="0" w:line="255" w:lineRule="atLeas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bCs/>
          <w:color w:val="000000" w:themeColor="text1"/>
          <w:kern w:val="0"/>
          <w:sz w:val="32"/>
          <w:szCs w:val="32"/>
          <w:lang w:val="en-US" w:eastAsia="zh-CN" w:bidi="ar-SA"/>
          <w14:textFill>
            <w14:solidFill>
              <w14:schemeClr w14:val="tx1"/>
            </w14:solidFill>
          </w14:textFill>
        </w:rPr>
        <w:t>二、“三公”经费：</w:t>
      </w:r>
      <w:r>
        <w:rPr>
          <w:rFonts w:hint="default" w:ascii="Times New Roman" w:hAnsi="Times New Roman" w:eastAsia="仿宋_GB2312" w:cs="Times New Roman"/>
          <w:color w:val="000000" w:themeColor="text1"/>
          <w:sz w:val="32"/>
          <w:szCs w:val="32"/>
          <w14:textFill>
            <w14:solidFill>
              <w14:schemeClr w14:val="tx1"/>
            </w14:solidFill>
          </w14:textFill>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6DB7175">
      <w:pPr>
        <w:pStyle w:val="14"/>
        <w:jc w:val="center"/>
        <w:rPr>
          <w:rFonts w:ascii="Times New Roman" w:hAnsi="Times New Roman" w:cs="Times New Roman"/>
          <w:color w:val="000000" w:themeColor="text1"/>
          <w:sz w:val="72"/>
          <w:szCs w:val="72"/>
          <w14:textFill>
            <w14:solidFill>
              <w14:schemeClr w14:val="tx1"/>
            </w14:solidFill>
          </w14:textFill>
        </w:rPr>
      </w:pPr>
    </w:p>
    <w:p w14:paraId="3E5DEF0A">
      <w:pPr>
        <w:pStyle w:val="14"/>
        <w:jc w:val="center"/>
        <w:rPr>
          <w:rFonts w:ascii="Times New Roman" w:hAnsi="Times New Roman" w:cs="Times New Roman"/>
          <w:color w:val="000000" w:themeColor="text1"/>
          <w:sz w:val="72"/>
          <w:szCs w:val="72"/>
          <w14:textFill>
            <w14:solidFill>
              <w14:schemeClr w14:val="tx1"/>
            </w14:solidFill>
          </w14:textFill>
        </w:rPr>
      </w:pPr>
    </w:p>
    <w:p w14:paraId="610C1D78">
      <w:pPr>
        <w:pStyle w:val="14"/>
        <w:jc w:val="center"/>
        <w:rPr>
          <w:rFonts w:ascii="Times New Roman" w:hAnsi="Times New Roman" w:cs="Times New Roman"/>
          <w:color w:val="000000" w:themeColor="text1"/>
          <w:sz w:val="72"/>
          <w:szCs w:val="72"/>
          <w14:textFill>
            <w14:solidFill>
              <w14:schemeClr w14:val="tx1"/>
            </w14:solidFill>
          </w14:textFill>
        </w:rPr>
      </w:pPr>
    </w:p>
    <w:p w14:paraId="7AF34430">
      <w:pPr>
        <w:pStyle w:val="14"/>
        <w:jc w:val="center"/>
        <w:rPr>
          <w:rFonts w:ascii="Times New Roman" w:hAnsi="Times New Roman" w:cs="Times New Roman"/>
          <w:color w:val="000000" w:themeColor="text1"/>
          <w:sz w:val="72"/>
          <w:szCs w:val="72"/>
          <w14:textFill>
            <w14:solidFill>
              <w14:schemeClr w14:val="tx1"/>
            </w14:solidFill>
          </w14:textFill>
        </w:rPr>
      </w:pPr>
    </w:p>
    <w:p w14:paraId="49A3D4B2">
      <w:pPr>
        <w:pStyle w:val="14"/>
        <w:jc w:val="center"/>
        <w:rPr>
          <w:rFonts w:ascii="Times New Roman" w:hAnsi="Times New Roman" w:cs="Times New Roman"/>
          <w:color w:val="000000" w:themeColor="text1"/>
          <w:sz w:val="72"/>
          <w:szCs w:val="72"/>
          <w14:textFill>
            <w14:solidFill>
              <w14:schemeClr w14:val="tx1"/>
            </w14:solidFill>
          </w14:textFill>
        </w:rPr>
      </w:pPr>
    </w:p>
    <w:p w14:paraId="6FD7FAF7">
      <w:pPr>
        <w:pStyle w:val="14"/>
        <w:spacing w:line="360" w:lineRule="auto"/>
        <w:jc w:val="center"/>
        <w:rPr>
          <w:rFonts w:ascii="Times New Roman" w:hAnsi="Times New Roman" w:eastAsia="方正小标宋_GBK" w:cs="Times New Roman"/>
          <w:color w:val="000000" w:themeColor="text1"/>
          <w:sz w:val="44"/>
          <w:szCs w:val="44"/>
          <w14:textFill>
            <w14:solidFill>
              <w14:schemeClr w14:val="tx1"/>
            </w14:solidFill>
          </w14:textFill>
        </w:rPr>
      </w:pPr>
      <w:r>
        <w:rPr>
          <w:rFonts w:ascii="Times New Roman" w:hAnsi="Times New Roman" w:eastAsia="方正小标宋_GBK" w:cs="Times New Roman"/>
          <w:color w:val="000000" w:themeColor="text1"/>
          <w:sz w:val="44"/>
          <w:szCs w:val="44"/>
          <w14:textFill>
            <w14:solidFill>
              <w14:schemeClr w14:val="tx1"/>
            </w14:solidFill>
          </w14:textFill>
        </w:rPr>
        <w:t>第五部分   附 件</w:t>
      </w:r>
    </w:p>
    <w:p w14:paraId="30EF9C64">
      <w:pPr>
        <w:rPr>
          <w:rFonts w:ascii="Times New Roman" w:hAnsi="Times New Roman" w:cs="Times New Roman"/>
          <w:color w:val="000000" w:themeColor="text1"/>
          <w:sz w:val="72"/>
          <w:szCs w:val="72"/>
          <w14:textFill>
            <w14:solidFill>
              <w14:schemeClr w14:val="tx1"/>
            </w14:solidFill>
          </w14:textFill>
        </w:rPr>
      </w:pPr>
    </w:p>
    <w:p w14:paraId="38B086A9">
      <w:pPr>
        <w:pStyle w:val="14"/>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一、</w:t>
      </w: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年度部门整体支出绩效自评报告。</w:t>
      </w:r>
    </w:p>
    <w:p w14:paraId="1147B2CF">
      <w:pPr>
        <w:pStyle w:val="14"/>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b/>
          <w:bCs/>
          <w:color w:val="000000" w:themeColor="text1"/>
          <w:sz w:val="32"/>
          <w:szCs w:val="32"/>
          <w14:textFill>
            <w14:solidFill>
              <w14:schemeClr w14:val="tx1"/>
            </w14:solidFill>
          </w14:textFill>
        </w:rPr>
        <w:t>二、</w:t>
      </w: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年部门决算公开表</w:t>
      </w:r>
    </w:p>
    <w:p w14:paraId="12A3E3FB">
      <w:pPr>
        <w:pStyle w:val="14"/>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p>
    <w:p w14:paraId="7F67F533">
      <w:pPr>
        <w:pStyle w:val="14"/>
        <w:jc w:val="center"/>
        <w:rPr>
          <w:rFonts w:ascii="Times New Roman" w:hAnsi="Times New Roman" w:cs="Times New Roman"/>
          <w:color w:val="000000" w:themeColor="text1"/>
          <w:sz w:val="72"/>
          <w:szCs w:val="72"/>
          <w14:textFill>
            <w14:solidFill>
              <w14:schemeClr w14:val="tx1"/>
            </w14:solidFill>
          </w14:textFill>
        </w:rPr>
      </w:pPr>
    </w:p>
    <w:p w14:paraId="437C906D">
      <w:pPr>
        <w:pStyle w:val="14"/>
        <w:jc w:val="center"/>
        <w:rPr>
          <w:rFonts w:ascii="Times New Roman" w:hAnsi="Times New Roman" w:cs="Times New Roman"/>
          <w:color w:val="000000" w:themeColor="text1"/>
          <w:sz w:val="72"/>
          <w:szCs w:val="72"/>
          <w14:textFill>
            <w14:solidFill>
              <w14:schemeClr w14:val="tx1"/>
            </w14:solidFill>
          </w14:textFill>
        </w:rPr>
      </w:pPr>
    </w:p>
    <w:p w14:paraId="51867A33">
      <w:pPr>
        <w:jc w:val="left"/>
        <w:rPr>
          <w:rFonts w:ascii="Times New Roman" w:hAnsi="Times New Roman" w:cs="Times New Roman"/>
          <w:color w:val="000000" w:themeColor="text1"/>
          <w:kern w:val="0"/>
          <w:sz w:val="32"/>
          <w:szCs w:val="32"/>
          <w14:textFill>
            <w14:solidFill>
              <w14:schemeClr w14:val="tx1"/>
            </w14:solidFill>
          </w14:textFill>
        </w:rPr>
      </w:pPr>
      <w:bookmarkStart w:id="2" w:name="_GoBack"/>
      <w:bookmarkEnd w:id="2"/>
    </w:p>
    <w:sectPr>
      <w:footerReference r:id="rId6" w:type="default"/>
      <w:pgSz w:w="11906" w:h="16838"/>
      <w:pgMar w:top="1417" w:right="1588" w:bottom="1417" w:left="1588" w:header="851" w:footer="992" w:gutter="0"/>
      <w:pgNumType w:fmt="numberInDash"/>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2B3F7">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6F2A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091E2">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068C8C">
                          <w:pPr>
                            <w:pStyle w:val="5"/>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2068C8C">
                    <w:pPr>
                      <w:pStyle w:val="5"/>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56C98">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D1F5C7">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20</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4D1F5C7">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20</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3FAAD3"/>
    <w:multiLevelType w:val="singleLevel"/>
    <w:tmpl w:val="203FAAD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NotTrackMove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224FE"/>
    <w:rsid w:val="04A34B13"/>
    <w:rsid w:val="0905130F"/>
    <w:rsid w:val="0A902577"/>
    <w:rsid w:val="0EDE2DB2"/>
    <w:rsid w:val="111E1B8C"/>
    <w:rsid w:val="118C4D48"/>
    <w:rsid w:val="14F43C8F"/>
    <w:rsid w:val="15064E11"/>
    <w:rsid w:val="172F064F"/>
    <w:rsid w:val="1822151C"/>
    <w:rsid w:val="189A41EE"/>
    <w:rsid w:val="1BF2650C"/>
    <w:rsid w:val="1CA041F5"/>
    <w:rsid w:val="203C6057"/>
    <w:rsid w:val="222F59A7"/>
    <w:rsid w:val="292C2C40"/>
    <w:rsid w:val="2A077209"/>
    <w:rsid w:val="2D92328E"/>
    <w:rsid w:val="2EF81E53"/>
    <w:rsid w:val="30A92DC8"/>
    <w:rsid w:val="336530DF"/>
    <w:rsid w:val="391D4354"/>
    <w:rsid w:val="3AFF29CA"/>
    <w:rsid w:val="3B4E2EEA"/>
    <w:rsid w:val="3C7249B6"/>
    <w:rsid w:val="3C8B265C"/>
    <w:rsid w:val="3D22018A"/>
    <w:rsid w:val="3E143A42"/>
    <w:rsid w:val="43F108B7"/>
    <w:rsid w:val="46A95479"/>
    <w:rsid w:val="482D3E87"/>
    <w:rsid w:val="49A63EF1"/>
    <w:rsid w:val="49F033BE"/>
    <w:rsid w:val="4ED11A10"/>
    <w:rsid w:val="4F2A1E52"/>
    <w:rsid w:val="509E1DC6"/>
    <w:rsid w:val="50BB64D4"/>
    <w:rsid w:val="51E11F6A"/>
    <w:rsid w:val="53634C01"/>
    <w:rsid w:val="553E76D4"/>
    <w:rsid w:val="683A4ED9"/>
    <w:rsid w:val="6A9811DC"/>
    <w:rsid w:val="6DA5433C"/>
    <w:rsid w:val="6E737F96"/>
    <w:rsid w:val="70457711"/>
    <w:rsid w:val="75153B55"/>
    <w:rsid w:val="77754D7F"/>
    <w:rsid w:val="7B1F572E"/>
    <w:rsid w:val="7FAA7590"/>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0">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2">
    <w:name w:val="页眉 Char"/>
    <w:basedOn w:val="11"/>
    <w:link w:val="6"/>
    <w:qFormat/>
    <w:uiPriority w:val="99"/>
    <w:rPr>
      <w:sz w:val="18"/>
      <w:szCs w:val="18"/>
    </w:rPr>
  </w:style>
  <w:style w:type="character" w:customStyle="1" w:styleId="13">
    <w:name w:val="页脚 Char"/>
    <w:basedOn w:val="11"/>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4"/>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customStyle="1" w:styleId="20">
    <w:name w:val="NormalIndent"/>
    <w:basedOn w:val="1"/>
    <w:qFormat/>
    <w:uiPriority w:val="0"/>
    <w:pPr>
      <w:widowControl w:val="0"/>
      <w:ind w:firstLine="200" w:firstLineChars="200"/>
      <w:jc w:val="both"/>
      <w:textAlignment w:val="baseline"/>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56d243-f563-49b0-9fc2-83617041450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4725</Words>
  <Characters>5223</Characters>
  <Lines>69</Lines>
  <Paragraphs>19</Paragraphs>
  <TotalTime>4</TotalTime>
  <ScaleCrop>false</ScaleCrop>
  <LinksUpToDate>false</LinksUpToDate>
  <CharactersWithSpaces>5241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小倩</cp:lastModifiedBy>
  <cp:lastPrinted>2024-08-10T02:20:00Z</cp:lastPrinted>
  <dcterms:modified xsi:type="dcterms:W3CDTF">2026-09-15T03:25:19Z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E81326BA2CB949458EEF866A253B0B35_13</vt:lpwstr>
  </property>
  <property fmtid="{D5CDD505-2E9C-101B-9397-08002B2CF9AE}" pid="4" name="KSOTemplateDocerSaveRecord">
    <vt:lpwstr>eyJoZGlkIjoiN2ExNjRmZDRjMjYzOWQyOWI4NzRhYjNmZjRkYzQ0OTIiLCJ1c2VySWQiOiIyMzU5NzE0MjAifQ==</vt:lpwstr>
  </property>
</Properties>
</file>