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9D2D7">
      <w:pPr>
        <w:pStyle w:val="14"/>
        <w:jc w:val="both"/>
        <w:rPr>
          <w:rFonts w:hint="default" w:ascii="Times New Roman" w:hAnsi="Times New Roman" w:eastAsia="黑体" w:cs="Times New Roman"/>
          <w:color w:val="auto"/>
          <w:sz w:val="36"/>
          <w:szCs w:val="36"/>
          <w:lang w:eastAsia="zh-CN"/>
        </w:rPr>
      </w:pPr>
      <w:r>
        <w:rPr>
          <w:rFonts w:hint="default" w:ascii="Times New Roman" w:hAnsi="Times New Roman" w:cs="Times New Roman"/>
          <w:color w:val="auto"/>
          <w:sz w:val="36"/>
          <w:szCs w:val="36"/>
        </w:rPr>
        <w:t>附件</w:t>
      </w:r>
      <w:r>
        <w:rPr>
          <w:rFonts w:hint="default" w:ascii="Times New Roman" w:hAnsi="Times New Roman" w:cs="Times New Roman"/>
          <w:color w:val="auto"/>
          <w:sz w:val="36"/>
          <w:szCs w:val="36"/>
          <w:lang w:val="en-US" w:eastAsia="zh-CN"/>
        </w:rPr>
        <w:t>2</w:t>
      </w:r>
    </w:p>
    <w:p w14:paraId="51B6E894">
      <w:pPr>
        <w:pStyle w:val="14"/>
        <w:jc w:val="center"/>
        <w:rPr>
          <w:rFonts w:hint="default" w:ascii="Times New Roman" w:hAnsi="Times New Roman" w:cs="Times New Roman"/>
          <w:color w:val="auto"/>
          <w:sz w:val="56"/>
          <w:szCs w:val="56"/>
        </w:rPr>
      </w:pPr>
    </w:p>
    <w:p w14:paraId="1809EA82">
      <w:pPr>
        <w:pStyle w:val="14"/>
        <w:jc w:val="center"/>
        <w:rPr>
          <w:rFonts w:hint="default" w:ascii="Times New Roman" w:hAnsi="Times New Roman" w:cs="Times New Roman"/>
          <w:color w:val="auto"/>
          <w:sz w:val="84"/>
          <w:szCs w:val="84"/>
        </w:rPr>
      </w:pPr>
    </w:p>
    <w:p w14:paraId="29B98A1F">
      <w:pPr>
        <w:pStyle w:val="14"/>
        <w:jc w:val="center"/>
        <w:rPr>
          <w:rFonts w:hint="default" w:ascii="Times New Roman" w:hAnsi="Times New Roman" w:cs="Times New Roman"/>
          <w:color w:val="auto"/>
          <w:sz w:val="84"/>
          <w:szCs w:val="84"/>
        </w:rPr>
      </w:pPr>
    </w:p>
    <w:p w14:paraId="64B1580E">
      <w:pPr>
        <w:pStyle w:val="14"/>
        <w:jc w:val="center"/>
        <w:rPr>
          <w:rFonts w:hint="default" w:ascii="Times New Roman" w:hAnsi="Times New Roman" w:eastAsia="方正小标宋简体" w:cs="Times New Roman"/>
          <w:color w:val="auto"/>
          <w:sz w:val="72"/>
          <w:szCs w:val="72"/>
        </w:rPr>
      </w:pPr>
      <w:r>
        <w:rPr>
          <w:rFonts w:hint="default" w:ascii="Times New Roman" w:hAnsi="Times New Roman" w:eastAsia="方正小标宋简体" w:cs="Times New Roman"/>
          <w:color w:val="auto"/>
          <w:sz w:val="72"/>
          <w:szCs w:val="72"/>
        </w:rPr>
        <w:t>202</w:t>
      </w:r>
      <w:r>
        <w:rPr>
          <w:rFonts w:hint="default" w:ascii="Times New Roman" w:hAnsi="Times New Roman" w:eastAsia="方正小标宋简体" w:cs="Times New Roman"/>
          <w:color w:val="auto"/>
          <w:sz w:val="72"/>
          <w:szCs w:val="72"/>
          <w:lang w:val="en-US" w:eastAsia="zh-CN"/>
        </w:rPr>
        <w:t>5</w:t>
      </w:r>
      <w:r>
        <w:rPr>
          <w:rFonts w:hint="default" w:ascii="Times New Roman" w:hAnsi="Times New Roman" w:eastAsia="方正小标宋简体" w:cs="Times New Roman"/>
          <w:color w:val="auto"/>
          <w:sz w:val="72"/>
          <w:szCs w:val="72"/>
        </w:rPr>
        <w:t>年度</w:t>
      </w:r>
    </w:p>
    <w:p w14:paraId="677340FF">
      <w:pPr>
        <w:pStyle w:val="14"/>
        <w:jc w:val="center"/>
        <w:rPr>
          <w:rFonts w:hint="default" w:ascii="Times New Roman" w:hAnsi="Times New Roman" w:cs="Times New Roman"/>
          <w:b/>
          <w:color w:val="auto"/>
          <w:sz w:val="36"/>
          <w:szCs w:val="28"/>
        </w:rPr>
        <w:sectPr>
          <w:pgSz w:w="11906" w:h="16838"/>
          <w:pgMar w:top="1417" w:right="1588" w:bottom="1417" w:left="1588" w:header="851" w:footer="992" w:gutter="0"/>
          <w:pgNumType w:fmt="numberInDash" w:start="1"/>
          <w:cols w:space="425" w:num="1"/>
          <w:docGrid w:type="lines" w:linePitch="312" w:charSpace="0"/>
        </w:sectPr>
      </w:pPr>
      <w:r>
        <w:rPr>
          <w:rFonts w:hint="default" w:ascii="Times New Roman" w:hAnsi="Times New Roman" w:eastAsia="方正小标宋简体" w:cs="Times New Roman"/>
          <w:color w:val="auto"/>
          <w:sz w:val="72"/>
          <w:szCs w:val="72"/>
          <w:lang w:val="en-US" w:eastAsia="zh-CN"/>
        </w:rPr>
        <w:t>怀化市工业和信息化局本级</w:t>
      </w:r>
      <w:r>
        <w:rPr>
          <w:rFonts w:hint="default" w:ascii="Times New Roman" w:hAnsi="Times New Roman" w:eastAsia="方正小标宋简体" w:cs="Times New Roman"/>
          <w:color w:val="auto"/>
          <w:sz w:val="72"/>
          <w:szCs w:val="72"/>
        </w:rPr>
        <w:t>部门决算</w:t>
      </w:r>
    </w:p>
    <w:p w14:paraId="59DF3804">
      <w:pPr>
        <w:pStyle w:val="14"/>
        <w:spacing w:line="600" w:lineRule="exact"/>
        <w:jc w:val="center"/>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目  录</w:t>
      </w:r>
    </w:p>
    <w:p w14:paraId="3AD6E412">
      <w:pPr>
        <w:pStyle w:val="14"/>
        <w:spacing w:line="600" w:lineRule="exact"/>
        <w:jc w:val="center"/>
        <w:rPr>
          <w:rFonts w:hint="default" w:ascii="Times New Roman" w:hAnsi="Times New Roman" w:cs="Times New Roman"/>
          <w:b/>
          <w:color w:val="auto"/>
          <w:sz w:val="36"/>
          <w:szCs w:val="28"/>
        </w:rPr>
      </w:pPr>
    </w:p>
    <w:p w14:paraId="7AE3526F">
      <w:pPr>
        <w:pStyle w:val="14"/>
        <w:spacing w:after="156" w:afterLines="50" w:line="600" w:lineRule="exact"/>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第一部分怀化市工业和信息化局概况</w:t>
      </w:r>
    </w:p>
    <w:p w14:paraId="30B06DF4">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一、部门职责</w:t>
      </w:r>
    </w:p>
    <w:p w14:paraId="4700E6B4">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二、机构设置及决算单位构成</w:t>
      </w:r>
    </w:p>
    <w:p w14:paraId="352059A2">
      <w:pPr>
        <w:pStyle w:val="14"/>
        <w:spacing w:after="156" w:afterLines="50" w:line="600" w:lineRule="exact"/>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第二部分 部门决算表</w:t>
      </w:r>
    </w:p>
    <w:p w14:paraId="79E12FEE">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一、收入支出决算总表</w:t>
      </w:r>
    </w:p>
    <w:p w14:paraId="7E598F8D">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二、收入决算表</w:t>
      </w:r>
    </w:p>
    <w:p w14:paraId="3B5E36C9">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三、支出决算表</w:t>
      </w:r>
    </w:p>
    <w:p w14:paraId="71058FCC">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四、财政拨款收入支出决算总表</w:t>
      </w:r>
    </w:p>
    <w:p w14:paraId="7FD82515">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五、一般公共预算财政拨款支出决算表</w:t>
      </w:r>
    </w:p>
    <w:p w14:paraId="32EE926F">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六、一般公共预算财政拨款基本支出决算明细表</w:t>
      </w:r>
    </w:p>
    <w:p w14:paraId="569187C2">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七、政府性基金预算财政拨款收入支出决算表</w:t>
      </w:r>
    </w:p>
    <w:p w14:paraId="639D2B8D">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八、国有资本经营预算财政拨款支出决算表</w:t>
      </w:r>
    </w:p>
    <w:p w14:paraId="1F70197A">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九、财政拨款“三公”经费支出决算表</w:t>
      </w:r>
    </w:p>
    <w:p w14:paraId="38AF473C">
      <w:pPr>
        <w:pStyle w:val="14"/>
        <w:spacing w:after="156" w:afterLines="50" w:line="600" w:lineRule="exact"/>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第三部分 部门决算情况说明</w:t>
      </w:r>
    </w:p>
    <w:p w14:paraId="32D1AFCA">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一、收入支出决算总体情况说明</w:t>
      </w:r>
    </w:p>
    <w:p w14:paraId="3E33C7A8">
      <w:pPr>
        <w:spacing w:line="600"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二、收入决算情况说明</w:t>
      </w:r>
    </w:p>
    <w:p w14:paraId="564D14DE">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三、支出决算情况说明</w:t>
      </w:r>
    </w:p>
    <w:p w14:paraId="4BF4F037">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四、财政拨款收入支出决算总体情况说明</w:t>
      </w:r>
    </w:p>
    <w:p w14:paraId="2FE45A95">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五、一般公共预算财政拨款支出决算情况说明</w:t>
      </w:r>
    </w:p>
    <w:p w14:paraId="4FFCE55D">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sectPr>
          <w:footerReference r:id="rId3" w:type="default"/>
          <w:pgSz w:w="11906" w:h="16838"/>
          <w:pgMar w:top="1417" w:right="1588" w:bottom="1417" w:left="1588" w:header="851" w:footer="992" w:gutter="0"/>
          <w:pgNumType w:fmt="numberInDash" w:start="1"/>
          <w:cols w:space="425" w:num="1"/>
          <w:docGrid w:type="lines" w:linePitch="312" w:charSpace="0"/>
        </w:sectPr>
      </w:pPr>
    </w:p>
    <w:p w14:paraId="180A18FC">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六、一般公共预算财政拨款基本支出决算情况说明</w:t>
      </w:r>
    </w:p>
    <w:p w14:paraId="6D344C66">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七、财政拨款“三公”经费支出决算情况说明</w:t>
      </w:r>
    </w:p>
    <w:p w14:paraId="4626DDFC">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八、政府性基金预算收入支出决算情况</w:t>
      </w:r>
    </w:p>
    <w:p w14:paraId="6ECA2C12">
      <w:pPr>
        <w:pStyle w:val="15"/>
        <w:shd w:val="clear"/>
        <w:ind w:left="0" w:leftChars="0" w:firstLine="0" w:firstLineChars="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九、国有资本经营预算收入支出决算情况</w:t>
      </w:r>
    </w:p>
    <w:p w14:paraId="2A834B0C">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十、</w:t>
      </w:r>
      <w:r>
        <w:rPr>
          <w:rFonts w:hint="default" w:ascii="Times New Roman" w:hAnsi="Times New Roman" w:eastAsia="仿宋_GB2312" w:cs="Times New Roman"/>
          <w:color w:val="auto"/>
          <w:kern w:val="0"/>
          <w:sz w:val="32"/>
          <w:szCs w:val="32"/>
        </w:rPr>
        <w:t>关于机关运行经费支出说明</w:t>
      </w:r>
    </w:p>
    <w:p w14:paraId="52EE18CF">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十</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rPr>
        <w:t>、一般性支出情况说明</w:t>
      </w:r>
    </w:p>
    <w:p w14:paraId="1C70797F">
      <w:pPr>
        <w:autoSpaceDE w:val="0"/>
        <w:autoSpaceDN w:val="0"/>
        <w:adjustRightInd w:val="0"/>
        <w:spacing w:line="600" w:lineRule="exact"/>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十</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rPr>
        <w:t>、关于政府采购支出说明</w:t>
      </w:r>
    </w:p>
    <w:p w14:paraId="764FA24E">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十</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、关于国有资产占用情况说明</w:t>
      </w:r>
    </w:p>
    <w:p w14:paraId="0F85B0C2">
      <w:pPr>
        <w:pStyle w:val="14"/>
        <w:spacing w:line="6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十</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、关于202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年度预算绩效管理情况的说明</w:t>
      </w:r>
    </w:p>
    <w:p w14:paraId="0A01701B">
      <w:pPr>
        <w:pStyle w:val="14"/>
        <w:spacing w:after="156" w:afterLines="50" w:line="600" w:lineRule="exact"/>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第四部分 名词解释</w:t>
      </w:r>
    </w:p>
    <w:p w14:paraId="0EBD2AAB">
      <w:pPr>
        <w:pStyle w:val="14"/>
        <w:spacing w:after="156" w:afterLines="50" w:line="600" w:lineRule="exact"/>
        <w:rPr>
          <w:rFonts w:hint="default" w:ascii="Times New Roman" w:hAnsi="Times New Roman" w:cs="Times New Roman"/>
          <w:b w:val="0"/>
          <w:bCs/>
          <w:color w:val="auto"/>
          <w:sz w:val="32"/>
          <w:szCs w:val="32"/>
        </w:rPr>
      </w:pPr>
      <w:r>
        <w:rPr>
          <w:rFonts w:hint="default" w:ascii="Times New Roman" w:hAnsi="Times New Roman" w:cs="Times New Roman"/>
          <w:b w:val="0"/>
          <w:bCs/>
          <w:color w:val="auto"/>
          <w:sz w:val="32"/>
          <w:szCs w:val="32"/>
        </w:rPr>
        <w:t>第五部分 附件</w:t>
      </w:r>
    </w:p>
    <w:p w14:paraId="47C01C22">
      <w:pPr>
        <w:pStyle w:val="14"/>
        <w:spacing w:after="156" w:afterLines="50" w:line="600" w:lineRule="exact"/>
        <w:rPr>
          <w:rFonts w:hint="default" w:ascii="Times New Roman" w:hAnsi="Times New Roman" w:cs="Times New Roman"/>
          <w:bCs/>
          <w:color w:val="auto"/>
          <w:sz w:val="28"/>
          <w:szCs w:val="28"/>
        </w:rPr>
      </w:pPr>
    </w:p>
    <w:p w14:paraId="46C42BFA">
      <w:pPr>
        <w:jc w:val="center"/>
        <w:rPr>
          <w:rFonts w:hint="default" w:ascii="Times New Roman" w:hAnsi="Times New Roman" w:cs="Times New Roman"/>
          <w:color w:val="auto"/>
          <w:sz w:val="72"/>
          <w:szCs w:val="72"/>
        </w:rPr>
      </w:pPr>
    </w:p>
    <w:p w14:paraId="5D4C64EB">
      <w:pPr>
        <w:jc w:val="center"/>
        <w:rPr>
          <w:rFonts w:hint="default" w:ascii="Times New Roman" w:hAnsi="Times New Roman" w:cs="Times New Roman"/>
          <w:color w:val="auto"/>
          <w:sz w:val="72"/>
          <w:szCs w:val="72"/>
        </w:rPr>
      </w:pPr>
    </w:p>
    <w:p w14:paraId="215360FF">
      <w:pPr>
        <w:pStyle w:val="8"/>
        <w:rPr>
          <w:rFonts w:hint="default" w:ascii="Times New Roman" w:hAnsi="Times New Roman" w:cs="Times New Roman"/>
          <w:color w:val="auto"/>
        </w:rPr>
        <w:sectPr>
          <w:footerReference r:id="rId4" w:type="default"/>
          <w:pgSz w:w="11906" w:h="16838"/>
          <w:pgMar w:top="1417" w:right="1588" w:bottom="1417" w:left="1588" w:header="851" w:footer="992" w:gutter="0"/>
          <w:pgNumType w:fmt="numberInDash"/>
          <w:cols w:space="425" w:num="1"/>
          <w:docGrid w:type="lines" w:linePitch="312" w:charSpace="0"/>
        </w:sectPr>
      </w:pPr>
    </w:p>
    <w:p w14:paraId="378C0287">
      <w:pPr>
        <w:pStyle w:val="14"/>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第一部分</w:t>
      </w:r>
    </w:p>
    <w:p w14:paraId="3E391E7E">
      <w:pPr>
        <w:pStyle w:val="14"/>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lang w:val="en-US" w:eastAsia="zh-CN"/>
        </w:rPr>
        <w:t>怀化市工业和信息化局</w:t>
      </w:r>
      <w:r>
        <w:rPr>
          <w:rFonts w:hint="default" w:ascii="Times New Roman" w:hAnsi="Times New Roman" w:eastAsia="方正小标宋_GBK" w:cs="Times New Roman"/>
          <w:color w:val="auto"/>
          <w:sz w:val="44"/>
          <w:szCs w:val="44"/>
        </w:rPr>
        <w:t>概况</w:t>
      </w:r>
    </w:p>
    <w:p w14:paraId="1B8D5E4D">
      <w:pPr>
        <w:pStyle w:val="4"/>
        <w:ind w:left="0" w:leftChars="0" w:firstLine="0" w:firstLineChars="0"/>
        <w:rPr>
          <w:rFonts w:hint="default" w:ascii="Times New Roman" w:hAnsi="Times New Roman" w:cs="Times New Roman"/>
          <w:color w:val="auto"/>
        </w:rPr>
      </w:pPr>
    </w:p>
    <w:p w14:paraId="7BD118CB">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一、部门概况</w:t>
      </w:r>
    </w:p>
    <w:p w14:paraId="2C883626">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color w:val="auto"/>
          <w:sz w:val="32"/>
          <w:szCs w:val="32"/>
          <w:lang w:val="en-US" w:eastAsia="zh-CN"/>
        </w:rPr>
      </w:pPr>
      <w:r>
        <w:rPr>
          <w:rFonts w:hint="default" w:ascii="Times New Roman" w:hAnsi="Times New Roman" w:eastAsia="楷体_GB2312" w:cs="Times New Roman"/>
          <w:b/>
          <w:bCs/>
          <w:color w:val="auto"/>
          <w:sz w:val="32"/>
          <w:szCs w:val="32"/>
          <w:lang w:val="en-US" w:eastAsia="zh-CN"/>
        </w:rPr>
        <w:t>（一）部门（单位）基本情况</w:t>
      </w:r>
    </w:p>
    <w:p w14:paraId="4837B15A">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3" w:firstLineChars="200"/>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机构设置情况</w:t>
      </w:r>
    </w:p>
    <w:p w14:paraId="0AF9DB50">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怀化市工业和信息化局为一级部门预算单位，内设</w:t>
      </w:r>
      <w:r>
        <w:rPr>
          <w:rFonts w:hint="eastAsia" w:ascii="Times New Roman" w:hAnsi="Times New Roman" w:eastAsia="仿宋_GB2312" w:cs="Times New Roman"/>
          <w:color w:val="auto"/>
          <w:sz w:val="32"/>
          <w:szCs w:val="32"/>
          <w:lang w:val="en-US" w:eastAsia="zh-CN"/>
        </w:rPr>
        <w:t>机构14个</w:t>
      </w:r>
      <w:r>
        <w:rPr>
          <w:rFonts w:hint="default" w:ascii="Times New Roman" w:hAnsi="Times New Roman" w:eastAsia="仿宋_GB2312" w:cs="Times New Roman"/>
          <w:color w:val="auto"/>
          <w:sz w:val="32"/>
          <w:szCs w:val="32"/>
        </w:rPr>
        <w:t>：办公室、综合法规科、运行监测协调科、投资规划科、安全监督和电力运行执法科、原材料与装备工业科、消费品工业科、节能监察和资源综合利用科、产业集聚科、人工智能与信息化推进科、中小企业发展促进科、无线电管理科、军民融合产业发展协调科、人事教育科。另设总工程师、机关党委。</w:t>
      </w:r>
    </w:p>
    <w:p w14:paraId="69269786">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2、人员编制情况</w:t>
      </w:r>
      <w:bookmarkStart w:id="0" w:name="_GoBack"/>
      <w:bookmarkEnd w:id="0"/>
    </w:p>
    <w:p w14:paraId="6AFA5CCC">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596" w:firstLineChars="200"/>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市工信局2025年单位编制人数74人，年末实有人数74人。</w:t>
      </w:r>
    </w:p>
    <w:p w14:paraId="42BB3D66">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3、主要职能职责</w:t>
      </w:r>
    </w:p>
    <w:p w14:paraId="7CE9628B">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贯彻落实国家和省市有关工业和信息化的方针政策和法律法规；起草工业、信息化领域的地方性法规、规章草案并对相关法律法规的执行情况进行监督检查。</w:t>
      </w:r>
    </w:p>
    <w:p w14:paraId="1979218F">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拟订并组织实施工业、信息化发展规划、计划及产业政策；研究提出推进产业结构调整、工业与相关产业融合发展及管理创新的政策建议；指导工业和信息化领域加强安全生产、质量管理和应急管理工作；会同有关部门做好全市维护企业稳定工作。</w:t>
      </w:r>
    </w:p>
    <w:p w14:paraId="7FD935AB">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全市工业和信息化领域的日常经济运行调节，编制并组织实施近期工业和信息化领域的经济运行调控目标、政策和措施；监测分析近期工业和信息化领域的经济运行态势，统计并发布相关信息，统筹协调解决经济运行中的突出矛盾和问题并提出政策建议。</w:t>
      </w:r>
    </w:p>
    <w:p w14:paraId="093790C1">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拟订全市新型工业化的发展战略，协调解决有关重大问题；推进信息化和工业化融合，推进高新技术与传统工业改造结合；推进全市国民经济和社会信息化。</w:t>
      </w:r>
    </w:p>
    <w:p w14:paraId="0AC61785">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工业和信息化领域的国防动员有关工作；指导工业和信息化领域技术进步、技术创新；推进工业行业体制改革和管理创新，推进产学研结合和科研成果产业化；编制和组织实施技术改造规划，提出工业和信息化固定资产投资规模和方向（含利用外资和境外投资）。</w:t>
      </w:r>
    </w:p>
    <w:p w14:paraId="3876E998">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中小企业和非公有制经济发展的宏观指导；制订全市中小企业和非公有制经济中长期发展规划并组织实施；推进中小企业服务体系建设和全民创业；综合协调有关部门拟订促进中小企业和非公有制经济发展的改革措施，协调解决有关重大问题。</w:t>
      </w:r>
    </w:p>
    <w:p w14:paraId="17F4F2A8">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参与拟订能源节约和资源综合利用规划；拟订并组织实施工业能源节约和资源综合利用政策；承担工业企业的节能考核和监察工作；组织推进清洁生产工作；组织协调相关重大示范工程和相关新技术、新设备、新材料、新产品的推广应用；负责新型节能、新型墙体材料和散装水泥的管理工作。</w:t>
      </w:r>
    </w:p>
    <w:p w14:paraId="0291307D">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负责煤炭、电力、石油、天然气和原材料等经济运行保障要素的工业经济运行；促进企业内部物流社会化。</w:t>
      </w:r>
    </w:p>
    <w:p w14:paraId="4ED7066A">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协调全市公用通信网、互联网、广播电视网和其他专用通信网的规划和建设，促进网络资源共享。</w:t>
      </w:r>
    </w:p>
    <w:p w14:paraId="6D0DA714">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负责推动软件业和信息服务业的发展，协调解决重大问题；推动软件公共服务体系建设，推进软件服务外包；指导、协调技术开发和相关产业发展；依法监督管理信息服务市场。</w:t>
      </w:r>
    </w:p>
    <w:p w14:paraId="5AA3FB7A">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统一配置和管理无线电频谱资源，依法监督管理无线电台（站），协调处理军地间无线电管理相关事宜，负责管理无线电监测、检测、干扰查处，协调处理电磁干扰事宜，维护空中电波秩序，依法组织实施无线电管制。</w:t>
      </w:r>
    </w:p>
    <w:p w14:paraId="1BE95EB2">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负责国防科技工业的综合协调和管理，组织推进军民两用技术双向转移及产业化工作；落实全市国防科技工业相关的财税优惠政策，承担全市军工关键设备设施的监督管理。</w:t>
      </w:r>
    </w:p>
    <w:p w14:paraId="21ADCA85">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承担全市民用爆炸物品的行业管理工作，负责民用爆炸物品安全生产许可和销售许可的监督管理；承担核事故应急管理职责；指导协调并监督检查市内武器装备科研生产单位安全生产、保密、保卫和维护稳定工作。</w:t>
      </w:r>
    </w:p>
    <w:p w14:paraId="5F20FF58">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指导、协调全市工业、信息化领域的对外交流与合作；指导全市工业和信息化领域人才开发和培训工作。</w:t>
      </w:r>
    </w:p>
    <w:p w14:paraId="610C230C">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负责全市电力行政执法工作；监督检查电力法律、法规和规章的执行情况，指导和监督各县市区电力行政执法工作。</w:t>
      </w:r>
    </w:p>
    <w:p w14:paraId="0E94B36B">
      <w:pPr>
        <w:keepNext w:val="0"/>
        <w:keepLines w:val="0"/>
        <w:pageBreakBefore w:val="0"/>
        <w:widowControl w:val="0"/>
        <w:shd w:val="clear" w:color="auto" w:fill="auto"/>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承办市人民政府交办的其他事项。</w:t>
      </w:r>
    </w:p>
    <w:p w14:paraId="45EBF7EC">
      <w:pPr>
        <w:pStyle w:val="9"/>
        <w:keepNext w:val="0"/>
        <w:keepLines w:val="0"/>
        <w:pageBreakBefore w:val="0"/>
        <w:widowControl/>
        <w:shd w:val="clear" w:color="auto"/>
        <w:kinsoku/>
        <w:wordWrap/>
        <w:overflowPunct/>
        <w:topLinePunct w:val="0"/>
        <w:autoSpaceDE/>
        <w:autoSpaceDN/>
        <w:bidi w:val="0"/>
        <w:adjustRightInd/>
        <w:snapToGrid/>
        <w:spacing w:beforeAutospacing="0" w:after="38" w:afterAutospacing="0" w:line="255" w:lineRule="atLeast"/>
        <w:ind w:firstLine="643" w:firstLineChars="200"/>
        <w:jc w:val="both"/>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val="0"/>
          <w:color w:val="auto"/>
          <w:kern w:val="0"/>
          <w:sz w:val="32"/>
          <w:szCs w:val="32"/>
        </w:rPr>
        <w:t>（二）决算单位构成</w:t>
      </w:r>
      <w:r>
        <w:rPr>
          <w:rFonts w:hint="default" w:ascii="Times New Roman" w:hAnsi="Times New Roman" w:eastAsia="仿宋_GB2312" w:cs="Times New Roman"/>
          <w:bCs/>
          <w:color w:val="auto"/>
          <w:kern w:val="0"/>
          <w:sz w:val="32"/>
          <w:szCs w:val="32"/>
        </w:rPr>
        <w:t>。</w:t>
      </w:r>
      <w:r>
        <w:rPr>
          <w:rFonts w:hint="default" w:ascii="Times New Roman" w:hAnsi="Times New Roman" w:eastAsia="仿宋_GB2312" w:cs="Times New Roman"/>
          <w:bCs/>
          <w:color w:val="auto"/>
          <w:sz w:val="32"/>
          <w:szCs w:val="32"/>
        </w:rPr>
        <w:t>怀化市工业和信息化局</w:t>
      </w:r>
      <w:r>
        <w:rPr>
          <w:rFonts w:hint="default" w:ascii="Times New Roman" w:hAnsi="Times New Roman" w:eastAsia="仿宋_GB2312" w:cs="Times New Roman"/>
          <w:bCs/>
          <w:color w:val="auto"/>
          <w:kern w:val="0"/>
          <w:sz w:val="32"/>
          <w:szCs w:val="32"/>
        </w:rPr>
        <w:t>202</w:t>
      </w:r>
      <w:r>
        <w:rPr>
          <w:rFonts w:hint="default" w:ascii="Times New Roman" w:hAnsi="Times New Roman" w:eastAsia="仿宋_GB2312" w:cs="Times New Roman"/>
          <w:bCs/>
          <w:color w:val="auto"/>
          <w:kern w:val="0"/>
          <w:sz w:val="32"/>
          <w:szCs w:val="32"/>
          <w:lang w:val="en-US" w:eastAsia="zh-CN"/>
        </w:rPr>
        <w:t>5</w:t>
      </w:r>
      <w:r>
        <w:rPr>
          <w:rFonts w:hint="default" w:ascii="Times New Roman" w:hAnsi="Times New Roman" w:eastAsia="仿宋_GB2312" w:cs="Times New Roman"/>
          <w:bCs/>
          <w:color w:val="auto"/>
          <w:kern w:val="0"/>
          <w:sz w:val="32"/>
          <w:szCs w:val="32"/>
        </w:rPr>
        <w:t>年部门决算公开单位构成包括：</w:t>
      </w:r>
      <w:r>
        <w:rPr>
          <w:rFonts w:hint="default" w:ascii="Times New Roman" w:hAnsi="Times New Roman" w:eastAsia="仿宋_GB2312" w:cs="Times New Roman"/>
          <w:bCs/>
          <w:color w:val="auto"/>
          <w:sz w:val="32"/>
          <w:szCs w:val="32"/>
        </w:rPr>
        <w:t>一级预算单位怀化市工业和信息化局本级。</w:t>
      </w:r>
    </w:p>
    <w:p w14:paraId="0077A071">
      <w:pPr>
        <w:jc w:val="center"/>
        <w:rPr>
          <w:rFonts w:hint="default" w:ascii="Times New Roman" w:hAnsi="Times New Roman" w:eastAsia="黑体" w:cs="Times New Roman"/>
          <w:color w:val="auto"/>
          <w:sz w:val="28"/>
          <w:szCs w:val="28"/>
        </w:rPr>
      </w:pPr>
    </w:p>
    <w:p w14:paraId="68AE548A">
      <w:pPr>
        <w:jc w:val="center"/>
        <w:rPr>
          <w:rFonts w:hint="default" w:ascii="Times New Roman" w:hAnsi="Times New Roman" w:eastAsia="黑体" w:cs="Times New Roman"/>
          <w:color w:val="auto"/>
          <w:sz w:val="28"/>
          <w:szCs w:val="28"/>
        </w:rPr>
      </w:pPr>
    </w:p>
    <w:p w14:paraId="7D4428AB">
      <w:pPr>
        <w:jc w:val="center"/>
        <w:rPr>
          <w:rFonts w:hint="default" w:ascii="Times New Roman" w:hAnsi="Times New Roman" w:eastAsia="黑体" w:cs="Times New Roman"/>
          <w:color w:val="auto"/>
          <w:sz w:val="28"/>
          <w:szCs w:val="28"/>
        </w:rPr>
      </w:pPr>
    </w:p>
    <w:p w14:paraId="33304E58">
      <w:pPr>
        <w:jc w:val="center"/>
        <w:rPr>
          <w:rFonts w:hint="default" w:ascii="Times New Roman" w:hAnsi="Times New Roman" w:eastAsia="黑体" w:cs="Times New Roman"/>
          <w:color w:val="auto"/>
          <w:sz w:val="28"/>
          <w:szCs w:val="28"/>
        </w:rPr>
      </w:pPr>
    </w:p>
    <w:p w14:paraId="18166621">
      <w:pPr>
        <w:pStyle w:val="14"/>
        <w:shd w:val="clear"/>
        <w:jc w:val="center"/>
        <w:rPr>
          <w:rFonts w:hint="default" w:ascii="Times New Roman" w:hAnsi="Times New Roman" w:eastAsia="方正小标宋简体" w:cs="Times New Roman"/>
          <w:color w:val="auto"/>
          <w:sz w:val="72"/>
          <w:szCs w:val="72"/>
          <w:lang w:val="en-US" w:eastAsia="zh-CN"/>
        </w:rPr>
      </w:pPr>
    </w:p>
    <w:p w14:paraId="402FB8C6">
      <w:pPr>
        <w:pStyle w:val="14"/>
        <w:shd w:val="clear"/>
        <w:jc w:val="center"/>
        <w:rPr>
          <w:rFonts w:hint="default" w:ascii="Times New Roman" w:hAnsi="Times New Roman" w:eastAsia="方正小标宋简体" w:cs="Times New Roman"/>
          <w:color w:val="auto"/>
          <w:sz w:val="72"/>
          <w:szCs w:val="72"/>
          <w:lang w:val="en-US" w:eastAsia="zh-CN"/>
        </w:rPr>
      </w:pPr>
    </w:p>
    <w:p w14:paraId="438E19CE">
      <w:pPr>
        <w:pStyle w:val="14"/>
        <w:shd w:val="clear"/>
        <w:jc w:val="center"/>
        <w:rPr>
          <w:rFonts w:hint="default" w:ascii="Times New Roman" w:hAnsi="Times New Roman" w:eastAsia="方正小标宋简体" w:cs="Times New Roman"/>
          <w:color w:val="auto"/>
          <w:sz w:val="72"/>
          <w:szCs w:val="72"/>
          <w:lang w:val="en-US" w:eastAsia="zh-CN"/>
        </w:rPr>
      </w:pPr>
    </w:p>
    <w:p w14:paraId="1896D1EC">
      <w:pPr>
        <w:pStyle w:val="14"/>
        <w:shd w:val="clear"/>
        <w:jc w:val="center"/>
        <w:rPr>
          <w:rFonts w:hint="default" w:ascii="Times New Roman" w:hAnsi="Times New Roman" w:eastAsia="方正小标宋简体" w:cs="Times New Roman"/>
          <w:color w:val="auto"/>
          <w:sz w:val="72"/>
          <w:szCs w:val="72"/>
          <w:lang w:val="en-US" w:eastAsia="zh-CN"/>
        </w:rPr>
      </w:pPr>
    </w:p>
    <w:p w14:paraId="369F91C9">
      <w:pPr>
        <w:pStyle w:val="14"/>
        <w:shd w:val="clear"/>
        <w:jc w:val="center"/>
        <w:rPr>
          <w:rFonts w:hint="default" w:ascii="Times New Roman" w:hAnsi="Times New Roman" w:eastAsia="方正小标宋简体" w:cs="Times New Roman"/>
          <w:color w:val="auto"/>
          <w:sz w:val="72"/>
          <w:szCs w:val="72"/>
          <w:lang w:val="en-US" w:eastAsia="zh-CN"/>
        </w:rPr>
      </w:pPr>
    </w:p>
    <w:p w14:paraId="36397715">
      <w:pPr>
        <w:pStyle w:val="14"/>
        <w:shd w:val="clear"/>
        <w:jc w:val="center"/>
        <w:rPr>
          <w:rFonts w:hint="default" w:ascii="Times New Roman" w:hAnsi="Times New Roman" w:eastAsia="方正小标宋简体" w:cs="Times New Roman"/>
          <w:color w:val="auto"/>
          <w:sz w:val="72"/>
          <w:szCs w:val="72"/>
          <w:lang w:val="en-US" w:eastAsia="zh-CN"/>
        </w:rPr>
      </w:pPr>
    </w:p>
    <w:p w14:paraId="03F806D5">
      <w:pPr>
        <w:pStyle w:val="14"/>
        <w:shd w:val="clear"/>
        <w:jc w:val="center"/>
        <w:rPr>
          <w:rFonts w:hint="default" w:ascii="Times New Roman" w:hAnsi="Times New Roman" w:eastAsia="方正小标宋简体" w:cs="Times New Roman"/>
          <w:color w:val="auto"/>
          <w:sz w:val="72"/>
          <w:szCs w:val="72"/>
          <w:lang w:val="en-US" w:eastAsia="zh-CN"/>
        </w:rPr>
      </w:pPr>
    </w:p>
    <w:p w14:paraId="30475AE3">
      <w:pPr>
        <w:pStyle w:val="14"/>
        <w:shd w:val="clear"/>
        <w:jc w:val="center"/>
        <w:rPr>
          <w:rFonts w:hint="default" w:ascii="Times New Roman" w:hAnsi="Times New Roman" w:eastAsia="方正小标宋简体" w:cs="Times New Roman"/>
          <w:color w:val="auto"/>
          <w:sz w:val="72"/>
          <w:szCs w:val="72"/>
          <w:lang w:val="en-US" w:eastAsia="zh-CN"/>
        </w:rPr>
      </w:pPr>
    </w:p>
    <w:p w14:paraId="2E962795">
      <w:pPr>
        <w:pStyle w:val="14"/>
        <w:shd w:val="clear"/>
        <w:jc w:val="center"/>
        <w:rPr>
          <w:rFonts w:hint="default" w:ascii="Times New Roman" w:hAnsi="Times New Roman" w:eastAsia="方正小标宋简体" w:cs="Times New Roman"/>
          <w:color w:val="auto"/>
          <w:sz w:val="72"/>
          <w:szCs w:val="72"/>
          <w:lang w:val="en-US" w:eastAsia="zh-CN"/>
        </w:rPr>
      </w:pPr>
    </w:p>
    <w:p w14:paraId="1C3DC002">
      <w:pP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br w:type="page"/>
      </w:r>
    </w:p>
    <w:p w14:paraId="3F5DCCD8">
      <w:pPr>
        <w:pStyle w:val="14"/>
        <w:shd w:val="clear"/>
        <w:jc w:val="center"/>
        <w:rPr>
          <w:rFonts w:hint="default" w:ascii="Times New Roman" w:hAnsi="Times New Roman" w:eastAsia="方正小标宋简体" w:cs="Times New Roman"/>
          <w:color w:val="auto"/>
          <w:sz w:val="44"/>
          <w:szCs w:val="44"/>
          <w:lang w:val="en-US" w:eastAsia="zh-CN"/>
        </w:rPr>
      </w:pPr>
    </w:p>
    <w:p w14:paraId="1734B36F">
      <w:pPr>
        <w:pStyle w:val="14"/>
        <w:shd w:val="clear"/>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第二部分</w:t>
      </w:r>
    </w:p>
    <w:p w14:paraId="1C45E47B">
      <w:pPr>
        <w:pStyle w:val="14"/>
        <w:shd w:val="clear"/>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部门决算表</w:t>
      </w:r>
    </w:p>
    <w:p w14:paraId="438B7CB2">
      <w:pPr>
        <w:pStyle w:val="14"/>
        <w:shd w:val="clear"/>
        <w:jc w:val="center"/>
        <w:rPr>
          <w:rFonts w:hint="default" w:ascii="Times New Roman" w:hAnsi="Times New Roman" w:eastAsia="方正小标宋简体" w:cs="Times New Roman"/>
          <w:color w:val="auto"/>
          <w:sz w:val="72"/>
          <w:szCs w:val="72"/>
          <w:lang w:val="en-US" w:eastAsia="zh-CN"/>
        </w:rPr>
      </w:pPr>
    </w:p>
    <w:p w14:paraId="26431DCE">
      <w:pPr>
        <w:pStyle w:val="14"/>
        <w:shd w:val="clear"/>
        <w:jc w:val="center"/>
        <w:rPr>
          <w:rFonts w:hint="default" w:ascii="Times New Roman" w:hAnsi="Times New Roman" w:eastAsia="方正小标宋简体" w:cs="Times New Roman"/>
          <w:color w:val="auto"/>
          <w:sz w:val="72"/>
          <w:szCs w:val="72"/>
          <w:lang w:val="en-US" w:eastAsia="zh-CN"/>
        </w:rPr>
      </w:pPr>
    </w:p>
    <w:p w14:paraId="3CF99F64">
      <w:pPr>
        <w:pStyle w:val="14"/>
        <w:shd w:val="clear"/>
        <w:jc w:val="center"/>
        <w:rPr>
          <w:rFonts w:hint="default" w:ascii="Times New Roman" w:hAnsi="Times New Roman" w:eastAsia="方正小标宋简体" w:cs="Times New Roman"/>
          <w:color w:val="auto"/>
          <w:sz w:val="72"/>
          <w:szCs w:val="72"/>
          <w:lang w:val="en-US" w:eastAsia="zh-CN"/>
        </w:rPr>
      </w:pPr>
    </w:p>
    <w:p w14:paraId="72ACFC2B">
      <w:pPr>
        <w:pStyle w:val="14"/>
        <w:shd w:val="clear"/>
        <w:jc w:val="center"/>
        <w:rPr>
          <w:rFonts w:hint="default" w:ascii="Times New Roman" w:hAnsi="Times New Roman" w:eastAsia="方正小标宋_GBK" w:cs="Times New Roman"/>
          <w:color w:val="auto"/>
          <w:sz w:val="52"/>
          <w:szCs w:val="52"/>
          <w:lang w:eastAsia="zh-CN"/>
        </w:rPr>
      </w:pPr>
      <w:r>
        <w:rPr>
          <w:rFonts w:hint="default" w:ascii="Times New Roman" w:hAnsi="Times New Roman" w:eastAsia="方正小标宋简体" w:cs="Times New Roman"/>
          <w:color w:val="auto"/>
          <w:sz w:val="72"/>
          <w:szCs w:val="72"/>
          <w:lang w:val="en-US" w:eastAsia="zh-CN"/>
        </w:rPr>
        <w:t>（详情见附件）</w:t>
      </w:r>
    </w:p>
    <w:p w14:paraId="571EB1E0">
      <w:pPr>
        <w:shd w:val="clear"/>
        <w:rPr>
          <w:rFonts w:hint="default" w:ascii="Times New Roman" w:hAnsi="Times New Roman" w:cs="Times New Roman"/>
          <w:color w:val="auto"/>
        </w:rPr>
      </w:pPr>
    </w:p>
    <w:p w14:paraId="6613D92A">
      <w:pPr>
        <w:pStyle w:val="8"/>
        <w:rPr>
          <w:rFonts w:hint="default" w:ascii="Times New Roman" w:hAnsi="Times New Roman" w:cs="Times New Roman"/>
          <w:color w:val="auto"/>
        </w:rPr>
        <w:sectPr>
          <w:footerReference r:id="rId5" w:type="default"/>
          <w:pgSz w:w="11906" w:h="16838"/>
          <w:pgMar w:top="1417" w:right="1588" w:bottom="1417" w:left="1588" w:header="851" w:footer="992" w:gutter="0"/>
          <w:pgNumType w:fmt="numberInDash" w:start="1"/>
          <w:cols w:space="425" w:num="1"/>
          <w:docGrid w:type="lines" w:linePitch="312" w:charSpace="0"/>
        </w:sectPr>
      </w:pPr>
    </w:p>
    <w:p w14:paraId="36102247">
      <w:pPr>
        <w:pStyle w:val="14"/>
        <w:spacing w:line="360" w:lineRule="auto"/>
        <w:jc w:val="both"/>
        <w:rPr>
          <w:rFonts w:hint="default" w:ascii="Times New Roman" w:hAnsi="Times New Roman" w:eastAsia="方正小标宋_GBK" w:cs="Times New Roman"/>
          <w:color w:val="auto"/>
          <w:sz w:val="52"/>
          <w:szCs w:val="52"/>
        </w:rPr>
      </w:pPr>
    </w:p>
    <w:p w14:paraId="6419F7F7">
      <w:pPr>
        <w:pStyle w:val="14"/>
        <w:spacing w:line="360" w:lineRule="auto"/>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第三部分</w:t>
      </w:r>
    </w:p>
    <w:p w14:paraId="6164266B">
      <w:pPr>
        <w:pStyle w:val="14"/>
        <w:spacing w:line="360" w:lineRule="auto"/>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202</w:t>
      </w:r>
      <w:r>
        <w:rPr>
          <w:rFonts w:hint="default" w:ascii="Times New Roman" w:hAnsi="Times New Roman" w:eastAsia="方正小标宋_GBK" w:cs="Times New Roman"/>
          <w:color w:val="auto"/>
          <w:sz w:val="44"/>
          <w:szCs w:val="44"/>
          <w:lang w:val="en-US" w:eastAsia="zh-CN"/>
        </w:rPr>
        <w:t>5</w:t>
      </w:r>
      <w:r>
        <w:rPr>
          <w:rFonts w:hint="default" w:ascii="Times New Roman" w:hAnsi="Times New Roman" w:eastAsia="方正小标宋_GBK" w:cs="Times New Roman"/>
          <w:color w:val="auto"/>
          <w:sz w:val="44"/>
          <w:szCs w:val="44"/>
        </w:rPr>
        <w:t>年度部门决算情况说明</w:t>
      </w:r>
    </w:p>
    <w:p w14:paraId="5D13EC44">
      <w:pPr>
        <w:widowControl/>
        <w:jc w:val="left"/>
        <w:rPr>
          <w:rFonts w:hint="default" w:ascii="Times New Roman" w:hAnsi="Times New Roman" w:cs="Times New Roman"/>
          <w:color w:val="auto"/>
          <w:sz w:val="32"/>
          <w:szCs w:val="32"/>
        </w:rPr>
      </w:pPr>
      <w:r>
        <w:rPr>
          <w:rFonts w:hint="default" w:ascii="Times New Roman" w:hAnsi="Times New Roman" w:eastAsia="方正小标宋_GBK" w:cs="Times New Roman"/>
          <w:color w:val="auto"/>
          <w:sz w:val="70"/>
          <w:szCs w:val="70"/>
        </w:rPr>
        <w:br w:type="page"/>
      </w:r>
    </w:p>
    <w:p w14:paraId="6DC103FA">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一、收入支出决算总体情况说明</w:t>
      </w:r>
    </w:p>
    <w:p w14:paraId="3AE3D1AD">
      <w:pPr>
        <w:keepNext w:val="0"/>
        <w:keepLines w:val="0"/>
        <w:pageBreakBefore w:val="0"/>
        <w:widowControl w:val="0"/>
        <w:numPr>
          <w:ilvl w:val="0"/>
          <w:numId w:val="0"/>
        </w:numPr>
        <w:kinsoku/>
        <w:wordWrap/>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年度收、支总计</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万元。与上年相比，减少</w:t>
      </w:r>
      <w:r>
        <w:rPr>
          <w:rFonts w:hint="default" w:ascii="Times New Roman" w:hAnsi="Times New Roman" w:eastAsia="仿宋_GB2312" w:cs="Times New Roman"/>
          <w:color w:val="auto"/>
          <w:sz w:val="32"/>
          <w:szCs w:val="32"/>
          <w:lang w:val="en-US" w:eastAsia="zh-CN"/>
        </w:rPr>
        <w:t>397.38</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14.77</w:t>
      </w:r>
      <w:r>
        <w:rPr>
          <w:rFonts w:hint="default" w:ascii="Times New Roman" w:hAnsi="Times New Roman" w:eastAsia="仿宋_GB2312" w:cs="Times New Roman"/>
          <w:color w:val="auto"/>
          <w:sz w:val="32"/>
          <w:szCs w:val="32"/>
        </w:rPr>
        <w:t>%，主要是因为</w:t>
      </w:r>
      <w:r>
        <w:rPr>
          <w:rFonts w:hint="default" w:ascii="Times New Roman" w:hAnsi="Times New Roman" w:eastAsia="仿宋_GB2312" w:cs="Times New Roman"/>
          <w:color w:val="auto"/>
          <w:sz w:val="32"/>
          <w:szCs w:val="32"/>
          <w:lang w:val="en-US" w:eastAsia="zh-CN"/>
        </w:rPr>
        <w:t>智慧怀化工作经费、退还怀化安江惠峰印染有限公司土地收购款、真抓实干成效明显地区奖励经费等项目支出减少。</w:t>
      </w:r>
    </w:p>
    <w:p w14:paraId="64569583">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三公</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经费、办公经费、会议培训等行政开支。同时坚持有保有压，优化支出结构，提高资金使用效率，在有关支出科目中</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合理保障</w:t>
      </w:r>
      <w:r>
        <w:rPr>
          <w:rFonts w:hint="default" w:ascii="Times New Roman" w:hAnsi="Times New Roman" w:eastAsia="仿宋_GB2312" w:cs="Times New Roman"/>
          <w:color w:val="auto"/>
          <w:sz w:val="32"/>
          <w:szCs w:val="32"/>
          <w:lang w:val="en-US" w:eastAsia="zh-CN"/>
        </w:rPr>
        <w:t>保工资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保运作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保基本民生</w:t>
      </w:r>
      <w:r>
        <w:rPr>
          <w:rFonts w:hint="default" w:ascii="Times New Roman" w:hAnsi="Times New Roman" w:eastAsia="仿宋_GB2312" w:cs="Times New Roman"/>
          <w:color w:val="auto"/>
          <w:sz w:val="32"/>
          <w:szCs w:val="32"/>
          <w:lang w:eastAsia="zh-CN"/>
        </w:rPr>
        <w:t>等重点支出</w:t>
      </w:r>
      <w:r>
        <w:rPr>
          <w:rFonts w:hint="eastAsia" w:ascii="Times New Roman" w:hAnsi="Times New Roman" w:eastAsia="仿宋_GB2312" w:cs="Times New Roman"/>
          <w:color w:val="auto"/>
          <w:sz w:val="32"/>
          <w:szCs w:val="32"/>
          <w:lang w:eastAsia="zh-CN"/>
        </w:rPr>
        <w:t>。</w:t>
      </w:r>
    </w:p>
    <w:p w14:paraId="63DB2579">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二、收入决算情况说明</w:t>
      </w:r>
    </w:p>
    <w:p w14:paraId="2E3E1A08">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年度收入合计</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万元，其中：财政拨款收入</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w:t>
      </w:r>
    </w:p>
    <w:p w14:paraId="4CD36710">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三、支出决算情况说明</w:t>
      </w:r>
    </w:p>
    <w:p w14:paraId="5E56B697">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年度支出合计</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万元，其中：基本支出1893.41万元，占</w:t>
      </w:r>
      <w:r>
        <w:rPr>
          <w:rFonts w:hint="default" w:ascii="Times New Roman" w:hAnsi="Times New Roman" w:eastAsia="仿宋_GB2312" w:cs="Times New Roman"/>
          <w:color w:val="auto"/>
          <w:sz w:val="32"/>
          <w:szCs w:val="32"/>
          <w:lang w:val="en-US" w:eastAsia="zh-CN"/>
        </w:rPr>
        <w:t>82.54</w:t>
      </w:r>
      <w:r>
        <w:rPr>
          <w:rFonts w:hint="default" w:ascii="Times New Roman" w:hAnsi="Times New Roman" w:eastAsia="仿宋_GB2312" w:cs="Times New Roman"/>
          <w:color w:val="auto"/>
          <w:sz w:val="32"/>
          <w:szCs w:val="32"/>
        </w:rPr>
        <w:t>%；项目支出</w:t>
      </w:r>
      <w:r>
        <w:rPr>
          <w:rFonts w:hint="default" w:ascii="Times New Roman" w:hAnsi="Times New Roman" w:eastAsia="仿宋_GB2312" w:cs="Times New Roman"/>
          <w:color w:val="auto"/>
          <w:sz w:val="32"/>
          <w:szCs w:val="32"/>
          <w:lang w:val="en-US" w:eastAsia="zh-CN"/>
        </w:rPr>
        <w:t>400.48</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17.46</w:t>
      </w:r>
      <w:r>
        <w:rPr>
          <w:rFonts w:hint="default" w:ascii="Times New Roman" w:hAnsi="Times New Roman" w:eastAsia="仿宋_GB2312" w:cs="Times New Roman"/>
          <w:color w:val="auto"/>
          <w:sz w:val="32"/>
          <w:szCs w:val="32"/>
        </w:rPr>
        <w:t>%。</w:t>
      </w:r>
    </w:p>
    <w:p w14:paraId="64D46CDD">
      <w:pPr>
        <w:pStyle w:val="14"/>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四、财政拨款收入支出决算总体情况说明</w:t>
      </w:r>
    </w:p>
    <w:p w14:paraId="30486D29">
      <w:pPr>
        <w:keepNext w:val="0"/>
        <w:keepLines w:val="0"/>
        <w:pageBreakBefore w:val="0"/>
        <w:widowControl w:val="0"/>
        <w:numPr>
          <w:ilvl w:val="0"/>
          <w:numId w:val="0"/>
        </w:numPr>
        <w:kinsoku/>
        <w:wordWrap/>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年度财政拨款收、支总计</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万元，与上年相比，减少</w:t>
      </w:r>
      <w:r>
        <w:rPr>
          <w:rFonts w:hint="default" w:ascii="Times New Roman" w:hAnsi="Times New Roman" w:eastAsia="仿宋_GB2312" w:cs="Times New Roman"/>
          <w:color w:val="auto"/>
          <w:sz w:val="32"/>
          <w:szCs w:val="32"/>
          <w:lang w:val="en-US" w:eastAsia="zh-CN"/>
        </w:rPr>
        <w:t>397.38</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14.77</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Cs/>
          <w:color w:val="auto"/>
          <w:sz w:val="32"/>
          <w:szCs w:val="32"/>
        </w:rPr>
        <w:t>其中：基本支出</w:t>
      </w:r>
      <w:r>
        <w:rPr>
          <w:rFonts w:hint="default" w:ascii="Times New Roman" w:hAnsi="Times New Roman" w:eastAsia="仿宋_GB2312" w:cs="Times New Roman"/>
          <w:bCs/>
          <w:color w:val="auto"/>
          <w:sz w:val="32"/>
          <w:szCs w:val="32"/>
          <w:lang w:val="en-US" w:eastAsia="zh-CN"/>
        </w:rPr>
        <w:t>1893.41</w:t>
      </w:r>
      <w:r>
        <w:rPr>
          <w:rFonts w:hint="default" w:ascii="Times New Roman" w:hAnsi="Times New Roman" w:eastAsia="仿宋_GB2312" w:cs="Times New Roman"/>
          <w:bCs/>
          <w:color w:val="auto"/>
          <w:sz w:val="32"/>
          <w:szCs w:val="32"/>
        </w:rPr>
        <w:t>万元，较上年</w:t>
      </w:r>
      <w:r>
        <w:rPr>
          <w:rFonts w:hint="default" w:ascii="Times New Roman" w:hAnsi="Times New Roman" w:eastAsia="仿宋_GB2312" w:cs="Times New Roman"/>
          <w:bCs/>
          <w:color w:val="auto"/>
          <w:sz w:val="32"/>
          <w:szCs w:val="32"/>
          <w:lang w:val="en-US" w:eastAsia="zh-CN"/>
        </w:rPr>
        <w:t>1966.22</w:t>
      </w:r>
      <w:r>
        <w:rPr>
          <w:rFonts w:hint="default" w:ascii="Times New Roman" w:hAnsi="Times New Roman" w:eastAsia="仿宋_GB2312" w:cs="Times New Roman"/>
          <w:bCs/>
          <w:color w:val="auto"/>
          <w:sz w:val="32"/>
          <w:szCs w:val="32"/>
        </w:rPr>
        <w:t>万元</w:t>
      </w:r>
      <w:r>
        <w:rPr>
          <w:rFonts w:hint="default" w:ascii="Times New Roman" w:hAnsi="Times New Roman" w:eastAsia="仿宋_GB2312" w:cs="Times New Roman"/>
          <w:bCs/>
          <w:color w:val="auto"/>
          <w:sz w:val="32"/>
          <w:szCs w:val="32"/>
          <w:lang w:val="en-US" w:eastAsia="zh-CN"/>
        </w:rPr>
        <w:t>减少72.81</w:t>
      </w:r>
      <w:r>
        <w:rPr>
          <w:rFonts w:hint="default" w:ascii="Times New Roman" w:hAnsi="Times New Roman" w:eastAsia="仿宋_GB2312" w:cs="Times New Roman"/>
          <w:bCs/>
          <w:color w:val="auto"/>
          <w:sz w:val="32"/>
          <w:szCs w:val="32"/>
        </w:rPr>
        <w:t>万元，</w:t>
      </w:r>
      <w:r>
        <w:rPr>
          <w:rFonts w:hint="default" w:ascii="Times New Roman" w:hAnsi="Times New Roman" w:eastAsia="仿宋_GB2312" w:cs="Times New Roman"/>
          <w:bCs/>
          <w:color w:val="auto"/>
          <w:sz w:val="32"/>
          <w:szCs w:val="32"/>
          <w:lang w:val="en-US" w:eastAsia="zh-CN"/>
        </w:rPr>
        <w:t>主要是因为公用经费收支减少；</w:t>
      </w:r>
      <w:r>
        <w:rPr>
          <w:rFonts w:hint="default" w:ascii="Times New Roman" w:hAnsi="Times New Roman" w:eastAsia="仿宋_GB2312" w:cs="Times New Roman"/>
          <w:bCs/>
          <w:color w:val="auto"/>
          <w:sz w:val="32"/>
          <w:szCs w:val="32"/>
        </w:rPr>
        <w:t>项目支出</w:t>
      </w:r>
      <w:r>
        <w:rPr>
          <w:rFonts w:hint="default" w:ascii="Times New Roman" w:hAnsi="Times New Roman" w:eastAsia="仿宋_GB2312" w:cs="Times New Roman"/>
          <w:bCs/>
          <w:color w:val="auto"/>
          <w:sz w:val="32"/>
          <w:szCs w:val="32"/>
          <w:lang w:val="en-US" w:eastAsia="zh-CN"/>
        </w:rPr>
        <w:t>400.48</w:t>
      </w:r>
      <w:r>
        <w:rPr>
          <w:rFonts w:hint="default" w:ascii="Times New Roman" w:hAnsi="Times New Roman" w:eastAsia="仿宋_GB2312" w:cs="Times New Roman"/>
          <w:bCs/>
          <w:color w:val="auto"/>
          <w:sz w:val="32"/>
          <w:szCs w:val="32"/>
        </w:rPr>
        <w:t>万元，较上年</w:t>
      </w:r>
      <w:r>
        <w:rPr>
          <w:rFonts w:hint="default" w:ascii="Times New Roman" w:hAnsi="Times New Roman" w:eastAsia="仿宋_GB2312" w:cs="Times New Roman"/>
          <w:bCs/>
          <w:color w:val="auto"/>
          <w:sz w:val="32"/>
          <w:szCs w:val="32"/>
          <w:lang w:val="en-US" w:eastAsia="zh-CN"/>
        </w:rPr>
        <w:t>725.05</w:t>
      </w:r>
      <w:r>
        <w:rPr>
          <w:rFonts w:hint="default" w:ascii="Times New Roman" w:hAnsi="Times New Roman" w:eastAsia="仿宋_GB2312" w:cs="Times New Roman"/>
          <w:bCs/>
          <w:color w:val="auto"/>
          <w:sz w:val="32"/>
          <w:szCs w:val="32"/>
        </w:rPr>
        <w:t>万元减</w:t>
      </w:r>
      <w:r>
        <w:rPr>
          <w:rFonts w:hint="default" w:ascii="Times New Roman" w:hAnsi="Times New Roman" w:eastAsia="仿宋_GB2312" w:cs="Times New Roman"/>
          <w:bCs/>
          <w:color w:val="auto"/>
          <w:sz w:val="32"/>
          <w:szCs w:val="32"/>
          <w:lang w:val="en-US" w:eastAsia="zh-CN"/>
        </w:rPr>
        <w:t>少324.57</w:t>
      </w:r>
      <w:r>
        <w:rPr>
          <w:rFonts w:hint="default" w:ascii="Times New Roman" w:hAnsi="Times New Roman" w:eastAsia="仿宋_GB2312" w:cs="Times New Roman"/>
          <w:bCs/>
          <w:color w:val="auto"/>
          <w:sz w:val="32"/>
          <w:szCs w:val="32"/>
        </w:rPr>
        <w:t>万元</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降低</w:t>
      </w:r>
      <w:r>
        <w:rPr>
          <w:rFonts w:hint="default" w:ascii="Times New Roman" w:hAnsi="Times New Roman" w:eastAsia="仿宋_GB2312" w:cs="Times New Roman"/>
          <w:color w:val="auto"/>
          <w:sz w:val="32"/>
          <w:szCs w:val="32"/>
          <w:lang w:val="en-US" w:eastAsia="zh-CN"/>
        </w:rPr>
        <w:t>44.8</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主要是因为</w:t>
      </w:r>
      <w:r>
        <w:rPr>
          <w:rFonts w:hint="default" w:ascii="Times New Roman" w:hAnsi="Times New Roman" w:eastAsia="仿宋_GB2312" w:cs="Times New Roman"/>
          <w:color w:val="auto"/>
          <w:sz w:val="32"/>
          <w:szCs w:val="32"/>
          <w:lang w:val="en-US" w:eastAsia="zh-CN"/>
        </w:rPr>
        <w:t>智慧怀化工作经费</w:t>
      </w:r>
      <w:r>
        <w:rPr>
          <w:rFonts w:hint="eastAsia" w:ascii="Times New Roman" w:hAnsi="Times New Roman" w:eastAsia="仿宋_GB2312" w:cs="Times New Roman"/>
          <w:color w:val="auto"/>
          <w:sz w:val="32"/>
          <w:szCs w:val="32"/>
          <w:lang w:val="en-US" w:eastAsia="zh-CN"/>
        </w:rPr>
        <w:t>减少</w:t>
      </w:r>
      <w:r>
        <w:rPr>
          <w:rFonts w:hint="default" w:ascii="Times New Roman" w:hAnsi="Times New Roman" w:eastAsia="仿宋_GB2312" w:cs="Times New Roman"/>
          <w:color w:val="auto"/>
          <w:sz w:val="32"/>
          <w:szCs w:val="32"/>
          <w:lang w:val="en-US" w:eastAsia="zh-CN"/>
        </w:rPr>
        <w:t>22.08万元、退还怀化安江惠峰印染有限公司土地收购款</w:t>
      </w:r>
      <w:r>
        <w:rPr>
          <w:rFonts w:hint="eastAsia" w:ascii="Times New Roman" w:hAnsi="Times New Roman" w:eastAsia="仿宋_GB2312" w:cs="Times New Roman"/>
          <w:color w:val="auto"/>
          <w:sz w:val="32"/>
          <w:szCs w:val="32"/>
          <w:lang w:val="en-US" w:eastAsia="zh-CN"/>
        </w:rPr>
        <w:t>减少</w:t>
      </w:r>
      <w:r>
        <w:rPr>
          <w:rFonts w:hint="default" w:ascii="Times New Roman" w:hAnsi="Times New Roman" w:eastAsia="仿宋_GB2312" w:cs="Times New Roman"/>
          <w:color w:val="auto"/>
          <w:sz w:val="32"/>
          <w:szCs w:val="32"/>
          <w:lang w:val="en-US" w:eastAsia="zh-CN"/>
        </w:rPr>
        <w:t>123.6</w:t>
      </w:r>
      <w:r>
        <w:rPr>
          <w:rFonts w:hint="default" w:ascii="Times New Roman" w:hAnsi="Times New Roman" w:eastAsia="仿宋_GB2312" w:cs="Times New Roman"/>
          <w:color w:val="auto"/>
          <w:spacing w:val="-6"/>
          <w:sz w:val="32"/>
          <w:szCs w:val="32"/>
          <w:lang w:val="en-US" w:eastAsia="zh-CN"/>
        </w:rPr>
        <w:t>万元、真抓实干成效明显地区奖励经费</w:t>
      </w:r>
      <w:r>
        <w:rPr>
          <w:rFonts w:hint="eastAsia" w:ascii="Times New Roman" w:hAnsi="Times New Roman" w:eastAsia="仿宋_GB2312" w:cs="Times New Roman"/>
          <w:color w:val="auto"/>
          <w:spacing w:val="-6"/>
          <w:sz w:val="32"/>
          <w:szCs w:val="32"/>
          <w:lang w:val="en-US" w:eastAsia="zh-CN"/>
        </w:rPr>
        <w:t>减少</w:t>
      </w:r>
      <w:r>
        <w:rPr>
          <w:rFonts w:hint="default" w:ascii="Times New Roman" w:hAnsi="Times New Roman" w:eastAsia="仿宋_GB2312" w:cs="Times New Roman"/>
          <w:color w:val="auto"/>
          <w:spacing w:val="-6"/>
          <w:sz w:val="32"/>
          <w:szCs w:val="32"/>
          <w:lang w:val="en-US" w:eastAsia="zh-CN"/>
        </w:rPr>
        <w:t>194.36万元等项目支出。</w:t>
      </w:r>
    </w:p>
    <w:p w14:paraId="5DF3A699">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五、一般公共预算财政拨款支出决算情况说明</w:t>
      </w:r>
    </w:p>
    <w:p w14:paraId="2F6223B8">
      <w:pPr>
        <w:pStyle w:val="14"/>
        <w:overflowPunct w:val="0"/>
        <w:autoSpaceDE/>
        <w:autoSpaceDN/>
        <w:spacing w:line="600" w:lineRule="exact"/>
        <w:ind w:firstLine="640" w:firstLineChars="200"/>
        <w:jc w:val="both"/>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（一）一般公共预算财政拨款支出决算总体情况</w:t>
      </w:r>
    </w:p>
    <w:p w14:paraId="5015CFA7">
      <w:pPr>
        <w:pStyle w:val="14"/>
        <w:overflowPunct w:val="0"/>
        <w:autoSpaceDE/>
        <w:autoSpaceDN/>
        <w:spacing w:line="600" w:lineRule="exact"/>
        <w:ind w:firstLine="640" w:firstLineChars="200"/>
        <w:jc w:val="both"/>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年度财政拨款支出</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万元，占本年支出合计的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%，与上年相比，财政拨款支出减少</w:t>
      </w:r>
      <w:r>
        <w:rPr>
          <w:rFonts w:hint="default" w:ascii="Times New Roman" w:hAnsi="Times New Roman" w:eastAsia="仿宋_GB2312" w:cs="Times New Roman"/>
          <w:color w:val="auto"/>
          <w:sz w:val="32"/>
          <w:szCs w:val="32"/>
          <w:lang w:val="en-US" w:eastAsia="zh-CN"/>
        </w:rPr>
        <w:t>397.38</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14.77</w:t>
      </w:r>
      <w:r>
        <w:rPr>
          <w:rFonts w:hint="default" w:ascii="Times New Roman" w:hAnsi="Times New Roman" w:eastAsia="仿宋_GB2312" w:cs="Times New Roman"/>
          <w:color w:val="auto"/>
          <w:sz w:val="32"/>
          <w:szCs w:val="32"/>
        </w:rPr>
        <w:t>%，主要是因为</w:t>
      </w:r>
      <w:r>
        <w:rPr>
          <w:rFonts w:hint="default" w:ascii="Times New Roman" w:hAnsi="Times New Roman" w:eastAsia="仿宋_GB2312" w:cs="Times New Roman"/>
          <w:color w:val="auto"/>
          <w:sz w:val="32"/>
          <w:szCs w:val="32"/>
          <w:lang w:val="zh-CN"/>
        </w:rPr>
        <w:t>项目支出较上年减少。减少的项目是：</w:t>
      </w:r>
      <w:r>
        <w:rPr>
          <w:rFonts w:hint="default" w:ascii="Times New Roman" w:hAnsi="Times New Roman" w:eastAsia="仿宋_GB2312" w:cs="Times New Roman"/>
          <w:color w:val="auto"/>
          <w:sz w:val="32"/>
          <w:szCs w:val="32"/>
          <w:lang w:val="en-US" w:eastAsia="zh-CN"/>
        </w:rPr>
        <w:t>智慧怀化工作经费22.08万元、退还怀化安江惠峰印染有限公司土地收购款123.6万元、真抓实干成效明显地区奖励经费194.36万元等。</w:t>
      </w:r>
    </w:p>
    <w:p w14:paraId="49A4642E">
      <w:pPr>
        <w:pStyle w:val="14"/>
        <w:overflowPunct w:val="0"/>
        <w:autoSpaceDE/>
        <w:autoSpaceDN/>
        <w:spacing w:line="600" w:lineRule="exact"/>
        <w:ind w:firstLine="640" w:firstLineChars="200"/>
        <w:jc w:val="both"/>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（二）一般公共预算财政拨款支出决算结构情况</w:t>
      </w:r>
    </w:p>
    <w:p w14:paraId="40E58DAD">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度财政拨款支出</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万元，主要用于以下方面：一般公共服务（类）支出206.08万元，占</w:t>
      </w:r>
      <w:r>
        <w:rPr>
          <w:rFonts w:hint="default" w:ascii="Times New Roman" w:hAnsi="Times New Roman" w:eastAsia="仿宋_GB2312" w:cs="Times New Roman"/>
          <w:color w:val="auto"/>
          <w:sz w:val="32"/>
          <w:szCs w:val="32"/>
          <w:lang w:val="en-US" w:eastAsia="zh-CN"/>
        </w:rPr>
        <w:t>8.98</w:t>
      </w:r>
      <w:r>
        <w:rPr>
          <w:rFonts w:hint="default" w:ascii="Times New Roman" w:hAnsi="Times New Roman" w:eastAsia="仿宋_GB2312" w:cs="Times New Roman"/>
          <w:color w:val="auto"/>
          <w:sz w:val="32"/>
          <w:szCs w:val="32"/>
        </w:rPr>
        <w:t>%；社会保障和就业支出（类）支出545.98万元，占</w:t>
      </w:r>
      <w:r>
        <w:rPr>
          <w:rFonts w:hint="default" w:ascii="Times New Roman" w:hAnsi="Times New Roman" w:eastAsia="仿宋_GB2312" w:cs="Times New Roman"/>
          <w:color w:val="auto"/>
          <w:sz w:val="32"/>
          <w:szCs w:val="32"/>
          <w:lang w:val="en-US" w:eastAsia="zh-CN"/>
        </w:rPr>
        <w:t>23.8</w:t>
      </w:r>
      <w:r>
        <w:rPr>
          <w:rFonts w:hint="default" w:ascii="Times New Roman" w:hAnsi="Times New Roman" w:eastAsia="仿宋_GB2312" w:cs="Times New Roman"/>
          <w:color w:val="auto"/>
          <w:sz w:val="32"/>
          <w:szCs w:val="32"/>
        </w:rPr>
        <w:t>%;卫生健康支出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支出52.71万元，</w:t>
      </w:r>
      <w:r>
        <w:rPr>
          <w:rFonts w:hint="default" w:ascii="Times New Roman" w:hAnsi="Times New Roman" w:eastAsia="仿宋_GB2312" w:cs="Times New Roman"/>
          <w:color w:val="auto"/>
          <w:sz w:val="32"/>
          <w:szCs w:val="32"/>
        </w:rPr>
        <w:t>占</w:t>
      </w:r>
      <w:r>
        <w:rPr>
          <w:rFonts w:hint="default"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；资源勘探工业信息等支出（类）支出1478.29万元，</w:t>
      </w:r>
      <w:r>
        <w:rPr>
          <w:rFonts w:hint="default" w:ascii="Times New Roman" w:hAnsi="Times New Roman" w:eastAsia="仿宋_GB2312" w:cs="Times New Roman"/>
          <w:color w:val="auto"/>
          <w:sz w:val="32"/>
          <w:szCs w:val="32"/>
        </w:rPr>
        <w:t>占</w:t>
      </w:r>
      <w:r>
        <w:rPr>
          <w:rFonts w:hint="default" w:ascii="Times New Roman" w:hAnsi="Times New Roman" w:eastAsia="仿宋_GB2312" w:cs="Times New Roman"/>
          <w:color w:val="auto"/>
          <w:sz w:val="32"/>
          <w:szCs w:val="32"/>
          <w:lang w:val="en-US" w:eastAsia="zh-CN"/>
        </w:rPr>
        <w:t>64.45</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；住房保障支出（类）支出10.82万元，</w:t>
      </w:r>
      <w:r>
        <w:rPr>
          <w:rFonts w:hint="default" w:ascii="Times New Roman" w:hAnsi="Times New Roman" w:eastAsia="仿宋_GB2312" w:cs="Times New Roman"/>
          <w:color w:val="auto"/>
          <w:sz w:val="32"/>
          <w:szCs w:val="32"/>
        </w:rPr>
        <w:t>占</w:t>
      </w:r>
      <w:r>
        <w:rPr>
          <w:rFonts w:hint="default" w:ascii="Times New Roman" w:hAnsi="Times New Roman" w:eastAsia="仿宋_GB2312" w:cs="Times New Roman"/>
          <w:color w:val="auto"/>
          <w:sz w:val="32"/>
          <w:szCs w:val="32"/>
          <w:lang w:val="en-US" w:eastAsia="zh-CN"/>
        </w:rPr>
        <w:t>0.47</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w:t>
      </w:r>
    </w:p>
    <w:p w14:paraId="1A1095C3">
      <w:pPr>
        <w:pStyle w:val="14"/>
        <w:overflowPunct w:val="0"/>
        <w:autoSpaceDE/>
        <w:autoSpaceDN/>
        <w:spacing w:line="600" w:lineRule="exact"/>
        <w:ind w:firstLine="640" w:firstLineChars="200"/>
        <w:jc w:val="both"/>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（三）一般公共预算财政拨款支出决算具体情况</w:t>
      </w:r>
    </w:p>
    <w:p w14:paraId="68A70F0D">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年度财政拨款支出年初预算数为</w:t>
      </w:r>
      <w:r>
        <w:rPr>
          <w:rFonts w:hint="default" w:ascii="Times New Roman" w:hAnsi="Times New Roman" w:eastAsia="仿宋_GB2312" w:cs="Times New Roman"/>
          <w:color w:val="auto"/>
          <w:sz w:val="32"/>
          <w:szCs w:val="32"/>
          <w:lang w:val="en-US" w:eastAsia="zh-CN"/>
        </w:rPr>
        <w:t>1921.43</w:t>
      </w:r>
      <w:r>
        <w:rPr>
          <w:rFonts w:hint="default" w:ascii="Times New Roman" w:hAnsi="Times New Roman" w:eastAsia="仿宋_GB2312" w:cs="Times New Roman"/>
          <w:color w:val="auto"/>
          <w:sz w:val="32"/>
          <w:szCs w:val="32"/>
        </w:rPr>
        <w:t>万元，支出决算数为</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119.38</w:t>
      </w:r>
      <w:r>
        <w:rPr>
          <w:rFonts w:hint="default" w:ascii="Times New Roman" w:hAnsi="Times New Roman" w:eastAsia="仿宋_GB2312" w:cs="Times New Roman"/>
          <w:color w:val="auto"/>
          <w:sz w:val="32"/>
          <w:szCs w:val="32"/>
        </w:rPr>
        <w:t>%，其中：</w:t>
      </w:r>
    </w:p>
    <w:p w14:paraId="0232994F">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1、一般公共服务（类）其他一般公共服务支出（款）其他一般公共服务支出（项）。</w:t>
      </w:r>
    </w:p>
    <w:p w14:paraId="3E50A64E">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5.7</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141.08</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2475.09</w:t>
      </w:r>
      <w:r>
        <w:rPr>
          <w:rFonts w:hint="default" w:ascii="Times New Roman" w:hAnsi="Times New Roman" w:eastAsia="仿宋_GB2312" w:cs="Times New Roman"/>
          <w:color w:val="auto"/>
          <w:sz w:val="32"/>
          <w:szCs w:val="32"/>
        </w:rPr>
        <w:t>%，决算数大于年初预算数的主要原因是：</w:t>
      </w:r>
      <w:r>
        <w:rPr>
          <w:rFonts w:hint="default" w:ascii="Times New Roman" w:hAnsi="Times New Roman" w:eastAsia="仿宋_GB2312" w:cs="Times New Roman"/>
          <w:color w:val="auto"/>
          <w:sz w:val="32"/>
          <w:szCs w:val="32"/>
          <w:lang w:val="en-US" w:eastAsia="zh-CN"/>
        </w:rPr>
        <w:t>增加人员经费奖金支出60.13万元；增拨项目支出75.25万元。其中：2025年“5+10”产业链专班工作经费15万元、结转拨付市化工机械厂2024年度项目资金38.77万元、十五五新型工业化发展规划编制经费21.48万元。</w:t>
      </w:r>
    </w:p>
    <w:p w14:paraId="3593D779">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2、一般公共服务（类）商贸事务（款）招商引资（项）。</w:t>
      </w:r>
    </w:p>
    <w:p w14:paraId="27A44D3B">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65</w:t>
      </w:r>
      <w:r>
        <w:rPr>
          <w:rFonts w:hint="default" w:ascii="Times New Roman" w:hAnsi="Times New Roman" w:eastAsia="仿宋_GB2312" w:cs="Times New Roman"/>
          <w:color w:val="auto"/>
          <w:sz w:val="32"/>
          <w:szCs w:val="32"/>
        </w:rPr>
        <w:t>万元，决算数大于年初预算数的主要原因是</w:t>
      </w:r>
      <w:r>
        <w:rPr>
          <w:rFonts w:hint="default" w:ascii="Times New Roman" w:hAnsi="Times New Roman" w:eastAsia="仿宋_GB2312" w:cs="Times New Roman"/>
          <w:color w:val="auto"/>
          <w:sz w:val="32"/>
          <w:szCs w:val="32"/>
          <w:lang w:val="en-US" w:eastAsia="zh-CN"/>
        </w:rPr>
        <w:t>拨全国生物基产业发展交流活动经费65万元</w:t>
      </w:r>
      <w:r>
        <w:rPr>
          <w:rFonts w:hint="default" w:ascii="Times New Roman" w:hAnsi="Times New Roman" w:eastAsia="楷体_GB2312" w:cs="Times New Roman"/>
          <w:b/>
          <w:bCs/>
          <w:i/>
          <w:color w:val="auto"/>
          <w:sz w:val="32"/>
          <w:szCs w:val="32"/>
          <w:lang w:eastAsia="zh-CN"/>
        </w:rPr>
        <w:t>。</w:t>
      </w:r>
    </w:p>
    <w:p w14:paraId="2DDF21C5">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社会保障和就业支出（类）行政事业单位养老支出（款）机关事业单位基本养老保险缴费支出（项）</w:t>
      </w:r>
    </w:p>
    <w:p w14:paraId="243AC126">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125.48</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129.14</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102.92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决算数与预算数基本持平，主要用于在职人员基本养老保险缴费等。</w:t>
      </w:r>
    </w:p>
    <w:p w14:paraId="14460897">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社会保障和就业支出（类）行政事业单位养老支出（款）其他行政事业单位养老支出（项）</w:t>
      </w:r>
    </w:p>
    <w:p w14:paraId="7891392E">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431.79</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416.56</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96.47</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决算数与预算数基本持平，主要用于社会保障缴费及退休人员一次性生活补助等。</w:t>
      </w:r>
    </w:p>
    <w:p w14:paraId="0881621C">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社会保障和就业支出（类）行政事业单位养老支出（款）其他社会保障和就业支出（项）</w:t>
      </w:r>
    </w:p>
    <w:p w14:paraId="0031AF98">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0.27</w:t>
      </w:r>
      <w:r>
        <w:rPr>
          <w:rFonts w:hint="default" w:ascii="Times New Roman" w:hAnsi="Times New Roman" w:eastAsia="仿宋_GB2312" w:cs="Times New Roman"/>
          <w:color w:val="auto"/>
          <w:sz w:val="32"/>
          <w:szCs w:val="32"/>
        </w:rPr>
        <w:t>万元，决算数大于年初预算数的主要原因是</w:t>
      </w:r>
      <w:r>
        <w:rPr>
          <w:rFonts w:hint="default" w:ascii="Times New Roman" w:hAnsi="Times New Roman" w:eastAsia="仿宋_GB2312" w:cs="Times New Roman"/>
          <w:color w:val="auto"/>
          <w:sz w:val="32"/>
          <w:szCs w:val="32"/>
          <w:lang w:val="en-US" w:eastAsia="zh-CN"/>
        </w:rPr>
        <w:t>追加其他社会保障缴费。</w:t>
      </w:r>
    </w:p>
    <w:p w14:paraId="006BDB0F">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卫生健康支出（类）行政事业单位医疗（款）行政单位医疗（项）</w:t>
      </w:r>
    </w:p>
    <w:p w14:paraId="4A36C0C6">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49.95</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51.91</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103.92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决算数与预算数基本持平，</w:t>
      </w:r>
      <w:r>
        <w:rPr>
          <w:rFonts w:hint="default" w:ascii="Times New Roman" w:hAnsi="Times New Roman" w:eastAsia="仿宋_GB2312" w:cs="Times New Roman"/>
          <w:color w:val="auto"/>
          <w:sz w:val="32"/>
          <w:szCs w:val="32"/>
        </w:rPr>
        <w:t>主要</w:t>
      </w:r>
      <w:r>
        <w:rPr>
          <w:rFonts w:hint="default" w:ascii="Times New Roman" w:hAnsi="Times New Roman" w:eastAsia="仿宋_GB2312" w:cs="Times New Roman"/>
          <w:color w:val="auto"/>
          <w:sz w:val="32"/>
          <w:szCs w:val="32"/>
          <w:lang w:val="en-US" w:eastAsia="zh-CN"/>
        </w:rPr>
        <w:t>用于职工基本医疗保险缴费。</w:t>
      </w:r>
    </w:p>
    <w:p w14:paraId="35AB9F00">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卫生健康支出（类）行政事业单位医疗（款）其他行政事业单位医疗支出（项）</w:t>
      </w:r>
    </w:p>
    <w:p w14:paraId="3BA60E44">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0.8</w:t>
      </w:r>
      <w:r>
        <w:rPr>
          <w:rFonts w:hint="default" w:ascii="Times New Roman" w:hAnsi="Times New Roman" w:eastAsia="仿宋_GB2312" w:cs="Times New Roman"/>
          <w:color w:val="auto"/>
          <w:sz w:val="32"/>
          <w:szCs w:val="32"/>
        </w:rPr>
        <w:t>万元，决算数大于年初预算数的主要原因是</w:t>
      </w:r>
      <w:r>
        <w:rPr>
          <w:rFonts w:hint="default" w:ascii="Times New Roman" w:hAnsi="Times New Roman" w:eastAsia="仿宋_GB2312" w:cs="Times New Roman"/>
          <w:color w:val="auto"/>
          <w:sz w:val="32"/>
          <w:szCs w:val="32"/>
          <w:lang w:val="en-US" w:eastAsia="zh-CN"/>
        </w:rPr>
        <w:t>年初追加建国初期退休干部医疗补贴。</w:t>
      </w:r>
    </w:p>
    <w:p w14:paraId="37DC51DE">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资源勘探工业信息等支出（类）制造业（款）其他制造业支出（项）</w:t>
      </w:r>
    </w:p>
    <w:p w14:paraId="21603578">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57</w:t>
      </w:r>
      <w:r>
        <w:rPr>
          <w:rFonts w:hint="default" w:ascii="Times New Roman" w:hAnsi="Times New Roman" w:eastAsia="仿宋_GB2312" w:cs="Times New Roman"/>
          <w:color w:val="auto"/>
          <w:sz w:val="32"/>
          <w:szCs w:val="32"/>
        </w:rPr>
        <w:t>万元，决算数大于年初预算数的主要原因是</w:t>
      </w:r>
      <w:r>
        <w:rPr>
          <w:rFonts w:hint="default" w:ascii="Times New Roman" w:hAnsi="Times New Roman" w:eastAsia="仿宋_GB2312" w:cs="Times New Roman"/>
          <w:color w:val="auto"/>
          <w:sz w:val="32"/>
          <w:szCs w:val="32"/>
          <w:lang w:val="en-US" w:eastAsia="zh-CN"/>
        </w:rPr>
        <w:t>增拨2025年第二批湖南省先进制造业高地专项资金20万元、结转拨付2023年度新增规模以上工业企业培育发展奖励资金37万元。</w:t>
      </w:r>
    </w:p>
    <w:p w14:paraId="5FD3C16C">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资源勘探工业信息等支出（类）工业和信息产业（款）行政运行（项）</w:t>
      </w:r>
    </w:p>
    <w:p w14:paraId="5E586E37">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1154.82</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1223.78</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105.97</w:t>
      </w:r>
      <w:r>
        <w:rPr>
          <w:rFonts w:hint="default" w:ascii="Times New Roman" w:hAnsi="Times New Roman" w:eastAsia="仿宋_GB2312" w:cs="Times New Roman"/>
          <w:color w:val="auto"/>
          <w:sz w:val="32"/>
          <w:szCs w:val="32"/>
        </w:rPr>
        <w:t>%，决算数</w:t>
      </w:r>
      <w:r>
        <w:rPr>
          <w:rFonts w:hint="default" w:ascii="Times New Roman" w:hAnsi="Times New Roman" w:eastAsia="仿宋_GB2312" w:cs="Times New Roman"/>
          <w:color w:val="auto"/>
          <w:sz w:val="32"/>
          <w:szCs w:val="32"/>
          <w:lang w:val="en-US" w:eastAsia="zh-CN"/>
        </w:rPr>
        <w:t>与</w:t>
      </w:r>
      <w:r>
        <w:rPr>
          <w:rFonts w:hint="default" w:ascii="Times New Roman" w:hAnsi="Times New Roman" w:eastAsia="仿宋_GB2312" w:cs="Times New Roman"/>
          <w:color w:val="auto"/>
          <w:sz w:val="32"/>
          <w:szCs w:val="32"/>
        </w:rPr>
        <w:t>年初预算数</w:t>
      </w:r>
      <w:r>
        <w:rPr>
          <w:rFonts w:hint="default" w:ascii="Times New Roman" w:hAnsi="Times New Roman" w:eastAsia="仿宋_GB2312" w:cs="Times New Roman"/>
          <w:color w:val="auto"/>
          <w:sz w:val="32"/>
          <w:szCs w:val="32"/>
          <w:lang w:val="en-US" w:eastAsia="zh-CN"/>
        </w:rPr>
        <w:t>基本持平，主要用于</w:t>
      </w:r>
      <w:r>
        <w:rPr>
          <w:rFonts w:hint="default" w:ascii="Times New Roman" w:hAnsi="Times New Roman" w:eastAsia="仿宋_GB2312" w:cs="Times New Roman"/>
          <w:color w:val="auto"/>
          <w:sz w:val="32"/>
          <w:szCs w:val="32"/>
        </w:rPr>
        <w:t>工资福利支出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财政配套公积金、办公费、差旅费、培训费、会议费、工会经费及离退休费支出等。</w:t>
      </w:r>
    </w:p>
    <w:p w14:paraId="5CD29D52">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资源勘探工业信息等支出（类）工业和信息产业（款） 其他工业和信息产业支出（项）</w:t>
      </w:r>
    </w:p>
    <w:p w14:paraId="50D26F80">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153.69</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177.53</w:t>
      </w:r>
      <w:r>
        <w:rPr>
          <w:rFonts w:hint="default"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lang w:val="en-US" w:eastAsia="zh-CN"/>
        </w:rPr>
        <w:t>115.51</w:t>
      </w:r>
      <w:r>
        <w:rPr>
          <w:rFonts w:hint="default" w:ascii="Times New Roman" w:hAnsi="Times New Roman" w:eastAsia="仿宋_GB2312" w:cs="Times New Roman"/>
          <w:color w:val="auto"/>
          <w:sz w:val="32"/>
          <w:szCs w:val="32"/>
        </w:rPr>
        <w:t>%，决算数</w:t>
      </w:r>
      <w:r>
        <w:rPr>
          <w:rFonts w:hint="default" w:ascii="Times New Roman" w:hAnsi="Times New Roman" w:eastAsia="仿宋_GB2312" w:cs="Times New Roman"/>
          <w:color w:val="auto"/>
          <w:sz w:val="32"/>
          <w:szCs w:val="32"/>
          <w:lang w:val="en-US" w:eastAsia="zh-CN"/>
        </w:rPr>
        <w:t>大于</w:t>
      </w:r>
      <w:r>
        <w:rPr>
          <w:rFonts w:hint="default" w:ascii="Times New Roman" w:hAnsi="Times New Roman" w:eastAsia="仿宋_GB2312" w:cs="Times New Roman"/>
          <w:color w:val="auto"/>
          <w:sz w:val="32"/>
          <w:szCs w:val="32"/>
        </w:rPr>
        <w:t>年初预算数</w:t>
      </w:r>
      <w:r>
        <w:rPr>
          <w:rFonts w:hint="default" w:ascii="Times New Roman" w:hAnsi="Times New Roman" w:eastAsia="仿宋_GB2312" w:cs="Times New Roman"/>
          <w:color w:val="auto"/>
          <w:sz w:val="32"/>
          <w:szCs w:val="32"/>
          <w:lang w:val="en-US" w:eastAsia="zh-CN"/>
        </w:rPr>
        <w:t>的主要原因是：增拨怀化市通信基础设施布局国土空间专项规划项目</w:t>
      </w:r>
      <w:r>
        <w:rPr>
          <w:rFonts w:hint="eastAsia" w:ascii="Times New Roman" w:hAnsi="Times New Roman" w:eastAsia="仿宋_GB2312" w:cs="Times New Roman"/>
          <w:color w:val="auto"/>
          <w:sz w:val="32"/>
          <w:szCs w:val="32"/>
          <w:lang w:val="en-US" w:eastAsia="zh-CN"/>
        </w:rPr>
        <w:t>资金64.18万元</w:t>
      </w:r>
      <w:r>
        <w:rPr>
          <w:rFonts w:hint="default" w:ascii="Times New Roman" w:hAnsi="Times New Roman" w:eastAsia="仿宋_GB2312" w:cs="Times New Roman"/>
          <w:color w:val="auto"/>
          <w:sz w:val="32"/>
          <w:szCs w:val="32"/>
          <w:lang w:val="en-US" w:eastAsia="zh-CN"/>
        </w:rPr>
        <w:t>。</w:t>
      </w:r>
    </w:p>
    <w:p w14:paraId="7C6CF6B9">
      <w:pPr>
        <w:pStyle w:val="14"/>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资源勘探工业信息等支出（类）其他资源勘探工业信息等支出（款）其他资源勘探工业信息等支出（项）</w:t>
      </w:r>
    </w:p>
    <w:p w14:paraId="7ACA965D">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万元，决算数</w:t>
      </w:r>
      <w:r>
        <w:rPr>
          <w:rFonts w:hint="default" w:ascii="Times New Roman" w:hAnsi="Times New Roman" w:eastAsia="仿宋_GB2312" w:cs="Times New Roman"/>
          <w:color w:val="auto"/>
          <w:sz w:val="32"/>
          <w:szCs w:val="32"/>
          <w:lang w:val="en-US" w:eastAsia="zh-CN"/>
        </w:rPr>
        <w:t>大于</w:t>
      </w:r>
      <w:r>
        <w:rPr>
          <w:rFonts w:hint="default" w:ascii="Times New Roman" w:hAnsi="Times New Roman" w:eastAsia="仿宋_GB2312" w:cs="Times New Roman"/>
          <w:color w:val="auto"/>
          <w:sz w:val="32"/>
          <w:szCs w:val="32"/>
        </w:rPr>
        <w:t>年初预算数</w:t>
      </w:r>
      <w:r>
        <w:rPr>
          <w:rFonts w:hint="default" w:ascii="Times New Roman" w:hAnsi="Times New Roman" w:eastAsia="仿宋_GB2312" w:cs="Times New Roman"/>
          <w:color w:val="auto"/>
          <w:sz w:val="32"/>
          <w:szCs w:val="32"/>
          <w:lang w:val="en-US" w:eastAsia="zh-CN"/>
        </w:rPr>
        <w:t>的主要原因是：追加绿色矿业产业链专项经费、箱包皮具产业链专项经费各10万元。</w:t>
      </w:r>
    </w:p>
    <w:p w14:paraId="23B8DBDA">
      <w:pPr>
        <w:pStyle w:val="14"/>
        <w:numPr>
          <w:ilvl w:val="0"/>
          <w:numId w:val="1"/>
        </w:numPr>
        <w:overflowPunct w:val="0"/>
        <w:autoSpaceDE/>
        <w:autoSpaceDN/>
        <w:spacing w:line="600" w:lineRule="exact"/>
        <w:ind w:firstLine="596" w:firstLineChars="200"/>
        <w:jc w:val="both"/>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lang w:val="en-US" w:eastAsia="zh-CN"/>
        </w:rPr>
        <w:t>住房保障支出（类）住房改革支出（款）住房公积金（项）</w:t>
      </w:r>
    </w:p>
    <w:p w14:paraId="31EAA625">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10.82</w:t>
      </w:r>
      <w:r>
        <w:rPr>
          <w:rFonts w:hint="default" w:ascii="Times New Roman" w:hAnsi="Times New Roman" w:eastAsia="仿宋_GB2312" w:cs="Times New Roman"/>
          <w:color w:val="auto"/>
          <w:sz w:val="32"/>
          <w:szCs w:val="32"/>
        </w:rPr>
        <w:t>万元，决算数</w:t>
      </w:r>
      <w:r>
        <w:rPr>
          <w:rFonts w:hint="default" w:ascii="Times New Roman" w:hAnsi="Times New Roman" w:eastAsia="仿宋_GB2312" w:cs="Times New Roman"/>
          <w:color w:val="auto"/>
          <w:sz w:val="32"/>
          <w:szCs w:val="32"/>
          <w:lang w:val="en-US" w:eastAsia="zh-CN"/>
        </w:rPr>
        <w:t>大于</w:t>
      </w:r>
      <w:r>
        <w:rPr>
          <w:rFonts w:hint="default" w:ascii="Times New Roman" w:hAnsi="Times New Roman" w:eastAsia="仿宋_GB2312" w:cs="Times New Roman"/>
          <w:color w:val="auto"/>
          <w:sz w:val="32"/>
          <w:szCs w:val="32"/>
        </w:rPr>
        <w:t>年初预算数</w:t>
      </w:r>
      <w:r>
        <w:rPr>
          <w:rFonts w:hint="default" w:ascii="Times New Roman" w:hAnsi="Times New Roman" w:eastAsia="仿宋_GB2312" w:cs="Times New Roman"/>
          <w:color w:val="auto"/>
          <w:sz w:val="32"/>
          <w:szCs w:val="32"/>
          <w:lang w:val="en-US" w:eastAsia="zh-CN"/>
        </w:rPr>
        <w:t>的主要原因是：追加财政配套公积金。</w:t>
      </w:r>
    </w:p>
    <w:p w14:paraId="58C4C357">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按照支出功能分类，</w:t>
      </w:r>
      <w:r>
        <w:rPr>
          <w:rFonts w:hint="default" w:ascii="Times New Roman" w:hAnsi="Times New Roman" w:eastAsia="仿宋_GB2312" w:cs="Times New Roman"/>
          <w:color w:val="auto"/>
          <w:sz w:val="32"/>
          <w:szCs w:val="32"/>
          <w:lang w:val="en-US" w:eastAsia="zh-CN"/>
        </w:rPr>
        <w:t>资源勘探工业信息等支出</w:t>
      </w:r>
      <w:r>
        <w:rPr>
          <w:rFonts w:hint="default" w:ascii="Times New Roman" w:hAnsi="Times New Roman" w:eastAsia="仿宋_GB2312" w:cs="Times New Roman"/>
          <w:color w:val="auto"/>
          <w:sz w:val="32"/>
          <w:szCs w:val="32"/>
        </w:rPr>
        <w:t>方面的支出规模较大，主要</w:t>
      </w:r>
      <w:r>
        <w:rPr>
          <w:rFonts w:hint="default" w:ascii="Times New Roman" w:hAnsi="Times New Roman" w:eastAsia="仿宋_GB2312" w:cs="Times New Roman"/>
          <w:color w:val="auto"/>
          <w:sz w:val="32"/>
          <w:szCs w:val="32"/>
          <w:lang w:val="en-US" w:eastAsia="zh-CN"/>
        </w:rPr>
        <w:t>用于基本支出和项目支出</w:t>
      </w:r>
      <w:r>
        <w:rPr>
          <w:rFonts w:hint="default" w:ascii="Times New Roman" w:hAnsi="Times New Roman" w:eastAsia="仿宋_GB2312" w:cs="Times New Roman"/>
          <w:color w:val="auto"/>
          <w:sz w:val="32"/>
          <w:szCs w:val="32"/>
        </w:rPr>
        <w:t>，2025年度决算数为1478.29万元，占财政拨款支出总额的</w:t>
      </w:r>
      <w:r>
        <w:rPr>
          <w:rFonts w:hint="default" w:ascii="Times New Roman" w:hAnsi="Times New Roman" w:eastAsia="仿宋_GB2312" w:cs="Times New Roman"/>
          <w:color w:val="auto"/>
          <w:sz w:val="32"/>
          <w:szCs w:val="32"/>
          <w:lang w:val="en-US" w:eastAsia="zh-CN"/>
        </w:rPr>
        <w:t>64.44</w:t>
      </w:r>
      <w:r>
        <w:rPr>
          <w:rFonts w:hint="default" w:ascii="Times New Roman" w:hAnsi="Times New Roman" w:eastAsia="仿宋_GB2312" w:cs="Times New Roman"/>
          <w:color w:val="auto"/>
          <w:sz w:val="32"/>
          <w:szCs w:val="32"/>
        </w:rPr>
        <w:t>%，主要用于工资福利支出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财政配套公积金、办公费、差旅费、培训费、会议费、工会经费及离退休费支出等基本支出和结转拨付2023年度新增规模以上工业企业培育发展奖励资金、2025年第二批湖南省先进制造业高地专项资金、怀化市通信基础设施布局国土空间专项规划项目等13个</w:t>
      </w:r>
      <w:r>
        <w:rPr>
          <w:rFonts w:hint="default" w:ascii="Times New Roman" w:hAnsi="Times New Roman" w:eastAsia="仿宋_GB2312" w:cs="Times New Roman"/>
          <w:color w:val="auto"/>
          <w:sz w:val="32"/>
          <w:szCs w:val="32"/>
        </w:rPr>
        <w:t>项目</w:t>
      </w:r>
      <w:r>
        <w:rPr>
          <w:rFonts w:hint="default" w:ascii="Times New Roman" w:hAnsi="Times New Roman" w:eastAsia="仿宋_GB2312" w:cs="Times New Roman"/>
          <w:color w:val="auto"/>
          <w:sz w:val="32"/>
          <w:szCs w:val="32"/>
          <w:lang w:val="en-US" w:eastAsia="zh-CN"/>
        </w:rPr>
        <w:t>支出。</w:t>
      </w:r>
    </w:p>
    <w:p w14:paraId="545EC7DD">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六、一般公共预算财政拨款基本支出决算情况说明</w:t>
      </w:r>
    </w:p>
    <w:p w14:paraId="5EDF7F43">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年度一般公共预算财政拨款基本支出1893.41万元，其中：</w:t>
      </w:r>
    </w:p>
    <w:p w14:paraId="4D520E58">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人员经费</w:t>
      </w:r>
      <w:r>
        <w:rPr>
          <w:rFonts w:hint="eastAsia" w:ascii="Times New Roman" w:hAnsi="Times New Roman" w:eastAsia="仿宋_GB2312" w:cs="Times New Roman"/>
          <w:b/>
          <w:bCs/>
          <w:color w:val="auto"/>
          <w:sz w:val="32"/>
          <w:szCs w:val="32"/>
          <w:lang w:val="en-US" w:eastAsia="zh-CN"/>
        </w:rPr>
        <w:t>支出</w:t>
      </w:r>
      <w:r>
        <w:rPr>
          <w:rFonts w:hint="default" w:ascii="Times New Roman" w:hAnsi="Times New Roman" w:eastAsia="仿宋_GB2312" w:cs="Times New Roman"/>
          <w:color w:val="auto"/>
          <w:sz w:val="32"/>
          <w:szCs w:val="32"/>
        </w:rPr>
        <w:t>1772.24万元，占基本支出的</w:t>
      </w:r>
      <w:r>
        <w:rPr>
          <w:rFonts w:hint="default" w:ascii="Times New Roman" w:hAnsi="Times New Roman" w:eastAsia="仿宋_GB2312" w:cs="Times New Roman"/>
          <w:color w:val="auto"/>
          <w:sz w:val="32"/>
          <w:szCs w:val="32"/>
          <w:lang w:val="en-US" w:eastAsia="zh-CN"/>
        </w:rPr>
        <w:t>93.6</w:t>
      </w:r>
      <w:r>
        <w:rPr>
          <w:rFonts w:hint="default" w:ascii="Times New Roman" w:hAnsi="Times New Roman" w:eastAsia="仿宋_GB2312" w:cs="Times New Roman"/>
          <w:color w:val="auto"/>
          <w:sz w:val="32"/>
          <w:szCs w:val="32"/>
        </w:rPr>
        <w:t>%,主要包括基本工资、津贴补贴、奖金、伙食补助费</w:t>
      </w:r>
      <w:r>
        <w:rPr>
          <w:rFonts w:hint="default" w:ascii="Times New Roman" w:hAnsi="Times New Roman" w:eastAsia="仿宋_GB2312" w:cs="Times New Roman"/>
          <w:color w:val="auto"/>
          <w:sz w:val="32"/>
          <w:szCs w:val="32"/>
          <w:lang w:eastAsia="zh-CN"/>
        </w:rPr>
        <w:t>、机关事业单位基本养老保险缴费、职工基本医疗保险缴费、住房公积金</w:t>
      </w:r>
      <w:r>
        <w:rPr>
          <w:rFonts w:hint="default"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rPr>
        <w:t>。</w:t>
      </w:r>
    </w:p>
    <w:p w14:paraId="6B11335E">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公用经费</w:t>
      </w:r>
      <w:r>
        <w:rPr>
          <w:rFonts w:hint="eastAsia" w:ascii="Times New Roman" w:hAnsi="Times New Roman" w:eastAsia="仿宋_GB2312" w:cs="Times New Roman"/>
          <w:b/>
          <w:bCs/>
          <w:color w:val="auto"/>
          <w:sz w:val="32"/>
          <w:szCs w:val="32"/>
          <w:lang w:val="en-US" w:eastAsia="zh-CN"/>
        </w:rPr>
        <w:t>支出</w:t>
      </w:r>
      <w:r>
        <w:rPr>
          <w:rFonts w:hint="default" w:ascii="Times New Roman" w:hAnsi="Times New Roman" w:eastAsia="仿宋_GB2312" w:cs="Times New Roman"/>
          <w:color w:val="auto"/>
          <w:sz w:val="32"/>
          <w:szCs w:val="32"/>
        </w:rPr>
        <w:t>121.17万元，占基本支出的</w:t>
      </w:r>
      <w:r>
        <w:rPr>
          <w:rFonts w:hint="default" w:ascii="Times New Roman" w:hAnsi="Times New Roman" w:eastAsia="仿宋_GB2312" w:cs="Times New Roman"/>
          <w:color w:val="auto"/>
          <w:sz w:val="32"/>
          <w:szCs w:val="32"/>
          <w:lang w:val="en-US" w:eastAsia="zh-CN"/>
        </w:rPr>
        <w:t>6.4</w:t>
      </w:r>
      <w:r>
        <w:rPr>
          <w:rFonts w:hint="default" w:ascii="Times New Roman" w:hAnsi="Times New Roman" w:eastAsia="仿宋_GB2312" w:cs="Times New Roman"/>
          <w:color w:val="auto"/>
          <w:sz w:val="32"/>
          <w:szCs w:val="32"/>
        </w:rPr>
        <w:t>%，主要包括办公费、</w:t>
      </w:r>
      <w:r>
        <w:rPr>
          <w:rFonts w:hint="default" w:ascii="Times New Roman" w:hAnsi="Times New Roman" w:eastAsia="仿宋_GB2312" w:cs="Times New Roman"/>
          <w:color w:val="auto"/>
          <w:sz w:val="32"/>
          <w:szCs w:val="32"/>
          <w:lang w:val="en-US" w:eastAsia="zh-CN"/>
        </w:rPr>
        <w:t>差旅费、会议费、培训费、工会经费、福利费、其他交通费用等</w:t>
      </w:r>
      <w:r>
        <w:rPr>
          <w:rFonts w:hint="default" w:ascii="Times New Roman" w:hAnsi="Times New Roman" w:eastAsia="仿宋_GB2312" w:cs="Times New Roman"/>
          <w:color w:val="auto"/>
          <w:sz w:val="32"/>
          <w:szCs w:val="32"/>
        </w:rPr>
        <w:t>。</w:t>
      </w:r>
    </w:p>
    <w:p w14:paraId="467382C9">
      <w:pPr>
        <w:pStyle w:val="14"/>
        <w:overflowPunct w:val="0"/>
        <w:autoSpaceDE/>
        <w:autoSpaceDN/>
        <w:spacing w:line="600" w:lineRule="exact"/>
        <w:ind w:firstLine="640" w:firstLineChars="200"/>
        <w:jc w:val="both"/>
        <w:rPr>
          <w:rFonts w:hint="default" w:ascii="Times New Roman" w:hAnsi="Times New Roman" w:eastAsia="仿宋_GB2312" w:cs="Times New Roman"/>
          <w:b/>
          <w:i w:val="0"/>
          <w:iCs w:val="0"/>
          <w:color w:val="auto"/>
          <w:sz w:val="32"/>
          <w:szCs w:val="32"/>
        </w:rPr>
      </w:pPr>
      <w:r>
        <w:rPr>
          <w:rFonts w:hint="default" w:ascii="Times New Roman" w:hAnsi="Times New Roman" w:cs="Times New Roman"/>
          <w:bCs/>
          <w:i w:val="0"/>
          <w:iCs w:val="0"/>
          <w:color w:val="auto"/>
          <w:sz w:val="32"/>
          <w:szCs w:val="32"/>
        </w:rPr>
        <w:t>七、财政拨款“三公”经费支出决算情况说明</w:t>
      </w:r>
      <w:r>
        <w:rPr>
          <w:rFonts w:hint="default" w:ascii="Times New Roman" w:hAnsi="Times New Roman" w:eastAsia="楷体_GB2312" w:cs="Times New Roman"/>
          <w:b/>
          <w:bCs/>
          <w:i w:val="0"/>
          <w:iCs w:val="0"/>
          <w:color w:val="auto"/>
          <w:sz w:val="32"/>
          <w:szCs w:val="32"/>
        </w:rPr>
        <w:t>（注意：“三公”经费不再是一般公共预算财政拨款口径，而是财政拨款口径）</w:t>
      </w:r>
    </w:p>
    <w:p w14:paraId="565CB0CF">
      <w:pPr>
        <w:pStyle w:val="14"/>
        <w:overflowPunct w:val="0"/>
        <w:autoSpaceDE/>
        <w:autoSpaceDN/>
        <w:spacing w:line="600" w:lineRule="exact"/>
        <w:ind w:firstLine="640" w:firstLineChars="200"/>
        <w:jc w:val="both"/>
        <w:rPr>
          <w:rFonts w:hint="default" w:ascii="Times New Roman" w:hAnsi="Times New Roman" w:eastAsia="楷体_GB2312" w:cs="Times New Roman"/>
          <w:b/>
          <w:i w:val="0"/>
          <w:iCs w:val="0"/>
          <w:color w:val="auto"/>
          <w:sz w:val="32"/>
          <w:szCs w:val="32"/>
        </w:rPr>
      </w:pPr>
      <w:r>
        <w:rPr>
          <w:rFonts w:hint="default" w:ascii="Times New Roman" w:hAnsi="Times New Roman" w:eastAsia="楷体_GB2312" w:cs="Times New Roman"/>
          <w:b/>
          <w:i w:val="0"/>
          <w:iCs w:val="0"/>
          <w:color w:val="auto"/>
          <w:sz w:val="32"/>
          <w:szCs w:val="32"/>
        </w:rPr>
        <w:t>（一）“三公”经费财政拨款支出决算总体情况说明</w:t>
      </w:r>
    </w:p>
    <w:p w14:paraId="63846B49">
      <w:pPr>
        <w:numPr>
          <w:ilvl w:val="0"/>
          <w:numId w:val="0"/>
        </w:numPr>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年度“三公”经费财政拨款支出预算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32</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为21.33万元，完成预算的</w:t>
      </w:r>
      <w:r>
        <w:rPr>
          <w:rFonts w:hint="default" w:ascii="Times New Roman" w:hAnsi="Times New Roman" w:eastAsia="仿宋_GB2312" w:cs="Times New Roman"/>
          <w:color w:val="auto"/>
          <w:sz w:val="32"/>
          <w:szCs w:val="32"/>
          <w:lang w:val="en-US" w:eastAsia="zh-CN"/>
        </w:rPr>
        <w:t>66.66</w:t>
      </w:r>
      <w:r>
        <w:rPr>
          <w:rFonts w:hint="default" w:ascii="Times New Roman" w:hAnsi="Times New Roman" w:eastAsia="仿宋_GB2312" w:cs="Times New Roman"/>
          <w:color w:val="auto"/>
          <w:sz w:val="32"/>
          <w:szCs w:val="32"/>
        </w:rPr>
        <w:t>%；与上年相比减少</w:t>
      </w:r>
      <w:r>
        <w:rPr>
          <w:rFonts w:hint="default" w:ascii="Times New Roman" w:hAnsi="Times New Roman" w:eastAsia="仿宋_GB2312" w:cs="Times New Roman"/>
          <w:color w:val="auto"/>
          <w:sz w:val="32"/>
          <w:szCs w:val="32"/>
          <w:lang w:val="en-US" w:eastAsia="zh-CN"/>
        </w:rPr>
        <w:t>37.11</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63.5</w:t>
      </w:r>
      <w:r>
        <w:rPr>
          <w:rFonts w:hint="default" w:ascii="Times New Roman" w:hAnsi="Times New Roman" w:eastAsia="仿宋_GB2312" w:cs="Times New Roman"/>
          <w:color w:val="auto"/>
          <w:sz w:val="32"/>
          <w:szCs w:val="32"/>
        </w:rPr>
        <w:t>%。决算数小于预算数的主要原因是</w:t>
      </w:r>
      <w:r>
        <w:rPr>
          <w:rFonts w:hint="default" w:ascii="Times New Roman" w:hAnsi="Times New Roman" w:eastAsia="仿宋_GB2312" w:cs="Times New Roman"/>
          <w:color w:val="auto"/>
          <w:sz w:val="32"/>
          <w:szCs w:val="32"/>
          <w:lang w:val="en-US" w:eastAsia="zh-CN"/>
        </w:rPr>
        <w:t>公务用车购置费、公务用车运行维护费及公务接待费减少。</w:t>
      </w:r>
    </w:p>
    <w:p w14:paraId="5A87A7F4">
      <w:pPr>
        <w:pStyle w:val="14"/>
        <w:overflowPunct w:val="0"/>
        <w:autoSpaceDE/>
        <w:autoSpaceDN/>
        <w:spacing w:line="600" w:lineRule="exact"/>
        <w:ind w:firstLine="640" w:firstLineChars="200"/>
        <w:jc w:val="both"/>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（二）“三公”经费财政拨款支出决算具体情况说明</w:t>
      </w:r>
    </w:p>
    <w:p w14:paraId="02EF5651">
      <w:pPr>
        <w:pStyle w:val="14"/>
        <w:overflowPunct w:val="0"/>
        <w:autoSpaceDE/>
        <w:autoSpaceDN/>
        <w:spacing w:line="600" w:lineRule="exact"/>
        <w:ind w:firstLine="640" w:firstLineChars="200"/>
        <w:jc w:val="both"/>
        <w:rPr>
          <w:rFonts w:hint="default" w:ascii="Times New Roman" w:hAnsi="Times New Roman" w:eastAsia="楷体" w:cs="Times New Roman"/>
          <w:b/>
          <w:bCs/>
          <w:i/>
          <w:color w:val="auto"/>
          <w:sz w:val="32"/>
          <w:szCs w:val="32"/>
        </w:rPr>
      </w:pPr>
      <w:r>
        <w:rPr>
          <w:rFonts w:hint="default" w:ascii="Times New Roman" w:hAnsi="Times New Roman" w:eastAsia="仿宋_GB2312" w:cs="Times New Roman"/>
          <w:color w:val="auto"/>
          <w:sz w:val="32"/>
          <w:szCs w:val="32"/>
        </w:rPr>
        <w:t>1.因公出国（境）费支出预算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w:t>
      </w:r>
    </w:p>
    <w:p w14:paraId="284871E7">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2024年、2025年均无</w:t>
      </w:r>
      <w:r>
        <w:rPr>
          <w:rFonts w:hint="default" w:ascii="Times New Roman" w:hAnsi="Times New Roman" w:eastAsia="仿宋_GB2312" w:cs="Times New Roman"/>
          <w:color w:val="auto"/>
          <w:sz w:val="32"/>
          <w:szCs w:val="32"/>
        </w:rPr>
        <w:t>因公出国（境）费支出</w:t>
      </w:r>
      <w:r>
        <w:rPr>
          <w:rFonts w:hint="default" w:ascii="Times New Roman" w:hAnsi="Times New Roman" w:eastAsia="仿宋_GB2312" w:cs="Times New Roman"/>
          <w:color w:val="auto"/>
          <w:sz w:val="32"/>
          <w:szCs w:val="32"/>
          <w:lang w:eastAsia="zh-CN"/>
        </w:rPr>
        <w:t>。</w:t>
      </w:r>
    </w:p>
    <w:p w14:paraId="2185A97E">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2.公务用车购置费及运行维护费支出预算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为12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89万元，完成预算的</w:t>
      </w:r>
      <w:r>
        <w:rPr>
          <w:rFonts w:hint="default" w:ascii="Times New Roman" w:hAnsi="Times New Roman" w:eastAsia="仿宋_GB2312" w:cs="Times New Roman"/>
          <w:color w:val="auto"/>
          <w:sz w:val="32"/>
          <w:szCs w:val="32"/>
          <w:lang w:val="en-US" w:eastAsia="zh-CN"/>
        </w:rPr>
        <w:t>75.82</w:t>
      </w:r>
      <w:r>
        <w:rPr>
          <w:rFonts w:hint="default" w:ascii="Times New Roman" w:hAnsi="Times New Roman" w:eastAsia="仿宋_GB2312" w:cs="Times New Roman"/>
          <w:color w:val="auto"/>
          <w:sz w:val="32"/>
          <w:szCs w:val="32"/>
        </w:rPr>
        <w:t>%；与上年相比减少</w:t>
      </w:r>
      <w:r>
        <w:rPr>
          <w:rFonts w:hint="default" w:ascii="Times New Roman" w:hAnsi="Times New Roman" w:eastAsia="仿宋_GB2312" w:cs="Times New Roman"/>
          <w:color w:val="auto"/>
          <w:sz w:val="32"/>
          <w:szCs w:val="32"/>
          <w:lang w:val="en-US" w:eastAsia="zh-CN"/>
        </w:rPr>
        <w:t>31.15</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70.7</w:t>
      </w:r>
      <w:r>
        <w:rPr>
          <w:rFonts w:hint="default" w:ascii="Times New Roman" w:hAnsi="Times New Roman" w:eastAsia="仿宋_GB2312" w:cs="Times New Roman"/>
          <w:color w:val="auto"/>
          <w:sz w:val="32"/>
          <w:szCs w:val="32"/>
        </w:rPr>
        <w:t>%。其中：</w:t>
      </w:r>
    </w:p>
    <w:p w14:paraId="725C04BB">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公务用车购置费支出预算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val="en-US" w:eastAsia="zh-CN"/>
        </w:rPr>
        <w:t>本年无</w:t>
      </w:r>
      <w:r>
        <w:rPr>
          <w:rFonts w:hint="default" w:ascii="Times New Roman" w:hAnsi="Times New Roman" w:eastAsia="仿宋_GB2312" w:cs="Times New Roman"/>
          <w:color w:val="auto"/>
          <w:sz w:val="32"/>
          <w:szCs w:val="32"/>
        </w:rPr>
        <w:t>公务用车购置费支出。</w:t>
      </w:r>
    </w:p>
    <w:p w14:paraId="61912654">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公务用车运行维护费支出预算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为12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89万元，主要是车辆购汽油、维修、过路费等支出，完成预算的</w:t>
      </w:r>
      <w:r>
        <w:rPr>
          <w:rFonts w:hint="default" w:ascii="Times New Roman" w:hAnsi="Times New Roman" w:eastAsia="仿宋_GB2312" w:cs="Times New Roman"/>
          <w:color w:val="auto"/>
          <w:sz w:val="32"/>
          <w:szCs w:val="32"/>
          <w:lang w:val="en-US" w:eastAsia="zh-CN"/>
        </w:rPr>
        <w:t>75.82</w:t>
      </w:r>
      <w:r>
        <w:rPr>
          <w:rFonts w:hint="default" w:ascii="Times New Roman" w:hAnsi="Times New Roman" w:eastAsia="仿宋_GB2312" w:cs="Times New Roman"/>
          <w:color w:val="auto"/>
          <w:sz w:val="32"/>
          <w:szCs w:val="32"/>
        </w:rPr>
        <w:t>%；与上年相比减少</w:t>
      </w:r>
      <w:r>
        <w:rPr>
          <w:rFonts w:hint="default" w:ascii="Times New Roman" w:hAnsi="Times New Roman" w:eastAsia="仿宋_GB2312" w:cs="Times New Roman"/>
          <w:color w:val="auto"/>
          <w:sz w:val="32"/>
          <w:szCs w:val="32"/>
          <w:lang w:val="en-US" w:eastAsia="zh-CN"/>
        </w:rPr>
        <w:t>7.87</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37.9</w:t>
      </w:r>
      <w:r>
        <w:rPr>
          <w:rFonts w:hint="default" w:ascii="Times New Roman" w:hAnsi="Times New Roman" w:eastAsia="仿宋_GB2312" w:cs="Times New Roman"/>
          <w:color w:val="auto"/>
          <w:sz w:val="32"/>
          <w:szCs w:val="32"/>
        </w:rPr>
        <w:t>%。决算数小于预算数的主要原因是</w:t>
      </w:r>
      <w:r>
        <w:rPr>
          <w:rFonts w:hint="default" w:ascii="Times New Roman" w:hAnsi="Times New Roman" w:eastAsia="仿宋_GB2312" w:cs="Times New Roman"/>
          <w:color w:val="auto"/>
          <w:sz w:val="32"/>
          <w:szCs w:val="32"/>
          <w:lang w:val="en-US" w:eastAsia="zh-CN"/>
        </w:rPr>
        <w:t>按照“三公”经费相关规定，对公务用车维护费实行总额控制，严格经费支出审批手续，不得超预算支出</w:t>
      </w:r>
      <w:r>
        <w:rPr>
          <w:rFonts w:hint="default" w:ascii="Times New Roman" w:hAnsi="Times New Roman" w:eastAsia="仿宋_GB2312" w:cs="Times New Roman"/>
          <w:color w:val="auto"/>
          <w:sz w:val="32"/>
          <w:szCs w:val="32"/>
        </w:rPr>
        <w:t>。截止202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年12月31日，我单位开支财政拨款的公务用车保有量为</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辆。</w:t>
      </w:r>
    </w:p>
    <w:p w14:paraId="56E34825">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3.公务接待费支出预算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rPr>
        <w:t>万元，支出决算</w:t>
      </w:r>
      <w:r>
        <w:rPr>
          <w:rFonts w:hint="eastAsia" w:ascii="Times New Roman" w:hAnsi="Times New Roman" w:eastAsia="仿宋_GB2312" w:cs="Times New Roman"/>
          <w:color w:val="auto"/>
          <w:sz w:val="32"/>
          <w:szCs w:val="32"/>
          <w:lang w:val="en-US" w:eastAsia="zh-CN"/>
        </w:rPr>
        <w:t>数</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8.44</w:t>
      </w:r>
      <w:r>
        <w:rPr>
          <w:rFonts w:hint="default" w:ascii="Times New Roman" w:hAnsi="Times New Roman" w:eastAsia="仿宋_GB2312" w:cs="Times New Roman"/>
          <w:color w:val="auto"/>
          <w:sz w:val="32"/>
          <w:szCs w:val="32"/>
        </w:rPr>
        <w:t>万元，完成预算的</w:t>
      </w:r>
      <w:r>
        <w:rPr>
          <w:rFonts w:hint="default" w:ascii="Times New Roman" w:hAnsi="Times New Roman" w:eastAsia="仿宋_GB2312" w:cs="Times New Roman"/>
          <w:color w:val="auto"/>
          <w:sz w:val="32"/>
          <w:szCs w:val="32"/>
          <w:lang w:val="en-US" w:eastAsia="zh-CN"/>
        </w:rPr>
        <w:t>56.27</w:t>
      </w:r>
      <w:r>
        <w:rPr>
          <w:rFonts w:hint="default" w:ascii="Times New Roman" w:hAnsi="Times New Roman" w:eastAsia="仿宋_GB2312" w:cs="Times New Roman"/>
          <w:color w:val="auto"/>
          <w:sz w:val="32"/>
          <w:szCs w:val="32"/>
        </w:rPr>
        <w:t>%；与上年相比减少</w:t>
      </w:r>
      <w:r>
        <w:rPr>
          <w:rFonts w:hint="default" w:ascii="Times New Roman" w:hAnsi="Times New Roman" w:eastAsia="仿宋_GB2312" w:cs="Times New Roman"/>
          <w:color w:val="auto"/>
          <w:sz w:val="32"/>
          <w:szCs w:val="32"/>
          <w:lang w:val="en-US" w:eastAsia="zh-CN"/>
        </w:rPr>
        <w:t>5.96</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41.4</w:t>
      </w:r>
      <w:r>
        <w:rPr>
          <w:rFonts w:hint="default" w:ascii="Times New Roman" w:hAnsi="Times New Roman" w:eastAsia="仿宋_GB2312" w:cs="Times New Roman"/>
          <w:color w:val="auto"/>
          <w:sz w:val="32"/>
          <w:szCs w:val="32"/>
        </w:rPr>
        <w:t>%。决算数小于预算数的主要原因是</w:t>
      </w:r>
      <w:r>
        <w:rPr>
          <w:rFonts w:hint="default" w:ascii="Times New Roman" w:hAnsi="Times New Roman" w:eastAsia="仿宋_GB2312" w:cs="Times New Roman"/>
          <w:color w:val="auto"/>
          <w:sz w:val="32"/>
          <w:szCs w:val="32"/>
          <w:lang w:val="en-US" w:eastAsia="zh-CN"/>
        </w:rPr>
        <w:t>控制接待费支出</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度共接待来访团组</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个、来宾</w:t>
      </w:r>
      <w:r>
        <w:rPr>
          <w:rFonts w:hint="default" w:ascii="Times New Roman" w:hAnsi="Times New Roman" w:eastAsia="仿宋_GB2312" w:cs="Times New Roman"/>
          <w:color w:val="auto"/>
          <w:sz w:val="32"/>
          <w:szCs w:val="32"/>
          <w:lang w:val="en-US" w:eastAsia="zh-CN"/>
        </w:rPr>
        <w:t>597</w:t>
      </w:r>
      <w:r>
        <w:rPr>
          <w:rFonts w:hint="default"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lang w:val="en-US" w:eastAsia="zh-CN"/>
        </w:rPr>
        <w:t>大型</w:t>
      </w:r>
      <w:r>
        <w:rPr>
          <w:rFonts w:hint="default" w:ascii="Times New Roman" w:hAnsi="Times New Roman" w:eastAsia="仿宋_GB2312" w:cs="Times New Roman"/>
          <w:color w:val="auto"/>
          <w:sz w:val="32"/>
          <w:szCs w:val="32"/>
          <w:lang w:val="en-US" w:eastAsia="zh-CN"/>
        </w:rPr>
        <w:t>商务活动</w:t>
      </w:r>
      <w:r>
        <w:rPr>
          <w:rFonts w:hint="default" w:ascii="Times New Roman" w:hAnsi="Times New Roman" w:eastAsia="仿宋_GB2312" w:cs="Times New Roman"/>
          <w:color w:val="auto"/>
          <w:sz w:val="32"/>
          <w:szCs w:val="32"/>
        </w:rPr>
        <w:t>发生的接待支出。</w:t>
      </w:r>
    </w:p>
    <w:p w14:paraId="601B494B">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八、政府性基金预算收入支出决算情况</w:t>
      </w:r>
    </w:p>
    <w:p w14:paraId="74D2F84F">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本单位202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年度无政府性基金预算财政拨款收支。</w:t>
      </w:r>
    </w:p>
    <w:p w14:paraId="6193F7A9">
      <w:pPr>
        <w:pStyle w:val="15"/>
        <w:shd w:val="clear"/>
        <w:ind w:firstLine="640" w:firstLineChars="200"/>
        <w:jc w:val="left"/>
        <w:rPr>
          <w:rFonts w:hint="default" w:ascii="Times New Roman" w:hAnsi="Times New Roman" w:eastAsia="黑体" w:cs="Times New Roman"/>
          <w:color w:val="auto"/>
          <w:sz w:val="32"/>
          <w:szCs w:val="32"/>
        </w:rPr>
      </w:pPr>
      <w:r>
        <w:rPr>
          <w:rFonts w:hint="default" w:ascii="Times New Roman" w:hAnsi="Times New Roman" w:cs="Times New Roman"/>
          <w:b/>
          <w:bCs w:val="0"/>
          <w:color w:val="auto"/>
          <w:sz w:val="32"/>
          <w:szCs w:val="32"/>
          <w:lang w:val="en-US" w:eastAsia="zh-CN"/>
        </w:rPr>
        <w:t>九</w:t>
      </w:r>
      <w:r>
        <w:rPr>
          <w:rFonts w:hint="default" w:ascii="Times New Roman" w:hAnsi="Times New Roman" w:cs="Times New Roman"/>
          <w:bCs/>
          <w:color w:val="auto"/>
          <w:sz w:val="32"/>
          <w:szCs w:val="32"/>
          <w:lang w:val="en-US" w:eastAsia="zh-CN"/>
        </w:rPr>
        <w:t>、</w:t>
      </w:r>
      <w:r>
        <w:rPr>
          <w:rFonts w:hint="default" w:ascii="Times New Roman" w:hAnsi="Times New Roman" w:eastAsia="黑体" w:cs="Times New Roman"/>
          <w:color w:val="auto"/>
          <w:sz w:val="32"/>
          <w:szCs w:val="32"/>
        </w:rPr>
        <w:t>国有资本经营预算收入支出决算情况</w:t>
      </w:r>
    </w:p>
    <w:p w14:paraId="732ED648">
      <w:pPr>
        <w:pStyle w:val="15"/>
        <w:shd w:val="clear"/>
        <w:ind w:firstLine="800" w:firstLineChars="25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color w:val="auto"/>
          <w:sz w:val="32"/>
          <w:szCs w:val="32"/>
        </w:rPr>
        <w:t>本单位202</w:t>
      </w:r>
      <w:r>
        <w:rPr>
          <w:rFonts w:hint="default" w:ascii="Times New Roman" w:hAnsi="Times New Roman" w:eastAsia="仿宋_GB2312" w:cs="Times New Roman"/>
          <w:bCs/>
          <w:color w:val="auto"/>
          <w:sz w:val="32"/>
          <w:szCs w:val="32"/>
          <w:lang w:val="en-US" w:eastAsia="zh-CN"/>
        </w:rPr>
        <w:t>5</w:t>
      </w:r>
      <w:r>
        <w:rPr>
          <w:rFonts w:hint="default" w:ascii="Times New Roman" w:hAnsi="Times New Roman" w:eastAsia="仿宋_GB2312" w:cs="Times New Roman"/>
          <w:bCs/>
          <w:color w:val="auto"/>
          <w:sz w:val="32"/>
          <w:szCs w:val="32"/>
        </w:rPr>
        <w:t>年度无国有资本经营预算收支。</w:t>
      </w:r>
    </w:p>
    <w:p w14:paraId="46A10D3C">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lang w:val="en-US" w:eastAsia="zh-CN"/>
        </w:rPr>
        <w:t>十</w:t>
      </w:r>
      <w:r>
        <w:rPr>
          <w:rFonts w:hint="default" w:ascii="Times New Roman" w:hAnsi="Times New Roman" w:cs="Times New Roman"/>
          <w:bCs/>
          <w:color w:val="auto"/>
          <w:sz w:val="32"/>
          <w:szCs w:val="32"/>
        </w:rPr>
        <w:t>、关于机关运行经费支出说明</w:t>
      </w:r>
    </w:p>
    <w:p w14:paraId="079D33E3">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本部门202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年度机关运行经费支出</w:t>
      </w:r>
      <w:r>
        <w:rPr>
          <w:rFonts w:hint="default" w:ascii="Times New Roman" w:hAnsi="Times New Roman" w:eastAsia="仿宋_GB2312" w:cs="Times New Roman"/>
          <w:color w:val="auto"/>
          <w:sz w:val="32"/>
          <w:szCs w:val="32"/>
          <w:lang w:val="en-US" w:eastAsia="zh-CN"/>
        </w:rPr>
        <w:t>121.17</w:t>
      </w:r>
      <w:r>
        <w:rPr>
          <w:rFonts w:hint="default" w:ascii="Times New Roman" w:hAnsi="Times New Roman" w:eastAsia="仿宋_GB2312" w:cs="Times New Roman"/>
          <w:color w:val="auto"/>
          <w:sz w:val="32"/>
          <w:szCs w:val="32"/>
        </w:rPr>
        <w:t>万元，比上年决算数减少</w:t>
      </w:r>
      <w:r>
        <w:rPr>
          <w:rFonts w:hint="default" w:ascii="Times New Roman" w:hAnsi="Times New Roman" w:eastAsia="仿宋_GB2312" w:cs="Times New Roman"/>
          <w:color w:val="auto"/>
          <w:sz w:val="32"/>
          <w:szCs w:val="32"/>
          <w:lang w:val="en-US" w:eastAsia="zh-CN"/>
        </w:rPr>
        <w:t>20.4</w:t>
      </w:r>
      <w:r>
        <w:rPr>
          <w:rFonts w:hint="default"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eastAsia="zh-CN"/>
        </w:rPr>
        <w:t>14.41</w:t>
      </w:r>
      <w:r>
        <w:rPr>
          <w:rFonts w:hint="default" w:ascii="Times New Roman" w:hAnsi="Times New Roman" w:eastAsia="仿宋_GB2312" w:cs="Times New Roman"/>
          <w:color w:val="auto"/>
          <w:sz w:val="32"/>
          <w:szCs w:val="32"/>
        </w:rPr>
        <w:t>%。主要原因是：公务用车购置费</w:t>
      </w:r>
      <w:r>
        <w:rPr>
          <w:rFonts w:hint="default" w:ascii="Times New Roman" w:hAnsi="Times New Roman" w:eastAsia="仿宋_GB2312" w:cs="Times New Roman"/>
          <w:color w:val="auto"/>
          <w:sz w:val="32"/>
          <w:szCs w:val="32"/>
          <w:lang w:val="en-US" w:eastAsia="zh-CN"/>
        </w:rPr>
        <w:t>减少。</w:t>
      </w:r>
    </w:p>
    <w:p w14:paraId="23BB3850">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一</w:t>
      </w:r>
      <w:r>
        <w:rPr>
          <w:rFonts w:hint="default" w:ascii="Times New Roman" w:hAnsi="Times New Roman" w:cs="Times New Roman"/>
          <w:bCs/>
          <w:color w:val="auto"/>
          <w:sz w:val="32"/>
          <w:szCs w:val="32"/>
        </w:rPr>
        <w:t>、一般性支出情况说明</w:t>
      </w:r>
    </w:p>
    <w:p w14:paraId="70AD8A2E">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年本部门开支会议费</w:t>
      </w:r>
      <w:r>
        <w:rPr>
          <w:rFonts w:hint="default" w:ascii="Times New Roman" w:hAnsi="Times New Roman" w:eastAsia="仿宋_GB2312" w:cs="Times New Roman"/>
          <w:color w:val="auto"/>
          <w:sz w:val="32"/>
          <w:szCs w:val="32"/>
          <w:lang w:val="en-US" w:eastAsia="zh-CN"/>
        </w:rPr>
        <w:t>20.11</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val="en-US" w:eastAsia="zh-CN"/>
        </w:rPr>
        <w:t>主要</w:t>
      </w:r>
      <w:r>
        <w:rPr>
          <w:rFonts w:hint="default" w:ascii="Times New Roman" w:hAnsi="Times New Roman" w:eastAsia="仿宋_GB2312" w:cs="Times New Roman"/>
          <w:color w:val="auto"/>
          <w:sz w:val="32"/>
          <w:szCs w:val="32"/>
        </w:rPr>
        <w:t>用于召开</w:t>
      </w:r>
      <w:r>
        <w:rPr>
          <w:rFonts w:hint="default" w:ascii="Times New Roman" w:hAnsi="Times New Roman" w:eastAsia="仿宋_GB2312" w:cs="Times New Roman"/>
          <w:color w:val="auto"/>
          <w:sz w:val="32"/>
          <w:szCs w:val="32"/>
          <w:lang w:val="en-US" w:eastAsia="zh-CN"/>
        </w:rPr>
        <w:t>生物基产业链务虚会：人数52人，主要内容是生物基产业链目标建设；中级职称评审会议：人数23人，主要内容是审核学历资质、品德和考核情况及申报程序的合规性；</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十五五</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时期先进制造业会议：人数44人，主要内容是推进制造业高端化、智能化；国家产融合作试点城市“一城一策”路演会议，人数200人左右，主要内容是解读国家产融合作试点政策，介绍试点建设总体要求，阐述本地产业基础、产业链短板、产融合作痛点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开支培训费</w:t>
      </w:r>
      <w:r>
        <w:rPr>
          <w:rFonts w:hint="default" w:ascii="Times New Roman" w:hAnsi="Times New Roman" w:eastAsia="仿宋_GB2312" w:cs="Times New Roman"/>
          <w:color w:val="auto"/>
          <w:sz w:val="32"/>
          <w:szCs w:val="32"/>
          <w:lang w:val="en-US" w:eastAsia="zh-CN"/>
        </w:rPr>
        <w:t>4.28</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val="en-US" w:eastAsia="zh-CN"/>
        </w:rPr>
        <w:t>主要</w:t>
      </w:r>
      <w:r>
        <w:rPr>
          <w:rFonts w:hint="default" w:ascii="Times New Roman" w:hAnsi="Times New Roman" w:eastAsia="仿宋_GB2312" w:cs="Times New Roman"/>
          <w:color w:val="auto"/>
          <w:sz w:val="32"/>
          <w:szCs w:val="32"/>
        </w:rPr>
        <w:t>用于开展</w:t>
      </w:r>
      <w:r>
        <w:rPr>
          <w:rFonts w:hint="default" w:ascii="Times New Roman" w:hAnsi="Times New Roman" w:eastAsia="仿宋_GB2312" w:cs="Times New Roman"/>
          <w:color w:val="auto"/>
          <w:sz w:val="32"/>
          <w:szCs w:val="32"/>
          <w:lang w:val="en-US" w:eastAsia="zh-CN"/>
        </w:rPr>
        <w:t>箱包链培训</w:t>
      </w:r>
      <w:r>
        <w:rPr>
          <w:rFonts w:hint="default" w:ascii="Times New Roman" w:hAnsi="Times New Roman" w:eastAsia="仿宋_GB2312" w:cs="Times New Roman"/>
          <w:color w:val="auto"/>
          <w:sz w:val="32"/>
          <w:szCs w:val="32"/>
        </w:rPr>
        <w:t>，人数</w:t>
      </w:r>
      <w:r>
        <w:rPr>
          <w:rFonts w:hint="default" w:ascii="Times New Roman" w:hAnsi="Times New Roman" w:eastAsia="仿宋_GB2312" w:cs="Times New Roman"/>
          <w:color w:val="auto"/>
          <w:sz w:val="32"/>
          <w:szCs w:val="32"/>
          <w:lang w:val="en-US" w:eastAsia="zh-CN"/>
        </w:rPr>
        <w:t>80</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val="en-US" w:eastAsia="zh-CN"/>
        </w:rPr>
        <w:t>主要</w:t>
      </w:r>
      <w:r>
        <w:rPr>
          <w:rFonts w:hint="default" w:ascii="Times New Roman" w:hAnsi="Times New Roman" w:eastAsia="仿宋_GB2312" w:cs="Times New Roman"/>
          <w:color w:val="auto"/>
          <w:sz w:val="32"/>
          <w:szCs w:val="32"/>
        </w:rPr>
        <w:t>内容为</w:t>
      </w:r>
      <w:r>
        <w:rPr>
          <w:rFonts w:hint="default" w:ascii="Times New Roman" w:hAnsi="Times New Roman" w:eastAsia="仿宋_GB2312" w:cs="Times New Roman"/>
          <w:color w:val="auto"/>
          <w:sz w:val="32"/>
          <w:szCs w:val="32"/>
          <w:lang w:eastAsia="zh-CN"/>
        </w:rPr>
        <w:t>围绕</w:t>
      </w:r>
      <w:r>
        <w:rPr>
          <w:rFonts w:hint="default" w:ascii="Times New Roman" w:hAnsi="Times New Roman" w:eastAsia="仿宋_GB2312" w:cs="Times New Roman"/>
          <w:color w:val="auto"/>
          <w:sz w:val="32"/>
          <w:szCs w:val="32"/>
          <w:lang w:val="en-US" w:eastAsia="zh-CN"/>
        </w:rPr>
        <w:t>箱包产业链，剖析产业现状、痛点、转型升级路径、市场与品牌、政策及产融对接；事业单位人员培训会议：人数31人，主要内容</w:t>
      </w:r>
      <w:r>
        <w:rPr>
          <w:rFonts w:hint="eastAsia" w:ascii="Times New Roman" w:hAnsi="Times New Roman" w:eastAsia="仿宋_GB2312" w:cs="Times New Roman"/>
          <w:color w:val="auto"/>
          <w:sz w:val="32"/>
          <w:szCs w:val="32"/>
          <w:lang w:val="en-US" w:eastAsia="zh-CN"/>
        </w:rPr>
        <w:t>为</w:t>
      </w:r>
      <w:r>
        <w:rPr>
          <w:rFonts w:hint="default" w:ascii="Times New Roman" w:hAnsi="Times New Roman" w:eastAsia="仿宋_GB2312" w:cs="Times New Roman"/>
          <w:color w:val="auto"/>
          <w:sz w:val="32"/>
          <w:szCs w:val="32"/>
          <w:lang w:val="en-US" w:eastAsia="zh-CN"/>
        </w:rPr>
        <w:t>事业单位人员的继续教育；《电力设施保护条例》办法宣贯会暨电力执法业务培训会：人数70人，主要内容</w:t>
      </w:r>
      <w:r>
        <w:rPr>
          <w:rFonts w:hint="eastAsia" w:ascii="Times New Roman" w:hAnsi="Times New Roman" w:eastAsia="仿宋_GB2312" w:cs="Times New Roman"/>
          <w:color w:val="auto"/>
          <w:sz w:val="32"/>
          <w:szCs w:val="32"/>
          <w:lang w:val="en-US" w:eastAsia="zh-CN"/>
        </w:rPr>
        <w:t>为</w:t>
      </w:r>
      <w:r>
        <w:rPr>
          <w:rFonts w:hint="default" w:ascii="Times New Roman" w:hAnsi="Times New Roman" w:eastAsia="仿宋_GB2312" w:cs="Times New Roman"/>
          <w:color w:val="auto"/>
          <w:sz w:val="32"/>
          <w:szCs w:val="32"/>
          <w:lang w:val="en-US" w:eastAsia="zh-CN"/>
        </w:rPr>
        <w:t>介绍当前电力设施保护形式，电网作业能源基础设施，线下违建，保障电力安全对产业链、工业稳定及新质生产力的意义。事业单位工作人员继续教育</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人数</w:t>
      </w:r>
      <w:r>
        <w:rPr>
          <w:rFonts w:hint="default" w:ascii="Times New Roman" w:hAnsi="Times New Roman" w:eastAsia="仿宋_GB2312" w:cs="Times New Roman"/>
          <w:color w:val="auto"/>
          <w:sz w:val="32"/>
          <w:szCs w:val="32"/>
          <w:lang w:val="en-US" w:eastAsia="zh-CN"/>
        </w:rPr>
        <w:t>31</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val="en-US" w:eastAsia="zh-CN"/>
        </w:rPr>
        <w:t>本年无</w:t>
      </w:r>
      <w:r>
        <w:rPr>
          <w:rFonts w:hint="default" w:ascii="Times New Roman" w:hAnsi="Times New Roman" w:eastAsia="仿宋_GB2312" w:cs="Times New Roman"/>
          <w:color w:val="auto"/>
          <w:sz w:val="32"/>
          <w:szCs w:val="32"/>
        </w:rPr>
        <w:t>举办节庆、晚会、论坛、赛事活动</w:t>
      </w:r>
      <w:r>
        <w:rPr>
          <w:rFonts w:hint="default" w:ascii="Times New Roman" w:hAnsi="Times New Roman" w:eastAsia="仿宋_GB2312" w:cs="Times New Roman"/>
          <w:color w:val="auto"/>
          <w:sz w:val="32"/>
          <w:szCs w:val="32"/>
          <w:lang w:val="en-US" w:eastAsia="zh-CN"/>
        </w:rPr>
        <w:t>等支出。</w:t>
      </w:r>
    </w:p>
    <w:p w14:paraId="28E465E9">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二</w:t>
      </w:r>
      <w:r>
        <w:rPr>
          <w:rFonts w:hint="default" w:ascii="Times New Roman" w:hAnsi="Times New Roman" w:cs="Times New Roman"/>
          <w:bCs/>
          <w:color w:val="auto"/>
          <w:sz w:val="32"/>
          <w:szCs w:val="32"/>
        </w:rPr>
        <w:t>、关于政府采购支出说明</w:t>
      </w:r>
    </w:p>
    <w:p w14:paraId="669F7048">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本部门202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年度政府采购支出总额109</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09万元，其中：政府采购货物支出95</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6</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万元、政府采购工程支出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万元、政府采购服务支出</w:t>
      </w:r>
      <w:r>
        <w:rPr>
          <w:rFonts w:hint="default" w:ascii="Times New Roman" w:hAnsi="Times New Roman" w:eastAsia="仿宋_GB2312" w:cs="Times New Roman"/>
          <w:color w:val="auto"/>
          <w:sz w:val="32"/>
          <w:szCs w:val="32"/>
          <w:lang w:val="en-US" w:eastAsia="zh-CN"/>
        </w:rPr>
        <w:t>13.43</w:t>
      </w:r>
      <w:r>
        <w:rPr>
          <w:rFonts w:hint="default" w:ascii="Times New Roman" w:hAnsi="Times New Roman" w:eastAsia="仿宋_GB2312" w:cs="Times New Roman"/>
          <w:color w:val="auto"/>
          <w:sz w:val="32"/>
          <w:szCs w:val="32"/>
        </w:rPr>
        <w:t>万元。授予中小企业合同金额109</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09万元，占政府采购支出总额的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%，其中：授予小微企业合同金额109</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09万元，占授予中小企业合同金额的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val="en-US" w:eastAsia="zh-CN"/>
        </w:rPr>
        <w:t>万元</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w:t>
      </w:r>
    </w:p>
    <w:p w14:paraId="57B00A1E">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三</w:t>
      </w:r>
      <w:r>
        <w:rPr>
          <w:rFonts w:hint="default" w:ascii="Times New Roman" w:hAnsi="Times New Roman" w:cs="Times New Roman"/>
          <w:bCs/>
          <w:color w:val="auto"/>
          <w:sz w:val="32"/>
          <w:szCs w:val="32"/>
        </w:rPr>
        <w:t>、关于国有资产占用情况说明</w:t>
      </w:r>
    </w:p>
    <w:p w14:paraId="2C00B6BD">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年12月31日，部门共有车辆</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辆，其中，副部（省）级及以上领导用车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辆、主要负责人用车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辆、机要通信用车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辆、应急保障用车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辆、执法执勤用车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辆、特种专业技术用车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辆、离退休干部服务用车</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辆、其他用车</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辆，其他用车主要是一般公务用车；单位价值100万元以上设备（不含车辆）</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台（套）。</w:t>
      </w:r>
    </w:p>
    <w:p w14:paraId="4D6A31F4">
      <w:pPr>
        <w:pStyle w:val="14"/>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w:t>
      </w:r>
      <w:r>
        <w:rPr>
          <w:rFonts w:hint="default" w:ascii="Times New Roman" w:hAnsi="Times New Roman" w:cs="Times New Roman"/>
          <w:bCs/>
          <w:color w:val="auto"/>
          <w:sz w:val="32"/>
          <w:szCs w:val="32"/>
          <w:lang w:val="en-US" w:eastAsia="zh-CN"/>
        </w:rPr>
        <w:t>四</w:t>
      </w:r>
      <w:r>
        <w:rPr>
          <w:rFonts w:hint="default" w:ascii="Times New Roman" w:hAnsi="Times New Roman" w:cs="Times New Roman"/>
          <w:bCs/>
          <w:color w:val="auto"/>
          <w:sz w:val="32"/>
          <w:szCs w:val="32"/>
        </w:rPr>
        <w:t>、关于</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cs="Times New Roman"/>
          <w:bCs/>
          <w:color w:val="auto"/>
          <w:sz w:val="32"/>
          <w:szCs w:val="32"/>
        </w:rPr>
        <w:t>年度预算绩效情况的说明</w:t>
      </w:r>
    </w:p>
    <w:p w14:paraId="1C40B01D">
      <w:pPr>
        <w:shd w:val="clear"/>
        <w:overflowPunct w:val="0"/>
        <w:spacing w:line="60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sz w:val="32"/>
          <w:szCs w:val="32"/>
        </w:rPr>
        <w:t>（一）绩效评价工作开展情况。</w:t>
      </w:r>
      <w:r>
        <w:rPr>
          <w:rFonts w:hint="default" w:ascii="Times New Roman" w:hAnsi="Times New Roman" w:eastAsia="仿宋_GB2312" w:cs="Times New Roman"/>
          <w:b/>
          <w:bCs/>
          <w:color w:val="auto"/>
          <w:kern w:val="0"/>
          <w:sz w:val="32"/>
          <w:szCs w:val="32"/>
        </w:rPr>
        <w:t>一是绩效自评开展情况。</w:t>
      </w:r>
      <w:r>
        <w:rPr>
          <w:rFonts w:hint="default" w:ascii="Times New Roman" w:hAnsi="Times New Roman" w:eastAsia="仿宋_GB2312" w:cs="Times New Roman"/>
          <w:color w:val="auto"/>
          <w:kern w:val="0"/>
          <w:sz w:val="32"/>
          <w:szCs w:val="32"/>
        </w:rPr>
        <w:t>组织对202</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年度本单位整体支出开展绩效自评，涉及项目</w:t>
      </w:r>
      <w:r>
        <w:rPr>
          <w:rFonts w:hint="default" w:ascii="Times New Roman" w:hAnsi="Times New Roman" w:eastAsia="仿宋_GB2312" w:cs="Times New Roman"/>
          <w:color w:val="auto"/>
          <w:kern w:val="0"/>
          <w:sz w:val="32"/>
          <w:szCs w:val="32"/>
          <w:lang w:val="en-US" w:eastAsia="zh-CN"/>
        </w:rPr>
        <w:t>18</w:t>
      </w:r>
      <w:r>
        <w:rPr>
          <w:rFonts w:hint="default" w:ascii="Times New Roman" w:hAnsi="Times New Roman" w:eastAsia="仿宋_GB2312" w:cs="Times New Roman"/>
          <w:color w:val="auto"/>
          <w:kern w:val="0"/>
          <w:sz w:val="32"/>
          <w:szCs w:val="32"/>
        </w:rPr>
        <w:t xml:space="preserve"> 个，共涉及资金400.48万元。其中，一般公共预算项目</w:t>
      </w:r>
      <w:r>
        <w:rPr>
          <w:rFonts w:hint="default" w:ascii="Times New Roman" w:hAnsi="Times New Roman" w:eastAsia="仿宋_GB2312" w:cs="Times New Roman"/>
          <w:color w:val="auto"/>
          <w:kern w:val="0"/>
          <w:sz w:val="32"/>
          <w:szCs w:val="32"/>
          <w:lang w:val="en-US" w:eastAsia="zh-CN"/>
        </w:rPr>
        <w:t>18</w:t>
      </w:r>
      <w:r>
        <w:rPr>
          <w:rFonts w:hint="default"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共计</w:t>
      </w:r>
      <w:r>
        <w:rPr>
          <w:rFonts w:hint="default" w:ascii="Times New Roman" w:hAnsi="Times New Roman" w:eastAsia="仿宋_GB2312" w:cs="Times New Roman"/>
          <w:color w:val="auto"/>
          <w:kern w:val="0"/>
          <w:sz w:val="32"/>
          <w:szCs w:val="32"/>
        </w:rPr>
        <w:t>400.48万元，占一般公共预算支出总额的</w:t>
      </w:r>
      <w:r>
        <w:rPr>
          <w:rFonts w:hint="default" w:ascii="Times New Roman" w:hAnsi="Times New Roman" w:eastAsia="仿宋_GB2312" w:cs="Times New Roman"/>
          <w:color w:val="auto"/>
          <w:kern w:val="0"/>
          <w:sz w:val="32"/>
          <w:szCs w:val="32"/>
          <w:lang w:val="en-US" w:eastAsia="zh-CN"/>
        </w:rPr>
        <w:t>100</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本单位2025年无</w:t>
      </w:r>
      <w:r>
        <w:rPr>
          <w:rFonts w:hint="default" w:ascii="Times New Roman" w:hAnsi="Times New Roman" w:eastAsia="仿宋_GB2312" w:cs="Times New Roman"/>
          <w:color w:val="auto"/>
          <w:kern w:val="0"/>
          <w:sz w:val="32"/>
          <w:szCs w:val="32"/>
        </w:rPr>
        <w:t>政府性基金</w:t>
      </w:r>
      <w:r>
        <w:rPr>
          <w:rFonts w:hint="default" w:ascii="Times New Roman" w:hAnsi="Times New Roman" w:eastAsia="仿宋_GB2312" w:cs="Times New Roman"/>
          <w:color w:val="auto"/>
          <w:kern w:val="0"/>
          <w:sz w:val="32"/>
          <w:szCs w:val="32"/>
          <w:lang w:val="en-US" w:eastAsia="zh-CN"/>
        </w:rPr>
        <w:t>预算</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国有资本经营预算</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社会保险基金预算项目</w:t>
      </w:r>
      <w:r>
        <w:rPr>
          <w:rFonts w:hint="default" w:ascii="Times New Roman" w:hAnsi="Times New Roman" w:eastAsia="仿宋_GB2312" w:cs="Times New Roman"/>
          <w:color w:val="auto"/>
          <w:kern w:val="0"/>
          <w:sz w:val="32"/>
          <w:szCs w:val="32"/>
          <w:lang w:val="en-US" w:eastAsia="zh-CN"/>
        </w:rPr>
        <w:t>支出。</w:t>
      </w:r>
      <w:r>
        <w:rPr>
          <w:rFonts w:hint="default" w:ascii="Times New Roman" w:hAnsi="Times New Roman" w:eastAsia="仿宋_GB2312" w:cs="Times New Roman"/>
          <w:b/>
          <w:bCs/>
          <w:color w:val="auto"/>
          <w:kern w:val="0"/>
          <w:sz w:val="32"/>
          <w:szCs w:val="32"/>
        </w:rPr>
        <w:t>二是部门评价开展情况。</w:t>
      </w:r>
      <w:r>
        <w:rPr>
          <w:rFonts w:hint="default" w:ascii="Times New Roman" w:hAnsi="Times New Roman" w:eastAsia="仿宋_GB2312" w:cs="Times New Roman"/>
          <w:color w:val="auto"/>
          <w:kern w:val="0"/>
          <w:sz w:val="32"/>
          <w:szCs w:val="32"/>
        </w:rPr>
        <w:t>组织对所属单位202</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年度全国生物基产业发展交流活动经费</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sz w:val="32"/>
          <w:szCs w:val="32"/>
        </w:rPr>
        <w:t>2025年怀化市</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送解忧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专项行动工作经费</w:t>
      </w:r>
      <w:r>
        <w:rPr>
          <w:rFonts w:hint="default" w:ascii="Times New Roman" w:hAnsi="Times New Roman" w:eastAsia="仿宋_GB2312" w:cs="Times New Roman"/>
          <w:color w:val="auto"/>
          <w:kern w:val="0"/>
          <w:sz w:val="32"/>
          <w:szCs w:val="32"/>
        </w:rPr>
        <w:t>等</w:t>
      </w:r>
      <w:r>
        <w:rPr>
          <w:rFonts w:hint="default" w:ascii="Times New Roman" w:hAnsi="Times New Roman" w:eastAsia="仿宋_GB2312" w:cs="Times New Roman"/>
          <w:color w:val="auto"/>
          <w:kern w:val="0"/>
          <w:sz w:val="32"/>
          <w:szCs w:val="32"/>
          <w:lang w:val="en-US" w:eastAsia="zh-CN"/>
        </w:rPr>
        <w:t>18</w:t>
      </w:r>
      <w:r>
        <w:rPr>
          <w:rFonts w:hint="default" w:ascii="Times New Roman" w:hAnsi="Times New Roman" w:eastAsia="仿宋_GB2312" w:cs="Times New Roman"/>
          <w:color w:val="auto"/>
          <w:kern w:val="0"/>
          <w:sz w:val="32"/>
          <w:szCs w:val="32"/>
        </w:rPr>
        <w:t>个项目开展了部门评价，涉及一般公共预算支出</w:t>
      </w:r>
      <w:r>
        <w:rPr>
          <w:rFonts w:hint="default" w:ascii="Times New Roman" w:hAnsi="Times New Roman" w:eastAsia="仿宋_GB2312" w:cs="Times New Roman"/>
          <w:color w:val="auto"/>
          <w:kern w:val="0"/>
          <w:sz w:val="32"/>
          <w:szCs w:val="32"/>
          <w:lang w:val="en-US" w:eastAsia="zh-CN"/>
        </w:rPr>
        <w:t>400.48</w:t>
      </w:r>
      <w:r>
        <w:rPr>
          <w:rFonts w:hint="default" w:ascii="Times New Roman" w:hAnsi="Times New Roman" w:eastAsia="仿宋_GB2312" w:cs="Times New Roman"/>
          <w:color w:val="auto"/>
          <w:kern w:val="0"/>
          <w:sz w:val="32"/>
          <w:szCs w:val="32"/>
        </w:rPr>
        <w:t>万元，政府性基金预算支出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kern w:val="0"/>
          <w:sz w:val="32"/>
          <w:szCs w:val="32"/>
        </w:rPr>
        <w:t>万元，国有资本经营预算支出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kern w:val="0"/>
          <w:sz w:val="32"/>
          <w:szCs w:val="32"/>
        </w:rPr>
        <w:t>万元，社会保险基金预算支出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kern w:val="0"/>
          <w:sz w:val="32"/>
          <w:szCs w:val="32"/>
        </w:rPr>
        <w:t>万元。</w:t>
      </w:r>
    </w:p>
    <w:p w14:paraId="04C7CECE">
      <w:pPr>
        <w:overflowPunct w:val="0"/>
        <w:spacing w:line="600" w:lineRule="exact"/>
        <w:rPr>
          <w:rFonts w:hint="default"/>
        </w:rPr>
      </w:pPr>
      <w:r>
        <w:rPr>
          <w:rFonts w:hint="default" w:ascii="Times New Roman" w:hAnsi="Times New Roman" w:eastAsia="仿宋_GB2312" w:cs="Times New Roman"/>
          <w:b/>
          <w:bCs/>
          <w:color w:val="auto"/>
          <w:kern w:val="0"/>
          <w:sz w:val="32"/>
          <w:szCs w:val="32"/>
        </w:rPr>
        <w:t>三是事前绩效评估开展情况</w:t>
      </w:r>
      <w:r>
        <w:rPr>
          <w:rFonts w:hint="default" w:ascii="Times New Roman" w:hAnsi="Times New Roman" w:eastAsia="仿宋_GB2312" w:cs="Times New Roman"/>
          <w:b/>
          <w:bCs/>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202</w:t>
      </w:r>
      <w:r>
        <w:rPr>
          <w:rFonts w:hint="default" w:ascii="Times New Roman" w:hAnsi="Times New Roman" w:eastAsia="仿宋_GB2312" w:cs="Times New Roman"/>
          <w:b w:val="0"/>
          <w:bCs w:val="0"/>
          <w:color w:val="auto"/>
          <w:kern w:val="0"/>
          <w:sz w:val="32"/>
          <w:szCs w:val="32"/>
          <w:lang w:val="en-US" w:eastAsia="zh-CN"/>
        </w:rPr>
        <w:t>5</w:t>
      </w:r>
      <w:r>
        <w:rPr>
          <w:rFonts w:hint="default" w:ascii="Times New Roman" w:hAnsi="Times New Roman" w:eastAsia="仿宋_GB2312" w:cs="Times New Roman"/>
          <w:b w:val="0"/>
          <w:bCs w:val="0"/>
          <w:color w:val="auto"/>
          <w:kern w:val="0"/>
          <w:sz w:val="32"/>
          <w:szCs w:val="32"/>
        </w:rPr>
        <w:t>年度</w:t>
      </w:r>
      <w:r>
        <w:rPr>
          <w:rFonts w:hint="default" w:ascii="Times New Roman" w:hAnsi="Times New Roman" w:eastAsia="仿宋_GB2312" w:cs="Times New Roman"/>
          <w:b w:val="0"/>
          <w:bCs w:val="0"/>
          <w:color w:val="auto"/>
          <w:kern w:val="0"/>
          <w:sz w:val="32"/>
          <w:szCs w:val="32"/>
          <w:lang w:val="en-US" w:eastAsia="zh-CN"/>
        </w:rPr>
        <w:t>本单位无</w:t>
      </w:r>
      <w:r>
        <w:rPr>
          <w:rFonts w:hint="default" w:ascii="Times New Roman" w:hAnsi="Times New Roman" w:eastAsia="仿宋_GB2312" w:cs="Times New Roman"/>
          <w:b w:val="0"/>
          <w:bCs w:val="0"/>
          <w:color w:val="auto"/>
          <w:kern w:val="0"/>
          <w:sz w:val="32"/>
          <w:szCs w:val="32"/>
        </w:rPr>
        <w:t>新增重大政策和重大项目。</w:t>
      </w:r>
    </w:p>
    <w:p w14:paraId="246CD93C">
      <w:pPr>
        <w:numPr>
          <w:ilvl w:val="0"/>
          <w:numId w:val="0"/>
        </w:numPr>
        <w:overflowPunct w:val="0"/>
        <w:spacing w:line="600" w:lineRule="exact"/>
        <w:ind w:firstLine="640" w:firstLineChars="200"/>
        <w:rPr>
          <w:rFonts w:hint="default" w:ascii="Times New Roman" w:hAnsi="Times New Roman" w:eastAsia="仿宋_GB2312" w:cs="Times New Roman"/>
          <w:color w:val="auto"/>
          <w:spacing w:val="-11"/>
          <w:sz w:val="32"/>
          <w:szCs w:val="32"/>
        </w:rPr>
      </w:pPr>
      <w:r>
        <w:rPr>
          <w:rFonts w:hint="default" w:ascii="Times New Roman" w:hAnsi="Times New Roman" w:eastAsia="楷体_GB2312" w:cs="Times New Roman"/>
          <w:b/>
          <w:bCs/>
          <w:color w:val="auto"/>
          <w:sz w:val="32"/>
          <w:szCs w:val="32"/>
        </w:rPr>
        <w:t>（</w:t>
      </w:r>
      <w:r>
        <w:rPr>
          <w:rFonts w:hint="eastAsia" w:ascii="Times New Roman" w:hAnsi="Times New Roman" w:eastAsia="楷体_GB2312" w:cs="Times New Roman"/>
          <w:b/>
          <w:bCs/>
          <w:color w:val="auto"/>
          <w:sz w:val="32"/>
          <w:szCs w:val="32"/>
          <w:lang w:val="en-US" w:eastAsia="zh-CN"/>
        </w:rPr>
        <w:t>二</w:t>
      </w:r>
      <w:r>
        <w:rPr>
          <w:rFonts w:hint="default" w:ascii="Times New Roman" w:hAnsi="Times New Roman" w:eastAsia="楷体_GB2312" w:cs="Times New Roman"/>
          <w:b/>
          <w:bCs/>
          <w:color w:val="auto"/>
          <w:sz w:val="32"/>
          <w:szCs w:val="32"/>
        </w:rPr>
        <w:t>）绩效评价结果。</w:t>
      </w:r>
      <w:r>
        <w:rPr>
          <w:rFonts w:hint="default" w:ascii="Times New Roman" w:hAnsi="Times New Roman" w:eastAsia="仿宋_GB2312" w:cs="Times New Roman"/>
          <w:b/>
          <w:bCs/>
          <w:color w:val="auto"/>
          <w:kern w:val="0"/>
          <w:sz w:val="32"/>
          <w:szCs w:val="32"/>
        </w:rPr>
        <w:t>一是绩效自评结果。</w:t>
      </w:r>
      <w:r>
        <w:rPr>
          <w:rFonts w:hint="default" w:ascii="Times New Roman" w:hAnsi="Times New Roman" w:eastAsia="仿宋_GB2312" w:cs="Times New Roman"/>
          <w:color w:val="auto"/>
          <w:kern w:val="0"/>
          <w:sz w:val="32"/>
          <w:szCs w:val="32"/>
        </w:rPr>
        <w:t>202</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年度本单位整体支出</w:t>
      </w:r>
      <w:r>
        <w:rPr>
          <w:rFonts w:hint="default" w:ascii="Times New Roman" w:hAnsi="Times New Roman" w:eastAsia="仿宋_GB2312" w:cs="Times New Roman"/>
          <w:color w:val="auto"/>
          <w:sz w:val="32"/>
          <w:szCs w:val="32"/>
        </w:rPr>
        <w:t>全年预算数</w:t>
      </w:r>
      <w:r>
        <w:rPr>
          <w:rFonts w:hint="default" w:ascii="Times New Roman" w:hAnsi="Times New Roman" w:eastAsia="仿宋_GB2312" w:cs="Times New Roman"/>
          <w:color w:val="auto"/>
          <w:sz w:val="32"/>
          <w:szCs w:val="32"/>
          <w:lang w:val="en-US" w:eastAsia="zh-CN"/>
        </w:rPr>
        <w:t>2511.85</w:t>
      </w:r>
      <w:r>
        <w:rPr>
          <w:rFonts w:hint="default" w:ascii="Times New Roman" w:hAnsi="Times New Roman" w:eastAsia="仿宋_GB2312" w:cs="Times New Roman"/>
          <w:color w:val="auto"/>
          <w:sz w:val="32"/>
          <w:szCs w:val="32"/>
        </w:rPr>
        <w:t>万元，执行数</w:t>
      </w:r>
      <w:r>
        <w:rPr>
          <w:rFonts w:hint="default" w:ascii="Times New Roman" w:hAnsi="Times New Roman" w:eastAsia="仿宋_GB2312" w:cs="Times New Roman"/>
          <w:color w:val="auto"/>
          <w:sz w:val="32"/>
          <w:szCs w:val="32"/>
          <w:lang w:val="en-US" w:eastAsia="zh-CN"/>
        </w:rPr>
        <w:t>2293.89</w:t>
      </w:r>
      <w:r>
        <w:rPr>
          <w:rFonts w:hint="default" w:ascii="Times New Roman" w:hAnsi="Times New Roman" w:eastAsia="仿宋_GB2312" w:cs="Times New Roman"/>
          <w:color w:val="auto"/>
          <w:sz w:val="32"/>
          <w:szCs w:val="32"/>
        </w:rPr>
        <w:t>万元，完成预算的</w:t>
      </w:r>
      <w:r>
        <w:rPr>
          <w:rFonts w:hint="default" w:ascii="Times New Roman" w:hAnsi="Times New Roman" w:eastAsia="仿宋_GB2312" w:cs="Times New Roman"/>
          <w:color w:val="auto"/>
          <w:sz w:val="32"/>
          <w:szCs w:val="32"/>
          <w:lang w:val="en-US" w:eastAsia="zh-CN"/>
        </w:rPr>
        <w:t>91.32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，绩效自评得分</w:t>
      </w:r>
      <w:r>
        <w:rPr>
          <w:rFonts w:hint="default" w:ascii="Times New Roman" w:hAnsi="Times New Roman" w:eastAsia="仿宋_GB2312" w:cs="Times New Roman"/>
          <w:color w:val="auto"/>
          <w:sz w:val="32"/>
          <w:szCs w:val="32"/>
          <w:lang w:val="en-US" w:eastAsia="zh-CN"/>
        </w:rPr>
        <w:t>98</w:t>
      </w:r>
      <w:r>
        <w:rPr>
          <w:rFonts w:hint="default" w:ascii="Times New Roman" w:hAnsi="Times New Roman" w:eastAsia="仿宋_GB2312" w:cs="Times New Roman"/>
          <w:color w:val="auto"/>
          <w:sz w:val="32"/>
          <w:szCs w:val="32"/>
        </w:rPr>
        <w:t>分</w:t>
      </w:r>
      <w:r>
        <w:rPr>
          <w:rFonts w:hint="default" w:ascii="Times New Roman" w:hAnsi="Times New Roman" w:eastAsia="仿宋_GB2312" w:cs="Times New Roman"/>
          <w:color w:val="auto"/>
          <w:kern w:val="0"/>
          <w:sz w:val="32"/>
          <w:szCs w:val="32"/>
        </w:rPr>
        <w:t>，评价等级为</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优</w:t>
      </w:r>
      <w:r>
        <w:rPr>
          <w:rFonts w:hint="default" w:ascii="Times New Roman" w:hAnsi="Times New Roman" w:eastAsia="仿宋_GB2312" w:cs="Times New Roman"/>
          <w:color w:val="auto"/>
          <w:sz w:val="32"/>
          <w:szCs w:val="32"/>
        </w:rPr>
        <w:t>”。绩效目标完成情况：</w:t>
      </w:r>
      <w:r>
        <w:rPr>
          <w:rFonts w:hint="default" w:ascii="Times New Roman" w:hAnsi="Times New Roman" w:eastAsia="仿宋" w:cs="Times New Roman"/>
          <w:color w:val="auto"/>
          <w:spacing w:val="0"/>
          <w:kern w:val="0"/>
          <w:sz w:val="32"/>
          <w:szCs w:val="32"/>
          <w:u w:val="none"/>
          <w:lang w:val="en-US" w:eastAsia="zh-CN" w:bidi="ar"/>
        </w:rPr>
        <w:t>一是</w:t>
      </w:r>
      <w:r>
        <w:rPr>
          <w:rFonts w:hint="default" w:ascii="Times New Roman" w:hAnsi="Times New Roman" w:eastAsia="仿宋" w:cs="Times New Roman"/>
          <w:color w:val="auto"/>
          <w:kern w:val="2"/>
          <w:sz w:val="32"/>
          <w:szCs w:val="32"/>
          <w:lang w:val="en-US" w:eastAsia="zh-CN" w:bidi="ar"/>
        </w:rPr>
        <w:t>企业梯度培育成效显著。</w:t>
      </w:r>
      <w:r>
        <w:rPr>
          <w:rFonts w:hint="default" w:ascii="Times New Roman" w:hAnsi="Times New Roman" w:eastAsia="仿宋" w:cs="Times New Roman"/>
          <w:color w:val="auto"/>
          <w:sz w:val="32"/>
          <w:szCs w:val="32"/>
          <w:u w:val="none"/>
          <w:lang w:val="en-US" w:eastAsia="zh-CN"/>
        </w:rPr>
        <w:t>将培育规上工业企业作为夯实工业基础、增强发展动能的重要抓手，建立健全“五张清单”培育体系，全市规上工业企业突破1100家，</w:t>
      </w:r>
      <w:r>
        <w:rPr>
          <w:rFonts w:hint="default" w:ascii="Times New Roman" w:hAnsi="Times New Roman" w:eastAsia="仿宋" w:cs="Times New Roman"/>
          <w:strike w:val="0"/>
          <w:dstrike w:val="0"/>
          <w:color w:val="auto"/>
          <w:sz w:val="32"/>
          <w:szCs w:val="32"/>
          <w:u w:val="none"/>
          <w:lang w:eastAsia="zh-CN"/>
        </w:rPr>
        <w:t>较</w:t>
      </w:r>
      <w:r>
        <w:rPr>
          <w:rFonts w:hint="default" w:ascii="Times New Roman" w:hAnsi="Times New Roman" w:eastAsia="仿宋" w:cs="Times New Roman"/>
          <w:color w:val="auto"/>
          <w:sz w:val="32"/>
          <w:szCs w:val="32"/>
          <w:u w:val="none"/>
          <w:lang w:val="en-US" w:eastAsia="zh-CN"/>
        </w:rPr>
        <w:t>“十四五”初净增397家，增速多年位居全省前列。新增省级以上专精特新企业55家，总量达232家，较“十四五”初的49家增长近5倍，</w:t>
      </w:r>
      <w:r>
        <w:rPr>
          <w:rFonts w:hint="default" w:ascii="Times New Roman" w:hAnsi="Times New Roman" w:eastAsia="仿宋" w:cs="Times New Roman"/>
          <w:i w:val="0"/>
          <w:iCs w:val="0"/>
          <w:caps w:val="0"/>
          <w:color w:val="auto"/>
          <w:spacing w:val="-6"/>
          <w:sz w:val="32"/>
          <w:szCs w:val="32"/>
          <w:shd w:val="clear" w:color="auto" w:fill="FFFFFF"/>
          <w:lang w:val="en-US" w:eastAsia="zh-CN"/>
        </w:rPr>
        <w:t>其中，新增国家级专精特新“小巨人”企业达到3家，创历年之最。</w:t>
      </w:r>
      <w:r>
        <w:rPr>
          <w:rFonts w:hint="default" w:ascii="Times New Roman" w:hAnsi="Times New Roman" w:eastAsia="仿宋" w:cs="Times New Roman"/>
          <w:b/>
          <w:bCs/>
          <w:color w:val="auto"/>
          <w:kern w:val="2"/>
          <w:sz w:val="32"/>
          <w:szCs w:val="32"/>
          <w:lang w:val="en-US" w:eastAsia="zh-CN" w:bidi="ar"/>
        </w:rPr>
        <w:t>二是产业转型升级步伐加快。</w:t>
      </w:r>
      <w:r>
        <w:rPr>
          <w:rFonts w:hint="default" w:ascii="Times New Roman" w:hAnsi="Times New Roman" w:eastAsia="仿宋" w:cs="Times New Roman"/>
          <w:color w:val="auto"/>
          <w:sz w:val="32"/>
          <w:szCs w:val="32"/>
          <w:u w:val="none"/>
          <w:lang w:val="en-US" w:eastAsia="zh-CN"/>
        </w:rPr>
        <w:t>全力推动产业提质增效，</w:t>
      </w:r>
      <w:r>
        <w:rPr>
          <w:rFonts w:hint="default" w:ascii="Times New Roman" w:hAnsi="Times New Roman" w:eastAsia="仿宋" w:cs="Times New Roman"/>
          <w:color w:val="auto"/>
          <w:spacing w:val="0"/>
          <w:kern w:val="2"/>
          <w:sz w:val="32"/>
          <w:szCs w:val="32"/>
          <w:vertAlign w:val="baseline"/>
          <w:lang w:val="en-US" w:eastAsia="zh-CN" w:bidi="ar"/>
        </w:rPr>
        <w:t>纵深推进</w:t>
      </w:r>
      <w:r>
        <w:rPr>
          <w:rFonts w:hint="eastAsia" w:ascii="Times New Roman" w:hAnsi="Times New Roman" w:eastAsia="仿宋" w:cs="Times New Roman"/>
          <w:color w:val="auto"/>
          <w:spacing w:val="0"/>
          <w:kern w:val="2"/>
          <w:sz w:val="32"/>
          <w:szCs w:val="32"/>
          <w:vertAlign w:val="baseline"/>
          <w:lang w:val="en-US" w:eastAsia="zh-CN" w:bidi="ar"/>
        </w:rPr>
        <w:t>“</w:t>
      </w:r>
      <w:r>
        <w:rPr>
          <w:rFonts w:hint="default" w:ascii="Times New Roman" w:hAnsi="Times New Roman" w:eastAsia="仿宋" w:cs="Times New Roman"/>
          <w:color w:val="auto"/>
          <w:spacing w:val="0"/>
          <w:kern w:val="2"/>
          <w:sz w:val="32"/>
          <w:szCs w:val="32"/>
          <w:vertAlign w:val="baseline"/>
          <w:lang w:val="en-US" w:eastAsia="zh-CN" w:bidi="ar"/>
        </w:rPr>
        <w:t>智赋千企</w:t>
      </w:r>
      <w:r>
        <w:rPr>
          <w:rFonts w:hint="eastAsia" w:ascii="Times New Roman" w:hAnsi="Times New Roman" w:eastAsia="仿宋" w:cs="Times New Roman"/>
          <w:color w:val="auto"/>
          <w:spacing w:val="0"/>
          <w:kern w:val="2"/>
          <w:sz w:val="32"/>
          <w:szCs w:val="32"/>
          <w:vertAlign w:val="baseline"/>
          <w:lang w:val="en-US" w:eastAsia="zh-CN" w:bidi="ar"/>
        </w:rPr>
        <w:t>”</w:t>
      </w:r>
      <w:r>
        <w:rPr>
          <w:rFonts w:hint="default" w:ascii="Times New Roman" w:hAnsi="Times New Roman" w:eastAsia="仿宋" w:cs="Times New Roman"/>
          <w:color w:val="auto"/>
          <w:spacing w:val="0"/>
          <w:kern w:val="2"/>
          <w:sz w:val="32"/>
          <w:szCs w:val="32"/>
          <w:vertAlign w:val="baseline"/>
          <w:lang w:val="en-US" w:eastAsia="zh-CN" w:bidi="ar"/>
        </w:rPr>
        <w:t>行动，打造省级先进级智能工厂5家、</w:t>
      </w:r>
      <w:r>
        <w:rPr>
          <w:rFonts w:hint="default" w:ascii="Times New Roman" w:hAnsi="Times New Roman" w:eastAsia="仿宋" w:cs="Times New Roman"/>
          <w:color w:val="auto"/>
          <w:sz w:val="32"/>
          <w:szCs w:val="32"/>
          <w:u w:val="none"/>
          <w:lang w:val="en-US" w:eastAsia="zh-CN"/>
        </w:rPr>
        <w:t>打造</w:t>
      </w:r>
      <w:r>
        <w:rPr>
          <w:rFonts w:hint="default" w:ascii="Times New Roman" w:hAnsi="Times New Roman" w:eastAsia="仿宋" w:cs="Times New Roman"/>
          <w:b w:val="0"/>
          <w:bCs w:val="0"/>
          <w:color w:val="auto"/>
          <w:kern w:val="2"/>
          <w:sz w:val="32"/>
          <w:szCs w:val="32"/>
          <w:highlight w:val="none"/>
          <w:u w:val="none"/>
          <w:lang w:val="en-US" w:eastAsia="zh-CN" w:bidi="ar-SA"/>
        </w:rPr>
        <w:t>智能制造企业88家，智能制造产线（车间）186家，智能工位840个，实现企业上云37274家、上平台1757家。</w:t>
      </w:r>
      <w:r>
        <w:rPr>
          <w:rFonts w:hint="default" w:ascii="Times New Roman" w:hAnsi="Times New Roman" w:eastAsia="仿宋" w:cs="Times New Roman"/>
          <w:color w:val="auto"/>
          <w:spacing w:val="0"/>
          <w:kern w:val="2"/>
          <w:sz w:val="32"/>
          <w:szCs w:val="32"/>
          <w:vertAlign w:val="baseline"/>
          <w:lang w:val="en-US" w:eastAsia="zh-CN" w:bidi="ar"/>
        </w:rPr>
        <w:t>《“四个聚焦”推进“智赋万企”行动》经验材料获《湖南工信》专刊推介。</w:t>
      </w:r>
      <w:r>
        <w:rPr>
          <w:rFonts w:hint="default" w:ascii="Times New Roman" w:hAnsi="Times New Roman" w:eastAsia="仿宋" w:cs="Times New Roman"/>
          <w:color w:val="auto"/>
          <w:spacing w:val="0"/>
          <w:sz w:val="32"/>
          <w:szCs w:val="32"/>
          <w:u w:val="none"/>
          <w:lang w:val="en-US" w:eastAsia="zh-CN"/>
        </w:rPr>
        <w:t>新增省级绿色工厂7家，绿色创建取得历年最好成绩。</w:t>
      </w:r>
      <w:r>
        <w:rPr>
          <w:rFonts w:hint="default" w:ascii="Times New Roman" w:hAnsi="Times New Roman" w:eastAsia="仿宋" w:cs="Times New Roman"/>
          <w:b/>
          <w:bCs/>
          <w:color w:val="auto"/>
          <w:kern w:val="2"/>
          <w:sz w:val="32"/>
          <w:szCs w:val="32"/>
          <w:lang w:val="en-US" w:eastAsia="zh-CN" w:bidi="ar"/>
        </w:rPr>
        <w:t>三是产业链群建设实现突破。</w:t>
      </w:r>
      <w:r>
        <w:rPr>
          <w:rFonts w:hint="default" w:ascii="Times New Roman" w:hAnsi="Times New Roman" w:eastAsia="仿宋" w:cs="Times New Roman"/>
          <w:color w:val="auto"/>
          <w:sz w:val="32"/>
          <w:szCs w:val="32"/>
          <w:u w:val="none"/>
          <w:lang w:val="en-US" w:eastAsia="zh-CN"/>
        </w:rPr>
        <w:t>坚持链式发展思维，建立健全产业链链长制，常态化坚持“链长到一线”，全年累计深入产业链一线调研311次，召开协调会249场，精准解决用地、融资、技术等关键问题663个。</w:t>
      </w:r>
      <w:r>
        <w:rPr>
          <w:rFonts w:hint="default" w:ascii="Times New Roman" w:hAnsi="Times New Roman" w:eastAsia="仿宋" w:cs="Times New Roman"/>
          <w:color w:val="auto"/>
          <w:spacing w:val="0"/>
          <w:kern w:val="2"/>
          <w:sz w:val="32"/>
          <w:szCs w:val="32"/>
          <w:lang w:val="en-US" w:eastAsia="zh-CN" w:bidi="ar-SA"/>
        </w:rPr>
        <w:t>生物基新材料产业集群成功入围省级先进制造业产业集群培育对象，实现“零的突破”；中方县桥隧装备制造、芷江县被动元器件、会同县拉杆箱包3个产业集群成功入围省级特色中小企业产业集群培育对象，创下了历年来最好成绩。</w:t>
      </w:r>
      <w:r>
        <w:rPr>
          <w:rFonts w:hint="default" w:ascii="Times New Roman" w:hAnsi="Times New Roman" w:eastAsia="仿宋" w:cs="Times New Roman"/>
          <w:color w:val="auto"/>
          <w:spacing w:val="0"/>
          <w:kern w:val="2"/>
          <w:sz w:val="32"/>
          <w:szCs w:val="32"/>
          <w:vertAlign w:val="baseline"/>
          <w:lang w:val="en-US" w:eastAsia="zh-CN" w:bidi="ar"/>
        </w:rPr>
        <w:t>箱包皮具产业链跻身省级核心产业布局，</w:t>
      </w:r>
      <w:r>
        <w:rPr>
          <w:rFonts w:hint="default" w:ascii="Times New Roman" w:hAnsi="Times New Roman" w:eastAsia="仿宋" w:cs="Times New Roman"/>
          <w:color w:val="auto"/>
          <w:spacing w:val="0"/>
          <w:sz w:val="32"/>
          <w:szCs w:val="32"/>
          <w:lang w:eastAsia="zh-CN"/>
        </w:rPr>
        <w:t>集聚</w:t>
      </w:r>
      <w:r>
        <w:rPr>
          <w:rFonts w:hint="default" w:ascii="Times New Roman" w:hAnsi="Times New Roman" w:eastAsia="仿宋" w:cs="Times New Roman"/>
          <w:color w:val="auto"/>
          <w:spacing w:val="0"/>
          <w:sz w:val="32"/>
          <w:szCs w:val="32"/>
        </w:rPr>
        <w:t>链上企业达</w:t>
      </w:r>
      <w:r>
        <w:rPr>
          <w:rFonts w:hint="default" w:ascii="Times New Roman" w:hAnsi="Times New Roman" w:eastAsia="仿宋" w:cs="Times New Roman"/>
          <w:color w:val="auto"/>
          <w:spacing w:val="0"/>
          <w:sz w:val="32"/>
          <w:szCs w:val="32"/>
          <w:lang w:val="en-US" w:eastAsia="zh-CN"/>
        </w:rPr>
        <w:t>200</w:t>
      </w:r>
      <w:r>
        <w:rPr>
          <w:rFonts w:hint="default" w:ascii="Times New Roman" w:hAnsi="Times New Roman" w:eastAsia="仿宋" w:cs="Times New Roman"/>
          <w:color w:val="auto"/>
          <w:spacing w:val="0"/>
          <w:sz w:val="32"/>
          <w:szCs w:val="32"/>
        </w:rPr>
        <w:t>家，</w:t>
      </w:r>
      <w:r>
        <w:rPr>
          <w:rFonts w:hint="default" w:ascii="Times New Roman" w:hAnsi="Times New Roman" w:eastAsia="仿宋" w:cs="Times New Roman"/>
          <w:color w:val="auto"/>
          <w:spacing w:val="0"/>
          <w:sz w:val="32"/>
          <w:szCs w:val="32"/>
          <w:lang w:eastAsia="zh-CN"/>
        </w:rPr>
        <w:t>规上工业企业达</w:t>
      </w:r>
      <w:r>
        <w:rPr>
          <w:rFonts w:hint="default" w:ascii="Times New Roman" w:hAnsi="Times New Roman" w:eastAsia="仿宋" w:cs="Times New Roman"/>
          <w:color w:val="auto"/>
          <w:spacing w:val="0"/>
          <w:sz w:val="32"/>
          <w:szCs w:val="32"/>
          <w:lang w:val="en-US" w:eastAsia="zh-CN"/>
        </w:rPr>
        <w:t>40家，</w:t>
      </w:r>
      <w:r>
        <w:rPr>
          <w:rFonts w:hint="default" w:ascii="Times New Roman" w:hAnsi="Times New Roman" w:eastAsia="仿宋" w:cs="Times New Roman"/>
          <w:color w:val="auto"/>
          <w:spacing w:val="0"/>
          <w:sz w:val="32"/>
          <w:szCs w:val="32"/>
        </w:rPr>
        <w:t>总产值突破</w:t>
      </w:r>
      <w:r>
        <w:rPr>
          <w:rFonts w:hint="default" w:ascii="Times New Roman" w:hAnsi="Times New Roman" w:eastAsia="仿宋" w:cs="Times New Roman"/>
          <w:color w:val="auto"/>
          <w:spacing w:val="0"/>
          <w:sz w:val="32"/>
          <w:szCs w:val="32"/>
          <w:lang w:val="en-US" w:eastAsia="zh-CN"/>
        </w:rPr>
        <w:t>6</w:t>
      </w:r>
      <w:r>
        <w:rPr>
          <w:rFonts w:hint="default" w:ascii="Times New Roman" w:hAnsi="Times New Roman" w:eastAsia="仿宋" w:cs="Times New Roman"/>
          <w:color w:val="auto"/>
          <w:spacing w:val="0"/>
          <w:sz w:val="32"/>
          <w:szCs w:val="32"/>
        </w:rPr>
        <w:t>0亿元，</w:t>
      </w:r>
      <w:r>
        <w:rPr>
          <w:rFonts w:hint="default" w:ascii="Times New Roman" w:hAnsi="Times New Roman" w:eastAsia="仿宋" w:cs="Times New Roman"/>
          <w:color w:val="auto"/>
          <w:spacing w:val="0"/>
          <w:sz w:val="32"/>
          <w:szCs w:val="32"/>
          <w:lang w:eastAsia="zh-CN"/>
        </w:rPr>
        <w:t>出口总额达</w:t>
      </w:r>
      <w:r>
        <w:rPr>
          <w:rFonts w:hint="default" w:ascii="Times New Roman" w:hAnsi="Times New Roman" w:eastAsia="仿宋" w:cs="Times New Roman"/>
          <w:color w:val="auto"/>
          <w:spacing w:val="0"/>
          <w:sz w:val="32"/>
          <w:szCs w:val="32"/>
          <w:lang w:val="en-US" w:eastAsia="zh-CN"/>
        </w:rPr>
        <w:t>6亿元，</w:t>
      </w:r>
      <w:r>
        <w:rPr>
          <w:rFonts w:hint="default" w:ascii="Times New Roman" w:hAnsi="Times New Roman" w:eastAsia="仿宋" w:cs="Times New Roman"/>
          <w:color w:val="auto"/>
          <w:spacing w:val="0"/>
          <w:sz w:val="32"/>
          <w:szCs w:val="32"/>
        </w:rPr>
        <w:t>39种核心配件及原材料中已有35种实现本地供应。</w:t>
      </w:r>
      <w:r>
        <w:rPr>
          <w:rFonts w:hint="default" w:ascii="Times New Roman" w:hAnsi="Times New Roman" w:eastAsia="仿宋" w:cs="Times New Roman"/>
          <w:b/>
          <w:bCs/>
          <w:color w:val="auto"/>
          <w:kern w:val="2"/>
          <w:sz w:val="32"/>
          <w:szCs w:val="32"/>
          <w:lang w:val="en-US" w:eastAsia="zh-CN" w:bidi="ar"/>
        </w:rPr>
        <w:t>四是产业发展生态持续优化。</w:t>
      </w:r>
      <w:r>
        <w:rPr>
          <w:rFonts w:hint="default" w:ascii="Times New Roman" w:hAnsi="Times New Roman" w:eastAsia="仿宋" w:cs="Times New Roman"/>
          <w:bCs/>
          <w:color w:val="auto"/>
          <w:spacing w:val="0"/>
          <w:kern w:val="0"/>
          <w:sz w:val="32"/>
          <w:szCs w:val="32"/>
          <w:highlight w:val="none"/>
          <w:lang w:val="en-US" w:eastAsia="zh-CN"/>
        </w:rPr>
        <w:t>全力推进</w:t>
      </w:r>
      <w:r>
        <w:rPr>
          <w:rFonts w:hint="default" w:ascii="Times New Roman" w:hAnsi="Times New Roman" w:eastAsia="仿宋" w:cs="Times New Roman"/>
          <w:color w:val="auto"/>
          <w:sz w:val="32"/>
          <w:szCs w:val="32"/>
          <w:u w:val="none"/>
          <w:lang w:val="en-US" w:eastAsia="zh-CN"/>
        </w:rPr>
        <w:t>国家产融合作试点城市创建，成功举办工信部组织的</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一城一策</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产融合作路演活动，现场为企业授信6.7亿元。推动产业链、创新链、资金链深度融合，推出</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订单贷</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知识产权质押贷</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箱包贷</w:t>
      </w:r>
      <w:r>
        <w:rPr>
          <w:rFonts w:hint="eastAsia" w:ascii="Times New Roman" w:hAnsi="Times New Roman" w:eastAsia="仿宋" w:cs="Times New Roman"/>
          <w:color w:val="auto"/>
          <w:sz w:val="32"/>
          <w:szCs w:val="32"/>
          <w:u w:val="none"/>
          <w:lang w:val="en-US" w:eastAsia="zh-CN"/>
        </w:rPr>
        <w:t>”</w:t>
      </w:r>
      <w:r>
        <w:rPr>
          <w:rFonts w:hint="default" w:ascii="Times New Roman" w:hAnsi="Times New Roman" w:eastAsia="仿宋" w:cs="Times New Roman"/>
          <w:color w:val="auto"/>
          <w:sz w:val="32"/>
          <w:szCs w:val="32"/>
          <w:u w:val="none"/>
          <w:lang w:val="en-US" w:eastAsia="zh-CN"/>
        </w:rPr>
        <w:t>等特色金融产品，累计授信5亿元。</w:t>
      </w:r>
      <w:r>
        <w:rPr>
          <w:rFonts w:hint="default" w:ascii="Times New Roman" w:hAnsi="Times New Roman" w:eastAsia="仿宋" w:cs="Times New Roman"/>
          <w:color w:val="auto"/>
          <w:spacing w:val="0"/>
          <w:sz w:val="32"/>
          <w:szCs w:val="32"/>
        </w:rPr>
        <w:t>创新</w:t>
      </w:r>
      <w:r>
        <w:rPr>
          <w:rFonts w:hint="default" w:ascii="Times New Roman" w:hAnsi="Times New Roman" w:eastAsia="仿宋" w:cs="Times New Roman"/>
          <w:color w:val="auto"/>
          <w:spacing w:val="0"/>
          <w:sz w:val="32"/>
          <w:szCs w:val="32"/>
          <w:lang w:eastAsia="zh-CN"/>
        </w:rPr>
        <w:t>开展“</w:t>
      </w:r>
      <w:r>
        <w:rPr>
          <w:rFonts w:hint="default" w:ascii="Times New Roman" w:hAnsi="Times New Roman" w:eastAsia="仿宋" w:cs="Times New Roman"/>
          <w:color w:val="auto"/>
          <w:spacing w:val="0"/>
          <w:sz w:val="32"/>
          <w:szCs w:val="32"/>
        </w:rPr>
        <w:t>一月一链一行</w:t>
      </w:r>
      <w:r>
        <w:rPr>
          <w:rFonts w:hint="default" w:ascii="Times New Roman" w:hAnsi="Times New Roman" w:eastAsia="仿宋" w:cs="Times New Roman"/>
          <w:color w:val="auto"/>
          <w:spacing w:val="0"/>
          <w:sz w:val="32"/>
          <w:szCs w:val="32"/>
          <w:lang w:eastAsia="zh-CN"/>
        </w:rPr>
        <w:t>”</w:t>
      </w:r>
      <w:r>
        <w:rPr>
          <w:rFonts w:hint="default" w:ascii="Times New Roman" w:hAnsi="Times New Roman" w:eastAsia="仿宋" w:cs="Times New Roman"/>
          <w:color w:val="auto"/>
          <w:spacing w:val="0"/>
          <w:sz w:val="32"/>
          <w:szCs w:val="32"/>
        </w:rPr>
        <w:t>专场服务，</w:t>
      </w:r>
      <w:r>
        <w:rPr>
          <w:rFonts w:hint="default" w:ascii="Times New Roman" w:hAnsi="Times New Roman" w:eastAsia="仿宋" w:cs="Times New Roman"/>
          <w:i w:val="0"/>
          <w:iCs w:val="0"/>
          <w:caps w:val="0"/>
          <w:color w:val="auto"/>
          <w:spacing w:val="0"/>
          <w:sz w:val="32"/>
          <w:szCs w:val="32"/>
          <w:shd w:val="clear" w:color="auto" w:fill="FFFFFF"/>
        </w:rPr>
        <w:t>实现授信30亿元。</w:t>
      </w:r>
      <w:r>
        <w:rPr>
          <w:rFonts w:hint="default" w:ascii="Times New Roman" w:hAnsi="Times New Roman" w:eastAsia="仿宋" w:cs="Times New Roman"/>
          <w:color w:val="auto"/>
          <w:spacing w:val="0"/>
          <w:sz w:val="32"/>
          <w:szCs w:val="32"/>
        </w:rPr>
        <w:t>全市制造业贷款余额同比增长30.7%</w:t>
      </w:r>
      <w:r>
        <w:rPr>
          <w:rFonts w:hint="default" w:ascii="Times New Roman" w:hAnsi="Times New Roman" w:eastAsia="仿宋" w:cs="Times New Roman"/>
          <w:color w:val="auto"/>
          <w:spacing w:val="0"/>
          <w:sz w:val="32"/>
          <w:szCs w:val="32"/>
          <w:lang w:eastAsia="zh-CN"/>
        </w:rPr>
        <w:t>；</w:t>
      </w:r>
      <w:r>
        <w:rPr>
          <w:rFonts w:hint="default" w:ascii="Times New Roman" w:hAnsi="Times New Roman" w:eastAsia="仿宋" w:cs="Times New Roman"/>
          <w:color w:val="auto"/>
          <w:spacing w:val="0"/>
          <w:sz w:val="32"/>
          <w:szCs w:val="32"/>
        </w:rPr>
        <w:t>制造业中长期贷款余额同比增长21.7%</w:t>
      </w:r>
      <w:r>
        <w:rPr>
          <w:rFonts w:hint="default" w:ascii="Times New Roman" w:hAnsi="Times New Roman" w:eastAsia="仿宋" w:cs="Times New Roman"/>
          <w:color w:val="auto"/>
          <w:spacing w:val="0"/>
          <w:sz w:val="32"/>
          <w:szCs w:val="32"/>
          <w:lang w:val="en-US" w:eastAsia="zh-CN"/>
        </w:rPr>
        <w:t>。成功举办箱包皮具产业招商推介会，全国各地行业代表近300人参会，现场签约项目15个，投资达到7.5亿元，“怀化箱包”越加响亮。</w:t>
      </w:r>
      <w:r>
        <w:rPr>
          <w:rFonts w:hint="default" w:ascii="Times New Roman" w:hAnsi="Times New Roman" w:eastAsia="仿宋" w:cs="Times New Roman"/>
          <w:i w:val="0"/>
          <w:iCs w:val="0"/>
          <w:caps w:val="0"/>
          <w:color w:val="auto"/>
          <w:spacing w:val="0"/>
          <w:sz w:val="32"/>
          <w:szCs w:val="32"/>
          <w:shd w:val="clear" w:color="auto" w:fill="FFFFFF"/>
        </w:rPr>
        <w:t> </w:t>
      </w:r>
      <w:r>
        <w:rPr>
          <w:rFonts w:hint="default" w:ascii="Times New Roman" w:hAnsi="Times New Roman" w:eastAsia="仿宋" w:cs="Times New Roman"/>
          <w:bCs/>
          <w:color w:val="auto"/>
          <w:spacing w:val="0"/>
          <w:kern w:val="0"/>
          <w:sz w:val="32"/>
          <w:szCs w:val="32"/>
          <w:highlight w:val="none"/>
          <w:lang w:val="en-US" w:eastAsia="zh-CN"/>
        </w:rPr>
        <w:t>清理拖欠企业账款工作取得阶段性成果，已偿还10659笔、66.60亿元，完成全年任务的116.96%，为全省第6个实现今年台账清偿任务的市州；其中，全市单笔50万元以下拖欠为全省第4个清零的市州。</w:t>
      </w:r>
      <w:r>
        <w:rPr>
          <w:rFonts w:hint="default" w:ascii="Times New Roman" w:hAnsi="Times New Roman" w:eastAsia="仿宋" w:cs="Times New Roman"/>
          <w:color w:val="auto"/>
          <w:spacing w:val="0"/>
          <w:kern w:val="2"/>
          <w:sz w:val="32"/>
          <w:szCs w:val="32"/>
          <w:lang w:val="en-US" w:eastAsia="zh-CN" w:bidi="ar-SA"/>
        </w:rPr>
        <w:t>怀化市构建企业闭环帮扶大力提升“送解优”质效，</w:t>
      </w:r>
      <w:r>
        <w:rPr>
          <w:rFonts w:hint="default" w:ascii="Times New Roman" w:hAnsi="Times New Roman" w:eastAsia="仿宋" w:cs="Times New Roman"/>
          <w:color w:val="auto"/>
          <w:sz w:val="32"/>
          <w:szCs w:val="32"/>
        </w:rPr>
        <w:t>获2025年度省政府推动高质量发展综合督查发现的典型经验做法通报</w:t>
      </w:r>
      <w:r>
        <w:rPr>
          <w:rFonts w:hint="default" w:ascii="Times New Roman" w:hAnsi="Times New Roman" w:eastAsia="仿宋" w:cs="Times New Roman"/>
          <w:color w:val="auto"/>
          <w:sz w:val="32"/>
          <w:szCs w:val="32"/>
          <w:lang w:eastAsia="zh-CN"/>
        </w:rPr>
        <w:t>表扬</w:t>
      </w:r>
      <w:r>
        <w:rPr>
          <w:rFonts w:hint="default" w:ascii="Times New Roman" w:hAnsi="Times New Roman" w:eastAsia="仿宋" w:cs="Times New Roman"/>
          <w:color w:val="auto"/>
          <w:sz w:val="32"/>
          <w:szCs w:val="32"/>
        </w:rPr>
        <w:t>。</w:t>
      </w:r>
      <w:r>
        <w:rPr>
          <w:rFonts w:hint="default" w:ascii="Times New Roman" w:hAnsi="Times New Roman" w:eastAsia="仿宋_GB2312" w:cs="Times New Roman"/>
          <w:b w:val="0"/>
          <w:bCs w:val="0"/>
          <w:color w:val="auto"/>
          <w:sz w:val="32"/>
          <w:szCs w:val="32"/>
        </w:rPr>
        <w:t>发现的主要问题及原因：</w:t>
      </w:r>
      <w:r>
        <w:rPr>
          <w:rFonts w:hint="default" w:ascii="Times New Roman" w:hAnsi="Times New Roman" w:eastAsia="仿宋" w:cs="Times New Roman"/>
          <w:color w:val="auto"/>
          <w:kern w:val="2"/>
          <w:sz w:val="32"/>
          <w:szCs w:val="32"/>
          <w:highlight w:val="none"/>
          <w:shd w:val="clear" w:color="auto" w:fill="FFFFFF"/>
          <w:lang w:val="en-US" w:eastAsia="zh-CN" w:bidi="ar-SA"/>
        </w:rPr>
        <w:t>年初申报绩效目标各部室参与不够，部分绩效指标及目标执行度不高，绩效目标设置的科学性、可行性有待提高。</w:t>
      </w:r>
      <w:r>
        <w:rPr>
          <w:rFonts w:hint="default" w:ascii="Times New Roman" w:hAnsi="Times New Roman" w:eastAsia="仿宋_GB2312" w:cs="Times New Roman"/>
          <w:color w:val="auto"/>
          <w:kern w:val="0"/>
          <w:sz w:val="32"/>
          <w:szCs w:val="32"/>
          <w:lang w:val="en-US" w:eastAsia="zh-CN"/>
        </w:rPr>
        <w:t>下一步改进措施：</w:t>
      </w:r>
      <w:r>
        <w:rPr>
          <w:rFonts w:hint="default" w:ascii="Times New Roman" w:hAnsi="Times New Roman" w:eastAsia="仿宋" w:cs="Times New Roman"/>
          <w:color w:val="auto"/>
          <w:kern w:val="2"/>
          <w:sz w:val="32"/>
          <w:szCs w:val="32"/>
          <w:highlight w:val="none"/>
          <w:shd w:val="clear" w:color="auto" w:fill="FFFFFF"/>
          <w:lang w:val="en-US" w:eastAsia="zh-CN" w:bidi="ar-SA"/>
        </w:rPr>
        <w:t>1、科学合理地设置绩效指标。首先，强化资金使用和绩效目标管理意识；其次，根据单位职能科学合理地设置绩效指标，提高预算绩效指标的针对性和可测性，充分发挥预算绩效目标管理的导向作用。2、强化预算约束。各科室合力加速流程管理，确保在2025年度加快项目进度及项目资金的支付，强化预算执行的严肃性。</w:t>
      </w:r>
      <w:r>
        <w:rPr>
          <w:rFonts w:hint="default" w:ascii="Times New Roman" w:hAnsi="Times New Roman" w:eastAsia="仿宋_GB2312" w:cs="Times New Roman"/>
          <w:b/>
          <w:bCs/>
          <w:color w:val="auto"/>
          <w:spacing w:val="-11"/>
          <w:sz w:val="32"/>
          <w:szCs w:val="32"/>
        </w:rPr>
        <w:t>二是部门评价结果</w:t>
      </w:r>
      <w:r>
        <w:rPr>
          <w:rFonts w:hint="default" w:ascii="Times New Roman" w:hAnsi="Times New Roman" w:eastAsia="仿宋_GB2312" w:cs="Times New Roman"/>
          <w:color w:val="auto"/>
          <w:spacing w:val="-11"/>
          <w:sz w:val="32"/>
          <w:szCs w:val="32"/>
        </w:rPr>
        <w:t>（如有，一级预算部门填写）。</w:t>
      </w:r>
    </w:p>
    <w:p w14:paraId="675CC1A6">
      <w:pPr>
        <w:keepNext w:val="0"/>
        <w:keepLines w:val="0"/>
        <w:pageBreakBefore w:val="0"/>
        <w:widowControl/>
        <w:shd w:val="clear" w:color="auto"/>
        <w:kinsoku/>
        <w:wordWrap/>
        <w:topLinePunct w:val="0"/>
        <w:bidi w:val="0"/>
        <w:snapToGrid/>
        <w:spacing w:line="620" w:lineRule="exact"/>
        <w:ind w:left="0" w:leftChars="0" w:right="0" w:firstLine="0"/>
        <w:textAlignment w:val="auto"/>
        <w:rPr>
          <w:rFonts w:hint="default" w:ascii="Times New Roman" w:hAnsi="Times New Roman" w:eastAsia="楷体" w:cs="Times New Roman"/>
          <w:b/>
          <w:bCs/>
          <w:color w:val="auto"/>
          <w:sz w:val="32"/>
          <w:szCs w:val="32"/>
        </w:rPr>
      </w:pPr>
      <w:r>
        <w:rPr>
          <w:rFonts w:hint="default" w:ascii="Times New Roman" w:hAnsi="Times New Roman" w:eastAsia="仿宋_GB2312" w:cs="Times New Roman"/>
          <w:color w:val="auto"/>
          <w:spacing w:val="-11"/>
          <w:sz w:val="32"/>
          <w:szCs w:val="32"/>
          <w:lang w:val="en-US" w:eastAsia="zh-CN"/>
        </w:rPr>
        <w:t>无</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b/>
          <w:bCs/>
          <w:color w:val="auto"/>
          <w:kern w:val="0"/>
          <w:sz w:val="32"/>
          <w:szCs w:val="32"/>
        </w:rPr>
        <w:t>三是事前绩效评估结果。</w:t>
      </w:r>
      <w:r>
        <w:rPr>
          <w:rFonts w:hint="default" w:ascii="Times New Roman" w:hAnsi="Times New Roman" w:eastAsia="仿宋_GB2312" w:cs="Times New Roman"/>
          <w:color w:val="auto"/>
          <w:kern w:val="0"/>
          <w:sz w:val="32"/>
          <w:szCs w:val="32"/>
        </w:rPr>
        <w:t>202</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年度</w:t>
      </w:r>
      <w:r>
        <w:rPr>
          <w:rFonts w:hint="default" w:ascii="Times New Roman" w:hAnsi="Times New Roman" w:eastAsia="仿宋_GB2312" w:cs="Times New Roman"/>
          <w:color w:val="auto"/>
          <w:kern w:val="0"/>
          <w:sz w:val="32"/>
          <w:szCs w:val="32"/>
          <w:lang w:val="en-US" w:eastAsia="zh-CN"/>
        </w:rPr>
        <w:t>本单位无</w:t>
      </w:r>
      <w:r>
        <w:rPr>
          <w:rFonts w:hint="default" w:ascii="Times New Roman" w:hAnsi="Times New Roman" w:eastAsia="仿宋_GB2312" w:cs="Times New Roman"/>
          <w:color w:val="auto"/>
          <w:kern w:val="0"/>
          <w:sz w:val="32"/>
          <w:szCs w:val="32"/>
        </w:rPr>
        <w:t>新增重大政策和重大项目。</w:t>
      </w:r>
    </w:p>
    <w:p w14:paraId="43E653B6">
      <w:pPr>
        <w:keepNext w:val="0"/>
        <w:keepLines w:val="0"/>
        <w:pageBreakBefore w:val="0"/>
        <w:widowControl/>
        <w:shd w:val="clear" w:color="auto"/>
        <w:kinsoku/>
        <w:wordWrap/>
        <w:topLinePunct w:val="0"/>
        <w:bidi w:val="0"/>
        <w:snapToGrid/>
        <w:spacing w:line="620" w:lineRule="exact"/>
        <w:ind w:left="0" w:leftChars="0" w:right="0" w:firstLine="640" w:firstLineChars="200"/>
        <w:textAlignment w:val="auto"/>
        <w:rPr>
          <w:rFonts w:hint="default" w:ascii="Times New Roman" w:hAnsi="Times New Roman" w:eastAsia="楷体_GB2312" w:cs="Times New Roman"/>
          <w:b/>
          <w:bCs/>
          <w:color w:val="auto"/>
          <w:kern w:val="2"/>
          <w:sz w:val="32"/>
          <w:szCs w:val="32"/>
        </w:rPr>
      </w:pPr>
      <w:r>
        <w:rPr>
          <w:rFonts w:hint="eastAsia" w:ascii="Times New Roman" w:hAnsi="Times New Roman" w:eastAsia="楷体_GB2312" w:cs="Times New Roman"/>
          <w:b/>
          <w:bCs/>
          <w:color w:val="auto"/>
          <w:kern w:val="2"/>
          <w:sz w:val="32"/>
          <w:szCs w:val="32"/>
          <w:lang w:eastAsia="zh-CN"/>
        </w:rPr>
        <w:t>（</w:t>
      </w:r>
      <w:r>
        <w:rPr>
          <w:rFonts w:hint="eastAsia" w:ascii="Times New Roman" w:hAnsi="Times New Roman" w:eastAsia="楷体_GB2312" w:cs="Times New Roman"/>
          <w:b/>
          <w:bCs/>
          <w:color w:val="auto"/>
          <w:kern w:val="2"/>
          <w:sz w:val="32"/>
          <w:szCs w:val="32"/>
          <w:lang w:val="en-US" w:eastAsia="zh-CN"/>
        </w:rPr>
        <w:t>三）</w:t>
      </w:r>
      <w:r>
        <w:rPr>
          <w:rFonts w:hint="default" w:ascii="Times New Roman" w:hAnsi="Times New Roman" w:eastAsia="楷体_GB2312" w:cs="Times New Roman"/>
          <w:b/>
          <w:bCs/>
          <w:color w:val="auto"/>
          <w:kern w:val="2"/>
          <w:sz w:val="32"/>
          <w:szCs w:val="32"/>
        </w:rPr>
        <w:t>评价结果应用情况。</w:t>
      </w:r>
    </w:p>
    <w:p w14:paraId="37E895C2">
      <w:pPr>
        <w:keepNext w:val="0"/>
        <w:keepLines w:val="0"/>
        <w:pageBreakBefore w:val="0"/>
        <w:widowControl/>
        <w:shd w:val="clear" w:color="auto"/>
        <w:kinsoku/>
        <w:wordWrap/>
        <w:topLinePunct w:val="0"/>
        <w:bidi w:val="0"/>
        <w:snapToGrid/>
        <w:spacing w:line="620" w:lineRule="exact"/>
        <w:ind w:right="0" w:firstLine="640" w:firstLineChars="200"/>
        <w:textAlignment w:val="auto"/>
        <w:rPr>
          <w:rFonts w:hint="default" w:ascii="Times New Roman" w:hAnsi="Times New Roman" w:eastAsia="仿宋" w:cs="Times New Roman"/>
          <w:color w:val="auto"/>
          <w:kern w:val="2"/>
          <w:sz w:val="32"/>
          <w:szCs w:val="32"/>
          <w:highlight w:val="none"/>
          <w:shd w:val="clear" w:color="auto" w:fill="FFFFFF"/>
          <w:lang w:val="en-US" w:eastAsia="zh-CN" w:bidi="ar-SA"/>
        </w:rPr>
      </w:pPr>
      <w:r>
        <w:rPr>
          <w:rFonts w:hint="default" w:ascii="Times New Roman" w:hAnsi="Times New Roman" w:eastAsia="仿宋" w:cs="Times New Roman"/>
          <w:color w:val="auto"/>
          <w:kern w:val="2"/>
          <w:sz w:val="32"/>
          <w:szCs w:val="32"/>
          <w:highlight w:val="none"/>
          <w:shd w:val="clear" w:color="auto" w:fill="FFFFFF"/>
          <w:lang w:val="en-US" w:eastAsia="zh-CN" w:bidi="ar-SA"/>
        </w:rPr>
        <w:t>将绩效自评结果作为本单位完善制度和改进管理的重要依据，根据绩效自评结果，对比设定目标和实际完成情况，及时调整工作重点，提高工作效率，根据绩效自评结果，制定发展计划，提高财政资金支出决策水平和管理水平。</w:t>
      </w:r>
    </w:p>
    <w:p w14:paraId="4A60C0B0">
      <w:pPr>
        <w:pStyle w:val="14"/>
        <w:keepNext w:val="0"/>
        <w:keepLines w:val="0"/>
        <w:pageBreakBefore w:val="0"/>
        <w:shd w:val="clear"/>
        <w:kinsoku/>
        <w:wordWrap/>
        <w:topLinePunct w:val="0"/>
        <w:bidi w:val="0"/>
        <w:snapToGrid/>
        <w:spacing w:line="620" w:lineRule="exact"/>
        <w:ind w:left="0" w:leftChars="0" w:firstLine="0"/>
        <w:jc w:val="both"/>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kern w:val="0"/>
          <w:sz w:val="32"/>
          <w:szCs w:val="32"/>
          <w:lang w:val="en-US" w:eastAsia="zh-CN" w:bidi="ar-SA"/>
        </w:rPr>
        <w:t>（见附件《</w:t>
      </w: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5</w:t>
      </w:r>
      <w:r>
        <w:rPr>
          <w:rFonts w:hint="default" w:ascii="Times New Roman" w:hAnsi="Times New Roman" w:eastAsia="仿宋" w:cs="Times New Roman"/>
          <w:color w:val="auto"/>
          <w:sz w:val="32"/>
          <w:szCs w:val="32"/>
        </w:rPr>
        <w:t>年度部门整体支出绩效自评报告</w:t>
      </w:r>
      <w:r>
        <w:rPr>
          <w:rFonts w:hint="default" w:ascii="Times New Roman" w:hAnsi="Times New Roman" w:eastAsia="仿宋" w:cs="Times New Roman"/>
          <w:color w:val="auto"/>
          <w:kern w:val="0"/>
          <w:sz w:val="32"/>
          <w:szCs w:val="32"/>
          <w:lang w:val="en-US" w:eastAsia="zh-CN" w:bidi="ar-SA"/>
        </w:rPr>
        <w:t>》）</w:t>
      </w:r>
    </w:p>
    <w:p w14:paraId="1985D754">
      <w:pPr>
        <w:pStyle w:val="14"/>
        <w:jc w:val="center"/>
        <w:rPr>
          <w:rFonts w:hint="default" w:ascii="Times New Roman" w:hAnsi="Times New Roman" w:cs="Times New Roman"/>
          <w:color w:val="auto"/>
          <w:sz w:val="72"/>
          <w:szCs w:val="72"/>
        </w:rPr>
      </w:pPr>
    </w:p>
    <w:p w14:paraId="129B7E9F">
      <w:pPr>
        <w:pStyle w:val="14"/>
        <w:jc w:val="center"/>
        <w:rPr>
          <w:rFonts w:hint="default" w:ascii="Times New Roman" w:hAnsi="Times New Roman" w:cs="Times New Roman"/>
          <w:color w:val="auto"/>
          <w:sz w:val="72"/>
          <w:szCs w:val="72"/>
        </w:rPr>
      </w:pPr>
    </w:p>
    <w:p w14:paraId="495400A3">
      <w:pPr>
        <w:pStyle w:val="14"/>
        <w:jc w:val="center"/>
        <w:rPr>
          <w:rFonts w:hint="default" w:ascii="Times New Roman" w:hAnsi="Times New Roman" w:cs="Times New Roman"/>
          <w:color w:val="auto"/>
          <w:sz w:val="72"/>
          <w:szCs w:val="72"/>
        </w:rPr>
      </w:pPr>
    </w:p>
    <w:p w14:paraId="2AB6063B">
      <w:pPr>
        <w:pStyle w:val="14"/>
        <w:jc w:val="center"/>
        <w:rPr>
          <w:rFonts w:hint="default" w:ascii="Times New Roman" w:hAnsi="Times New Roman" w:cs="Times New Roman"/>
          <w:color w:val="auto"/>
          <w:sz w:val="72"/>
          <w:szCs w:val="72"/>
        </w:rPr>
      </w:pPr>
    </w:p>
    <w:p w14:paraId="649DB34F">
      <w:pPr>
        <w:pStyle w:val="14"/>
        <w:jc w:val="center"/>
        <w:rPr>
          <w:rFonts w:hint="default" w:ascii="Times New Roman" w:hAnsi="Times New Roman" w:cs="Times New Roman"/>
          <w:color w:val="auto"/>
          <w:sz w:val="72"/>
          <w:szCs w:val="72"/>
        </w:rPr>
      </w:pPr>
    </w:p>
    <w:p w14:paraId="61CDB637">
      <w:pPr>
        <w:pStyle w:val="14"/>
        <w:jc w:val="center"/>
        <w:rPr>
          <w:rFonts w:hint="default" w:ascii="Times New Roman" w:hAnsi="Times New Roman" w:cs="Times New Roman"/>
          <w:color w:val="auto"/>
          <w:sz w:val="72"/>
          <w:szCs w:val="72"/>
        </w:rPr>
      </w:pPr>
    </w:p>
    <w:p w14:paraId="3530F7E9">
      <w:pPr>
        <w:pStyle w:val="14"/>
        <w:jc w:val="center"/>
        <w:rPr>
          <w:rFonts w:hint="default" w:ascii="Times New Roman" w:hAnsi="Times New Roman" w:cs="Times New Roman"/>
          <w:color w:val="auto"/>
          <w:sz w:val="72"/>
          <w:szCs w:val="72"/>
        </w:rPr>
      </w:pPr>
    </w:p>
    <w:p w14:paraId="0F42D99E">
      <w:pPr>
        <w:pStyle w:val="14"/>
        <w:spacing w:line="360" w:lineRule="auto"/>
        <w:jc w:val="both"/>
        <w:rPr>
          <w:rFonts w:hint="default" w:ascii="Times New Roman" w:hAnsi="Times New Roman" w:eastAsia="方正小标宋_GBK" w:cs="Times New Roman"/>
          <w:color w:val="auto"/>
          <w:sz w:val="52"/>
          <w:szCs w:val="52"/>
        </w:rPr>
      </w:pPr>
    </w:p>
    <w:p w14:paraId="04F24FB4">
      <w:pPr>
        <w:pStyle w:val="14"/>
        <w:spacing w:line="360" w:lineRule="auto"/>
        <w:jc w:val="center"/>
        <w:rPr>
          <w:rFonts w:hint="default" w:ascii="Times New Roman" w:hAnsi="Times New Roman" w:eastAsia="方正小标宋_GBK" w:cs="Times New Roman"/>
          <w:color w:val="auto"/>
          <w:sz w:val="44"/>
          <w:szCs w:val="44"/>
        </w:rPr>
      </w:pPr>
    </w:p>
    <w:p w14:paraId="5171DE7A">
      <w:pPr>
        <w:pStyle w:val="14"/>
        <w:spacing w:line="360" w:lineRule="auto"/>
        <w:jc w:val="center"/>
        <w:rPr>
          <w:rFonts w:hint="default" w:ascii="Times New Roman" w:hAnsi="Times New Roman" w:eastAsia="方正小标宋_GBK" w:cs="Times New Roman"/>
          <w:color w:val="auto"/>
          <w:sz w:val="44"/>
          <w:szCs w:val="44"/>
        </w:rPr>
      </w:pPr>
    </w:p>
    <w:p w14:paraId="4E63A403">
      <w:pPr>
        <w:pStyle w:val="14"/>
        <w:spacing w:line="360" w:lineRule="auto"/>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第四部分    名词解释</w:t>
      </w:r>
    </w:p>
    <w:p w14:paraId="198B70A9">
      <w:pPr>
        <w:widowControl/>
        <w:jc w:val="left"/>
        <w:rPr>
          <w:rFonts w:hint="default" w:ascii="Times New Roman" w:hAnsi="Times New Roman" w:cs="Times New Roman"/>
          <w:color w:val="auto"/>
          <w:kern w:val="0"/>
          <w:sz w:val="32"/>
          <w:szCs w:val="32"/>
        </w:rPr>
      </w:pPr>
    </w:p>
    <w:p w14:paraId="05A21EFB">
      <w:pPr>
        <w:pStyle w:val="9"/>
        <w:keepNext w:val="0"/>
        <w:keepLines w:val="0"/>
        <w:pageBreakBefore w:val="0"/>
        <w:widowControl/>
        <w:shd w:val="clear" w:color="auto"/>
        <w:kinsoku/>
        <w:wordWrap/>
        <w:overflowPunct/>
        <w:topLinePunct w:val="0"/>
        <w:autoSpaceDE/>
        <w:autoSpaceDN/>
        <w:bidi w:val="0"/>
        <w:adjustRightInd/>
        <w:snapToGrid/>
        <w:spacing w:beforeAutospacing="0" w:afterAutospacing="0" w:line="255" w:lineRule="atLeas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Cs/>
          <w:color w:val="auto"/>
          <w:kern w:val="0"/>
          <w:sz w:val="32"/>
          <w:szCs w:val="32"/>
          <w:lang w:val="en-US" w:eastAsia="zh-CN" w:bidi="ar-SA"/>
        </w:rPr>
        <w:t>一、机关运行经费：</w:t>
      </w:r>
      <w:r>
        <w:rPr>
          <w:rFonts w:hint="default" w:ascii="Times New Roman" w:hAnsi="Times New Roman" w:eastAsia="仿宋_GB2312" w:cs="Times New Roman"/>
          <w:color w:val="auto"/>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w:t>
      </w:r>
      <w:r>
        <w:rPr>
          <w:rFonts w:hint="default" w:ascii="Times New Roman" w:hAnsi="Times New Roman" w:eastAsia="仿宋_GB2312" w:cs="Times New Roman"/>
          <w:color w:val="auto"/>
          <w:spacing w:val="6"/>
          <w:sz w:val="32"/>
          <w:szCs w:val="32"/>
        </w:rPr>
        <w:t>暖费、办公用房物业管理费、公务用车运行维护费以及其他费用。</w:t>
      </w:r>
    </w:p>
    <w:p w14:paraId="709D3B11">
      <w:pPr>
        <w:pStyle w:val="9"/>
        <w:keepNext w:val="0"/>
        <w:keepLines w:val="0"/>
        <w:pageBreakBefore w:val="0"/>
        <w:widowControl/>
        <w:shd w:val="clear" w:color="auto"/>
        <w:kinsoku/>
        <w:wordWrap/>
        <w:overflowPunct/>
        <w:topLinePunct w:val="0"/>
        <w:autoSpaceDE/>
        <w:autoSpaceDN/>
        <w:bidi w:val="0"/>
        <w:adjustRightInd/>
        <w:snapToGrid/>
        <w:spacing w:beforeAutospacing="0" w:after="38" w:afterAutospacing="0" w:line="255" w:lineRule="atLeas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Cs/>
          <w:color w:val="auto"/>
          <w:kern w:val="0"/>
          <w:sz w:val="32"/>
          <w:szCs w:val="32"/>
          <w:lang w:val="en-US" w:eastAsia="zh-CN" w:bidi="ar-SA"/>
        </w:rPr>
        <w:t>二、“三公”经费：</w:t>
      </w:r>
      <w:r>
        <w:rPr>
          <w:rFonts w:hint="default" w:ascii="Times New Roman" w:hAnsi="Times New Roman" w:eastAsia="仿宋_GB2312" w:cs="Times New Roman"/>
          <w:color w:val="auto"/>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9CE35AD">
      <w:pPr>
        <w:pStyle w:val="14"/>
        <w:jc w:val="center"/>
        <w:rPr>
          <w:rFonts w:hint="default" w:ascii="Times New Roman" w:hAnsi="Times New Roman" w:cs="Times New Roman"/>
          <w:color w:val="auto"/>
          <w:sz w:val="72"/>
          <w:szCs w:val="72"/>
        </w:rPr>
      </w:pPr>
    </w:p>
    <w:p w14:paraId="4A917A84">
      <w:pPr>
        <w:pStyle w:val="14"/>
        <w:jc w:val="center"/>
        <w:rPr>
          <w:rFonts w:hint="default" w:ascii="Times New Roman" w:hAnsi="Times New Roman" w:cs="Times New Roman"/>
          <w:color w:val="auto"/>
          <w:sz w:val="72"/>
          <w:szCs w:val="72"/>
        </w:rPr>
      </w:pPr>
    </w:p>
    <w:p w14:paraId="31E82580">
      <w:pPr>
        <w:pStyle w:val="14"/>
        <w:jc w:val="center"/>
        <w:rPr>
          <w:rFonts w:hint="default" w:ascii="Times New Roman" w:hAnsi="Times New Roman" w:cs="Times New Roman"/>
          <w:color w:val="auto"/>
          <w:sz w:val="72"/>
          <w:szCs w:val="72"/>
        </w:rPr>
      </w:pPr>
    </w:p>
    <w:p w14:paraId="56B46233">
      <w:pPr>
        <w:pStyle w:val="14"/>
        <w:jc w:val="center"/>
        <w:rPr>
          <w:rFonts w:hint="default" w:ascii="Times New Roman" w:hAnsi="Times New Roman" w:cs="Times New Roman"/>
          <w:color w:val="auto"/>
          <w:sz w:val="72"/>
          <w:szCs w:val="72"/>
        </w:rPr>
      </w:pPr>
    </w:p>
    <w:p w14:paraId="4FEA58A3">
      <w:pPr>
        <w:pStyle w:val="14"/>
        <w:spacing w:line="360" w:lineRule="auto"/>
        <w:ind w:firstLine="440" w:firstLineChars="100"/>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第五部分   附 件</w:t>
      </w:r>
    </w:p>
    <w:p w14:paraId="7DBCAA2B">
      <w:pPr>
        <w:rPr>
          <w:rFonts w:hint="default" w:ascii="Times New Roman" w:hAnsi="Times New Roman" w:cs="Times New Roman"/>
          <w:color w:val="auto"/>
          <w:sz w:val="72"/>
          <w:szCs w:val="72"/>
        </w:rPr>
      </w:pPr>
    </w:p>
    <w:p w14:paraId="44C918AA">
      <w:pPr>
        <w:pStyle w:val="14"/>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一、</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年度部门整体支出绩效自评报告。</w:t>
      </w:r>
    </w:p>
    <w:p w14:paraId="42EB15AE">
      <w:pPr>
        <w:pStyle w:val="14"/>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二、2025年部门决算公开表</w:t>
      </w:r>
    </w:p>
    <w:p w14:paraId="01FF44D1">
      <w:pPr>
        <w:pStyle w:val="14"/>
        <w:jc w:val="center"/>
        <w:rPr>
          <w:rFonts w:hint="default" w:ascii="Times New Roman" w:hAnsi="Times New Roman" w:cs="Times New Roman"/>
          <w:color w:val="auto"/>
          <w:sz w:val="72"/>
          <w:szCs w:val="72"/>
        </w:rPr>
      </w:pPr>
    </w:p>
    <w:p w14:paraId="35A6C0E2">
      <w:pPr>
        <w:pStyle w:val="14"/>
        <w:jc w:val="center"/>
        <w:rPr>
          <w:rFonts w:hint="default" w:ascii="Times New Roman" w:hAnsi="Times New Roman" w:cs="Times New Roman"/>
          <w:color w:val="auto"/>
          <w:sz w:val="72"/>
          <w:szCs w:val="72"/>
        </w:rPr>
      </w:pPr>
    </w:p>
    <w:p w14:paraId="56F78A47">
      <w:pPr>
        <w:jc w:val="left"/>
        <w:rPr>
          <w:rFonts w:hint="default" w:ascii="Times New Roman" w:hAnsi="Times New Roman" w:cs="Times New Roman"/>
          <w:color w:val="auto"/>
          <w:kern w:val="0"/>
          <w:sz w:val="32"/>
          <w:szCs w:val="32"/>
        </w:rPr>
      </w:pPr>
    </w:p>
    <w:sectPr>
      <w:pgSz w:w="11906" w:h="16838"/>
      <w:pgMar w:top="1417" w:right="1588" w:bottom="1417" w:left="1588"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3A02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3670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C3A0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2B19A8">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A2B19A8">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7B2D5"/>
    <w:multiLevelType w:val="singleLevel"/>
    <w:tmpl w:val="B887B2D5"/>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D96397"/>
    <w:rsid w:val="06B31420"/>
    <w:rsid w:val="0A3F0004"/>
    <w:rsid w:val="0B005A11"/>
    <w:rsid w:val="0C9A67D4"/>
    <w:rsid w:val="0FC226D4"/>
    <w:rsid w:val="11AD363C"/>
    <w:rsid w:val="13477178"/>
    <w:rsid w:val="13AD1866"/>
    <w:rsid w:val="14C36AE4"/>
    <w:rsid w:val="152D6842"/>
    <w:rsid w:val="166149F5"/>
    <w:rsid w:val="167129FD"/>
    <w:rsid w:val="1A5B175B"/>
    <w:rsid w:val="1D97DEFF"/>
    <w:rsid w:val="1DFF72E5"/>
    <w:rsid w:val="1E0068A1"/>
    <w:rsid w:val="1EFC6F07"/>
    <w:rsid w:val="1FEA15B7"/>
    <w:rsid w:val="202D1F53"/>
    <w:rsid w:val="21C5052E"/>
    <w:rsid w:val="26AD555C"/>
    <w:rsid w:val="2C231B78"/>
    <w:rsid w:val="2CFE66A2"/>
    <w:rsid w:val="2DDE289C"/>
    <w:rsid w:val="2FDF85B8"/>
    <w:rsid w:val="2FFFEE04"/>
    <w:rsid w:val="306E09B3"/>
    <w:rsid w:val="306F16E4"/>
    <w:rsid w:val="31093867"/>
    <w:rsid w:val="34DF85B0"/>
    <w:rsid w:val="38AD5420"/>
    <w:rsid w:val="3B8F36BC"/>
    <w:rsid w:val="3C1C6B44"/>
    <w:rsid w:val="3CE07B72"/>
    <w:rsid w:val="41731ED3"/>
    <w:rsid w:val="419B37F8"/>
    <w:rsid w:val="42FE546C"/>
    <w:rsid w:val="45A8769B"/>
    <w:rsid w:val="46582E6F"/>
    <w:rsid w:val="483A4CDE"/>
    <w:rsid w:val="48E64FE7"/>
    <w:rsid w:val="491FF225"/>
    <w:rsid w:val="4FFD214C"/>
    <w:rsid w:val="57086B27"/>
    <w:rsid w:val="5777D4F5"/>
    <w:rsid w:val="59DD8326"/>
    <w:rsid w:val="5A205D3C"/>
    <w:rsid w:val="5A504131"/>
    <w:rsid w:val="5BC41B07"/>
    <w:rsid w:val="5DEF592A"/>
    <w:rsid w:val="5FC6BB1E"/>
    <w:rsid w:val="5FF720F1"/>
    <w:rsid w:val="64674A90"/>
    <w:rsid w:val="658E1FB1"/>
    <w:rsid w:val="679F21AF"/>
    <w:rsid w:val="67FF5C0B"/>
    <w:rsid w:val="6D2D20B0"/>
    <w:rsid w:val="6EFC0924"/>
    <w:rsid w:val="6F9C30BD"/>
    <w:rsid w:val="6FB74722"/>
    <w:rsid w:val="6FC52A74"/>
    <w:rsid w:val="6FEF8B7E"/>
    <w:rsid w:val="706E6C67"/>
    <w:rsid w:val="71366388"/>
    <w:rsid w:val="71A6591B"/>
    <w:rsid w:val="71A843FB"/>
    <w:rsid w:val="737D59BA"/>
    <w:rsid w:val="75295853"/>
    <w:rsid w:val="76DF4FE8"/>
    <w:rsid w:val="77C37683"/>
    <w:rsid w:val="79D19834"/>
    <w:rsid w:val="79FF515B"/>
    <w:rsid w:val="7A7061B7"/>
    <w:rsid w:val="7B441468"/>
    <w:rsid w:val="7B4E7DC1"/>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widowControl w:val="0"/>
      <w:ind w:firstLine="200" w:firstLineChars="200"/>
      <w:jc w:val="both"/>
      <w:textAlignment w:val="baseline"/>
    </w:pPr>
    <w:rPr>
      <w:rFonts w:ascii="Calibri" w:hAnsi="Calibri" w:eastAsia="宋体" w:cs="Times New Roman"/>
      <w:kern w:val="2"/>
      <w:sz w:val="21"/>
      <w:szCs w:val="24"/>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0"/>
    <w:pPr>
      <w:spacing w:beforeAutospacing="1"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8220</Words>
  <Characters>9008</Characters>
  <Lines>69</Lines>
  <Paragraphs>19</Paragraphs>
  <TotalTime>28</TotalTime>
  <ScaleCrop>false</ScaleCrop>
  <LinksUpToDate>false</LinksUpToDate>
  <CharactersWithSpaces>9027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lifang</cp:lastModifiedBy>
  <cp:lastPrinted>2024-08-10T02:20:00Z</cp:lastPrinted>
  <dcterms:modified xsi:type="dcterms:W3CDTF">2026-09-16T08:13:12Z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5621972EE17A4439B43B3B4B59E5BDEA_13</vt:lpwstr>
  </property>
  <property fmtid="{D5CDD505-2E9C-101B-9397-08002B2CF9AE}" pid="4" name="KSOTemplateDocerSaveRecord">
    <vt:lpwstr>eyJoZGlkIjoiNzlhZGEwOGVlZDc5MzU2MzhmNjE1NmEwZDZlYjhlNDkiLCJ1c2VySWQiOiI2NjE2NDg5NTAifQ==</vt:lpwstr>
  </property>
</Properties>
</file>