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2025年度怀化市卫生健康委员会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整体支出绩效自评报告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2"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（一）部门基本情况。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卫生健康委员会作为一级部门预算单位，内设科室为：办公室（安全监督管理科）、人事科（国际合作科、退休人员管理服务科）、规划发展与信息化科、财务科、政策法规和行政审批服务科、体制改革科（医改办公室）、疾病预防控制和职业健康科（卫生应急办公室、突发公共卫生事件应急指挥中心）、医政和医疗应急科、基层卫生健康科、中医药管理科（怀化市中医药管理局）、科技教育科、综合监督科（食品安全标准与监测科）、药物政策与基本药物制度科、妇幼健康科、人口监测与家庭发展科、宣传科、爱国卫生科，另设机关党委。</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疾病预防控制中心作为怀化市卫生健康委员会的二级部门预算单位，内设科室为：办公室、人事科、财务科、行政后勤科、流行病预防控制科、皮肤病性病防治科、健康教育科、地方病慢性病控制科、卫生监测科、结核病防治科、职业病防治科、检验科、生物制品科。</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卫生计生综合监督执法局作为怀化市卫生健康委员会的二级部门预算单位，内设科室为：公共场所卫生监督科、食品安全科、职业防治与放射卫生监督科、医疗机构执业监督科、传染病防治与学校监督科、稽查科、受理发证科、办公室、人事科。</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中心血站作为怀化市卫生健康委员会的二级部门预算单位，内设科室为：办公室、人力资源部、财务部、后勤保障部、业务综合部、献血服务一部、献血服务二部、血液制备部、血液供应部、血液检验部、质量管理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怀化市卫生健康委员会（以下简称市卫健委）为市财政一级预算单位，下设市疾病预防控制中心、市卫生计生综合监督执法局、市中心血站3个二级预算部门，2025年市卫健委及下属二级机构共有在职人员372人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（二）部门整体支出规模、使用方向和主要内容、涉及范围等。</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年市卫健委部门年初预算收入</w:t>
      </w:r>
      <w:r>
        <w:rPr>
          <w:rFonts w:hint="eastAsia" w:ascii="Times New Roman Regular" w:hAnsi="Times New Roman Regular" w:eastAsia="仿宋_GB2312" w:cs="Times New Roman Regular"/>
          <w:color w:val="auto"/>
          <w:sz w:val="32"/>
          <w:szCs w:val="32"/>
          <w:highlight w:val="none"/>
          <w:lang w:val="en-US" w:eastAsia="zh-CN"/>
        </w:rPr>
        <w:t>9695.73</w:t>
      </w:r>
      <w:r>
        <w:rPr>
          <w:rFonts w:hint="default" w:ascii="Times New Roman Regular" w:hAnsi="Times New Roman Regular" w:eastAsia="仿宋_GB2312" w:cs="Times New Roman Regular"/>
          <w:color w:val="auto"/>
          <w:sz w:val="32"/>
          <w:szCs w:val="32"/>
          <w:highlight w:val="none"/>
          <w:lang w:val="en-US" w:eastAsia="zh-CN"/>
        </w:rPr>
        <w:t>万元，其中基本支出</w:t>
      </w:r>
      <w:r>
        <w:rPr>
          <w:rFonts w:hint="eastAsia" w:ascii="Times New Roman Regular" w:hAnsi="Times New Roman Regular" w:eastAsia="仿宋_GB2312" w:cs="Times New Roman Regular"/>
          <w:color w:val="auto"/>
          <w:sz w:val="32"/>
          <w:szCs w:val="32"/>
          <w:highlight w:val="none"/>
          <w:lang w:val="en-US" w:eastAsia="zh-CN"/>
        </w:rPr>
        <w:t>7038.59</w:t>
      </w:r>
      <w:r>
        <w:rPr>
          <w:rFonts w:hint="default" w:ascii="Times New Roman Regular" w:hAnsi="Times New Roman Regular" w:eastAsia="仿宋_GB2312" w:cs="Times New Roman Regular"/>
          <w:color w:val="auto"/>
          <w:sz w:val="32"/>
          <w:szCs w:val="32"/>
          <w:highlight w:val="none"/>
          <w:lang w:val="en-US" w:eastAsia="zh-CN"/>
        </w:rPr>
        <w:t>万元，项目支出</w:t>
      </w:r>
      <w:r>
        <w:rPr>
          <w:rFonts w:hint="eastAsia" w:ascii="Times New Roman Regular" w:hAnsi="Times New Roman Regular" w:eastAsia="仿宋_GB2312" w:cs="Times New Roman Regular"/>
          <w:color w:val="auto"/>
          <w:sz w:val="32"/>
          <w:szCs w:val="32"/>
          <w:highlight w:val="none"/>
          <w:lang w:val="en-US" w:eastAsia="zh-CN"/>
        </w:rPr>
        <w:t>2657.14</w:t>
      </w:r>
      <w:r>
        <w:rPr>
          <w:rFonts w:hint="default" w:ascii="Times New Roman Regular" w:hAnsi="Times New Roman Regular" w:eastAsia="仿宋_GB2312" w:cs="Times New Roman Regular"/>
          <w:color w:val="auto"/>
          <w:sz w:val="32"/>
          <w:szCs w:val="32"/>
          <w:highlight w:val="none"/>
          <w:lang w:val="en-US" w:eastAsia="zh-CN"/>
        </w:rPr>
        <w:t>万元。</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2024年市卫健委部门整体支出</w:t>
      </w:r>
      <w:r>
        <w:rPr>
          <w:rFonts w:hint="eastAsia" w:ascii="Times New Roman Regular" w:hAnsi="Times New Roman Regular" w:eastAsia="仿宋_GB2312" w:cs="Times New Roman Regular"/>
          <w:color w:val="auto"/>
          <w:sz w:val="32"/>
          <w:szCs w:val="32"/>
          <w:highlight w:val="none"/>
          <w:lang w:val="en-US" w:eastAsia="zh-CN"/>
        </w:rPr>
        <w:t>12940.55</w:t>
      </w:r>
      <w:r>
        <w:rPr>
          <w:rFonts w:hint="default" w:ascii="Times New Roman Regular" w:hAnsi="Times New Roman Regular" w:eastAsia="仿宋_GB2312" w:cs="Times New Roman Regular"/>
          <w:color w:val="auto"/>
          <w:sz w:val="32"/>
          <w:szCs w:val="32"/>
          <w:highlight w:val="none"/>
          <w:lang w:val="en-US" w:eastAsia="zh-CN"/>
        </w:rPr>
        <w:t>万元，其中</w:t>
      </w:r>
      <w:r>
        <w:rPr>
          <w:rFonts w:hint="eastAsia" w:ascii="Times New Roman Regular" w:hAnsi="Times New Roman Regular" w:eastAsia="仿宋_GB2312" w:cs="Times New Roman Regular"/>
          <w:color w:val="auto"/>
          <w:sz w:val="32"/>
          <w:szCs w:val="32"/>
          <w:highlight w:val="none"/>
          <w:lang w:val="en-US" w:eastAsia="zh-CN"/>
        </w:rPr>
        <w:t>基本</w:t>
      </w:r>
      <w:r>
        <w:rPr>
          <w:rFonts w:hint="default" w:ascii="Times New Roman Regular" w:hAnsi="Times New Roman Regular" w:eastAsia="仿宋_GB2312" w:cs="Times New Roman Regular"/>
          <w:color w:val="auto"/>
          <w:sz w:val="32"/>
          <w:szCs w:val="32"/>
          <w:highlight w:val="none"/>
          <w:lang w:val="en-US" w:eastAsia="zh-CN"/>
        </w:rPr>
        <w:t>支出</w:t>
      </w:r>
      <w:r>
        <w:rPr>
          <w:rFonts w:hint="eastAsia" w:ascii="Times New Roman Regular" w:hAnsi="Times New Roman Regular" w:eastAsia="仿宋_GB2312" w:cs="Times New Roman Regular"/>
          <w:color w:val="auto"/>
          <w:sz w:val="32"/>
          <w:szCs w:val="32"/>
          <w:highlight w:val="none"/>
          <w:lang w:val="en-US" w:eastAsia="zh-CN"/>
        </w:rPr>
        <w:t>7752.26</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项目支出5188.29</w:t>
      </w:r>
      <w:r>
        <w:rPr>
          <w:rFonts w:hint="default" w:ascii="Times New Roman Regular" w:hAnsi="Times New Roman Regular" w:eastAsia="仿宋_GB2312" w:cs="Times New Roman Regular"/>
          <w:color w:val="auto"/>
          <w:sz w:val="32"/>
          <w:szCs w:val="32"/>
          <w:highlight w:val="none"/>
          <w:lang w:val="en-US" w:eastAsia="zh-CN"/>
        </w:rPr>
        <w:t>万元，预算执行率</w:t>
      </w:r>
      <w:r>
        <w:rPr>
          <w:rFonts w:hint="eastAsia" w:ascii="Times New Roman Regular" w:hAnsi="Times New Roman Regular" w:eastAsia="仿宋_GB2312" w:cs="Times New Roman Regular"/>
          <w:color w:val="auto"/>
          <w:sz w:val="32"/>
          <w:szCs w:val="32"/>
          <w:highlight w:val="none"/>
          <w:lang w:val="en-US" w:eastAsia="zh-CN"/>
        </w:rPr>
        <w:t>133.47</w:t>
      </w:r>
      <w:r>
        <w:rPr>
          <w:rFonts w:hint="default" w:ascii="Times New Roman Regular" w:hAnsi="Times New Roman Regular" w:eastAsia="仿宋_GB2312" w:cs="Times New Roman Regular"/>
          <w:color w:val="auto"/>
          <w:sz w:val="32"/>
          <w:szCs w:val="32"/>
          <w:highlight w:val="none"/>
          <w:lang w:val="en-US" w:eastAsia="zh-CN"/>
        </w:rPr>
        <w:t>%。具体情况如下：</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基本支出</w:t>
      </w:r>
      <w:r>
        <w:rPr>
          <w:rFonts w:hint="eastAsia" w:ascii="Times New Roman Regular" w:hAnsi="Times New Roman Regular" w:eastAsia="仿宋_GB2312" w:cs="Times New Roman Regular"/>
          <w:color w:val="auto"/>
          <w:sz w:val="32"/>
          <w:szCs w:val="32"/>
          <w:highlight w:val="none"/>
          <w:lang w:val="en-US" w:eastAsia="zh-CN"/>
        </w:rPr>
        <w:t>7752.26</w:t>
      </w:r>
      <w:r>
        <w:rPr>
          <w:rFonts w:hint="default" w:ascii="Times New Roman Regular" w:hAnsi="Times New Roman Regular" w:eastAsia="仿宋_GB2312" w:cs="Times New Roman Regular"/>
          <w:color w:val="auto"/>
          <w:sz w:val="32"/>
          <w:szCs w:val="32"/>
          <w:highlight w:val="none"/>
          <w:lang w:val="en-US" w:eastAsia="zh-CN"/>
        </w:rPr>
        <w:t>万元。包括工资福利支出</w:t>
      </w:r>
      <w:r>
        <w:rPr>
          <w:rFonts w:hint="eastAsia" w:ascii="Times New Roman Regular" w:hAnsi="Times New Roman Regular" w:eastAsia="仿宋_GB2312" w:cs="Times New Roman Regular"/>
          <w:color w:val="auto"/>
          <w:sz w:val="32"/>
          <w:szCs w:val="32"/>
          <w:highlight w:val="none"/>
          <w:lang w:val="en-US" w:eastAsia="zh-CN"/>
        </w:rPr>
        <w:t>6204.48</w:t>
      </w:r>
      <w:r>
        <w:rPr>
          <w:rFonts w:hint="default" w:ascii="Times New Roman Regular" w:hAnsi="Times New Roman Regular" w:eastAsia="仿宋_GB2312" w:cs="Times New Roman Regular"/>
          <w:color w:val="auto"/>
          <w:sz w:val="32"/>
          <w:szCs w:val="32"/>
          <w:highlight w:val="none"/>
          <w:lang w:val="en-US" w:eastAsia="zh-CN"/>
        </w:rPr>
        <w:t>万元，商品和服务支出</w:t>
      </w:r>
      <w:r>
        <w:rPr>
          <w:rFonts w:hint="eastAsia" w:ascii="Times New Roman Regular" w:hAnsi="Times New Roman Regular" w:eastAsia="仿宋_GB2312" w:cs="Times New Roman Regular"/>
          <w:color w:val="auto"/>
          <w:sz w:val="32"/>
          <w:szCs w:val="32"/>
          <w:highlight w:val="none"/>
          <w:lang w:val="en-US" w:eastAsia="zh-CN"/>
        </w:rPr>
        <w:t>1017.54</w:t>
      </w:r>
      <w:r>
        <w:rPr>
          <w:rFonts w:hint="default" w:ascii="Times New Roman Regular" w:hAnsi="Times New Roman Regular" w:eastAsia="仿宋_GB2312" w:cs="Times New Roman Regular"/>
          <w:color w:val="auto"/>
          <w:sz w:val="32"/>
          <w:szCs w:val="32"/>
          <w:highlight w:val="none"/>
          <w:lang w:val="en-US" w:eastAsia="zh-CN"/>
        </w:rPr>
        <w:t>万元，对个人和家庭补助</w:t>
      </w:r>
      <w:r>
        <w:rPr>
          <w:rFonts w:hint="eastAsia" w:ascii="Times New Roman Regular" w:hAnsi="Times New Roman Regular" w:eastAsia="仿宋_GB2312" w:cs="Times New Roman Regular"/>
          <w:color w:val="auto"/>
          <w:sz w:val="32"/>
          <w:szCs w:val="32"/>
          <w:highlight w:val="none"/>
          <w:lang w:val="en-US" w:eastAsia="zh-CN"/>
        </w:rPr>
        <w:t>524.61</w:t>
      </w:r>
      <w:r>
        <w:rPr>
          <w:rFonts w:hint="default" w:ascii="Times New Roman Regular" w:hAnsi="Times New Roman Regular" w:eastAsia="仿宋_GB2312" w:cs="Times New Roman Regular"/>
          <w:color w:val="auto"/>
          <w:sz w:val="32"/>
          <w:szCs w:val="32"/>
          <w:highlight w:val="none"/>
          <w:lang w:val="en-US" w:eastAsia="zh-CN"/>
        </w:rPr>
        <w:t>万元，资本性支出</w:t>
      </w:r>
      <w:r>
        <w:rPr>
          <w:rFonts w:hint="eastAsia" w:ascii="Times New Roman Regular" w:hAnsi="Times New Roman Regular" w:eastAsia="仿宋_GB2312" w:cs="Times New Roman Regular"/>
          <w:color w:val="auto"/>
          <w:sz w:val="32"/>
          <w:szCs w:val="32"/>
          <w:highlight w:val="none"/>
          <w:lang w:val="en-US" w:eastAsia="zh-CN"/>
        </w:rPr>
        <w:t>5.63</w:t>
      </w:r>
      <w:r>
        <w:rPr>
          <w:rFonts w:hint="default" w:ascii="Times New Roman Regular" w:hAnsi="Times New Roman Regular" w:eastAsia="仿宋_GB2312" w:cs="Times New Roman Regular"/>
          <w:color w:val="auto"/>
          <w:sz w:val="32"/>
          <w:szCs w:val="32"/>
          <w:highlight w:val="none"/>
          <w:lang w:val="en-US" w:eastAsia="zh-CN"/>
        </w:rPr>
        <w:t>万元。</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项目支出</w:t>
      </w:r>
      <w:r>
        <w:rPr>
          <w:rFonts w:hint="eastAsia" w:ascii="Times New Roman Regular" w:hAnsi="Times New Roman Regular" w:eastAsia="仿宋_GB2312" w:cs="Times New Roman Regular"/>
          <w:color w:val="auto"/>
          <w:sz w:val="32"/>
          <w:szCs w:val="32"/>
          <w:highlight w:val="none"/>
          <w:lang w:val="en-US" w:eastAsia="zh-CN"/>
        </w:rPr>
        <w:t>5188.29</w:t>
      </w:r>
      <w:r>
        <w:rPr>
          <w:rFonts w:hint="default" w:ascii="Times New Roman Regular" w:hAnsi="Times New Roman Regular" w:eastAsia="仿宋_GB2312" w:cs="Times New Roman Regular"/>
          <w:color w:val="auto"/>
          <w:sz w:val="32"/>
          <w:szCs w:val="32"/>
          <w:highlight w:val="none"/>
          <w:lang w:val="en-US" w:eastAsia="zh-CN"/>
        </w:rPr>
        <w:t>万元。项目支出主要用于开支会议培训差旅费、专用设备购置、专用材料费、重大传染病防治支出、怀化市城区公共区域病媒生物防治药械及服务支出、食品安全项目支出、免疫规划支出、艾滋病防治支出、结核病防治支出、考试考务费支出、中医药发展等支出</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年市卫健委部门一般公共预算支出</w:t>
      </w:r>
      <w:r>
        <w:rPr>
          <w:rFonts w:hint="eastAsia" w:ascii="Times New Roman Regular" w:hAnsi="Times New Roman Regular" w:eastAsia="仿宋_GB2312" w:cs="Times New Roman Regular"/>
          <w:color w:val="auto"/>
          <w:sz w:val="32"/>
          <w:szCs w:val="32"/>
          <w:highlight w:val="none"/>
          <w:lang w:val="en-US" w:eastAsia="zh-CN"/>
        </w:rPr>
        <w:t>10508.14</w:t>
      </w:r>
      <w:r>
        <w:rPr>
          <w:rFonts w:hint="default" w:ascii="Times New Roman Regular" w:hAnsi="Times New Roman Regular" w:eastAsia="仿宋_GB2312" w:cs="Times New Roman Regular"/>
          <w:color w:val="auto"/>
          <w:sz w:val="32"/>
          <w:szCs w:val="32"/>
          <w:highlight w:val="none"/>
          <w:lang w:val="en-US" w:eastAsia="zh-CN"/>
        </w:rPr>
        <w:t>万元，其中基本支出</w:t>
      </w:r>
      <w:r>
        <w:rPr>
          <w:rFonts w:hint="eastAsia" w:ascii="Times New Roman Regular" w:hAnsi="Times New Roman Regular" w:eastAsia="仿宋_GB2312" w:cs="Times New Roman Regular"/>
          <w:color w:val="auto"/>
          <w:sz w:val="32"/>
          <w:szCs w:val="32"/>
          <w:highlight w:val="none"/>
          <w:lang w:val="en-US" w:eastAsia="zh-CN"/>
        </w:rPr>
        <w:t>6863.44</w:t>
      </w:r>
      <w:r>
        <w:rPr>
          <w:rFonts w:hint="default" w:ascii="Times New Roman Regular" w:hAnsi="Times New Roman Regular" w:eastAsia="仿宋_GB2312" w:cs="Times New Roman Regular"/>
          <w:color w:val="auto"/>
          <w:sz w:val="32"/>
          <w:szCs w:val="32"/>
          <w:highlight w:val="none"/>
          <w:lang w:val="en-US" w:eastAsia="zh-CN"/>
        </w:rPr>
        <w:t>万元，项目支出</w:t>
      </w:r>
      <w:r>
        <w:rPr>
          <w:rFonts w:hint="eastAsia" w:ascii="Times New Roman Regular" w:hAnsi="Times New Roman Regular" w:eastAsia="仿宋_GB2312" w:cs="Times New Roman Regular"/>
          <w:color w:val="auto"/>
          <w:sz w:val="32"/>
          <w:szCs w:val="32"/>
          <w:highlight w:val="none"/>
          <w:lang w:val="en-US" w:eastAsia="zh-CN"/>
        </w:rPr>
        <w:t>3644.7</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年市卫健委部门一般公共预算基本支出年初预算</w:t>
      </w:r>
      <w:r>
        <w:rPr>
          <w:rFonts w:hint="eastAsia" w:ascii="Times New Roman Regular" w:hAnsi="Times New Roman Regular" w:eastAsia="仿宋_GB2312" w:cs="Times New Roman Regular"/>
          <w:color w:val="auto"/>
          <w:sz w:val="32"/>
          <w:szCs w:val="32"/>
          <w:highlight w:val="none"/>
          <w:lang w:val="en-US" w:eastAsia="zh-CN"/>
        </w:rPr>
        <w:t>6182.48</w:t>
      </w:r>
      <w:r>
        <w:rPr>
          <w:rFonts w:hint="default" w:ascii="Times New Roman Regular" w:hAnsi="Times New Roman Regular" w:eastAsia="仿宋_GB2312" w:cs="Times New Roman Regular"/>
          <w:color w:val="auto"/>
          <w:sz w:val="32"/>
          <w:szCs w:val="32"/>
          <w:highlight w:val="none"/>
          <w:lang w:val="en-US" w:eastAsia="zh-CN"/>
        </w:rPr>
        <w:t>万元，全年基本支出收入</w:t>
      </w:r>
      <w:r>
        <w:rPr>
          <w:rFonts w:hint="eastAsia" w:ascii="Times New Roman Regular" w:hAnsi="Times New Roman Regular" w:eastAsia="仿宋_GB2312" w:cs="Times New Roman Regular"/>
          <w:color w:val="auto"/>
          <w:sz w:val="32"/>
          <w:szCs w:val="32"/>
          <w:highlight w:val="none"/>
          <w:lang w:val="en-US" w:eastAsia="zh-CN"/>
        </w:rPr>
        <w:t>6863.44</w:t>
      </w:r>
      <w:r>
        <w:rPr>
          <w:rFonts w:hint="default" w:ascii="Times New Roman Regular" w:hAnsi="Times New Roman Regular" w:eastAsia="仿宋_GB2312" w:cs="Times New Roman Regular"/>
          <w:color w:val="auto"/>
          <w:sz w:val="32"/>
          <w:szCs w:val="32"/>
          <w:highlight w:val="none"/>
          <w:lang w:val="en-US" w:eastAsia="zh-CN"/>
        </w:rPr>
        <w:t>万元，全年支出</w:t>
      </w:r>
      <w:r>
        <w:rPr>
          <w:rFonts w:hint="eastAsia" w:ascii="Times New Roman Regular" w:hAnsi="Times New Roman Regular" w:eastAsia="仿宋_GB2312" w:cs="Times New Roman Regular"/>
          <w:color w:val="auto"/>
          <w:sz w:val="32"/>
          <w:szCs w:val="32"/>
          <w:highlight w:val="none"/>
          <w:lang w:val="en-US" w:eastAsia="zh-CN"/>
        </w:rPr>
        <w:t>6863.44</w:t>
      </w:r>
      <w:r>
        <w:rPr>
          <w:rFonts w:hint="default" w:ascii="Times New Roman Regular" w:hAnsi="Times New Roman Regular" w:eastAsia="仿宋_GB2312" w:cs="Times New Roman Regular"/>
          <w:color w:val="auto"/>
          <w:sz w:val="32"/>
          <w:szCs w:val="32"/>
          <w:highlight w:val="none"/>
          <w:lang w:val="en-US" w:eastAsia="zh-CN"/>
        </w:rPr>
        <w:t>万元，资金执行率100%。主要用于工资福利支出</w:t>
      </w:r>
      <w:r>
        <w:rPr>
          <w:rFonts w:hint="eastAsia" w:ascii="Times New Roman Regular" w:hAnsi="Times New Roman Regular" w:eastAsia="仿宋_GB2312" w:cs="Times New Roman Regular"/>
          <w:color w:val="auto"/>
          <w:sz w:val="32"/>
          <w:szCs w:val="32"/>
          <w:highlight w:val="none"/>
          <w:lang w:val="en-US" w:eastAsia="zh-CN"/>
        </w:rPr>
        <w:t>5680.64</w:t>
      </w:r>
      <w:r>
        <w:rPr>
          <w:rFonts w:hint="default" w:ascii="Times New Roman Regular" w:hAnsi="Times New Roman Regular" w:eastAsia="仿宋_GB2312" w:cs="Times New Roman Regular"/>
          <w:color w:val="auto"/>
          <w:sz w:val="32"/>
          <w:szCs w:val="32"/>
          <w:highlight w:val="none"/>
          <w:lang w:val="en-US" w:eastAsia="zh-CN"/>
        </w:rPr>
        <w:t>万元，商品和服务支出</w:t>
      </w:r>
      <w:r>
        <w:rPr>
          <w:rFonts w:hint="eastAsia" w:ascii="Times New Roman Regular" w:hAnsi="Times New Roman Regular" w:eastAsia="仿宋_GB2312" w:cs="Times New Roman Regular"/>
          <w:color w:val="auto"/>
          <w:sz w:val="32"/>
          <w:szCs w:val="32"/>
          <w:highlight w:val="none"/>
          <w:lang w:val="en-US" w:eastAsia="zh-CN"/>
        </w:rPr>
        <w:t>662.31</w:t>
      </w:r>
      <w:r>
        <w:rPr>
          <w:rFonts w:hint="default" w:ascii="Times New Roman Regular" w:hAnsi="Times New Roman Regular" w:eastAsia="仿宋_GB2312" w:cs="Times New Roman Regular"/>
          <w:color w:val="auto"/>
          <w:sz w:val="32"/>
          <w:szCs w:val="32"/>
          <w:highlight w:val="none"/>
          <w:lang w:val="en-US" w:eastAsia="zh-CN"/>
        </w:rPr>
        <w:t>万元，对个人和家庭补助支出</w:t>
      </w:r>
      <w:r>
        <w:rPr>
          <w:rFonts w:hint="eastAsia" w:ascii="Times New Roman Regular" w:hAnsi="Times New Roman Regular" w:eastAsia="仿宋_GB2312" w:cs="Times New Roman Regular"/>
          <w:color w:val="auto"/>
          <w:sz w:val="32"/>
          <w:szCs w:val="32"/>
          <w:highlight w:val="none"/>
          <w:lang w:val="en-US" w:eastAsia="zh-CN"/>
        </w:rPr>
        <w:t>516.67</w:t>
      </w:r>
      <w:r>
        <w:rPr>
          <w:rFonts w:hint="default" w:ascii="Times New Roman Regular" w:hAnsi="Times New Roman Regular" w:eastAsia="仿宋_GB2312" w:cs="Times New Roman Regular"/>
          <w:color w:val="auto"/>
          <w:sz w:val="32"/>
          <w:szCs w:val="32"/>
          <w:highlight w:val="none"/>
          <w:lang w:val="en-US" w:eastAsia="zh-CN"/>
        </w:rPr>
        <w:t>万元，资本性支出</w:t>
      </w:r>
      <w:r>
        <w:rPr>
          <w:rFonts w:hint="eastAsia" w:ascii="Times New Roman Regular" w:hAnsi="Times New Roman Regular" w:eastAsia="仿宋_GB2312" w:cs="Times New Roman Regular"/>
          <w:color w:val="auto"/>
          <w:sz w:val="32"/>
          <w:szCs w:val="32"/>
          <w:highlight w:val="none"/>
          <w:lang w:val="en-US" w:eastAsia="zh-CN"/>
        </w:rPr>
        <w:t>3.82</w:t>
      </w:r>
      <w:r>
        <w:rPr>
          <w:rFonts w:hint="default" w:ascii="Times New Roman Regular" w:hAnsi="Times New Roman Regular" w:eastAsia="仿宋_GB2312" w:cs="Times New Roman Regular"/>
          <w:color w:val="auto"/>
          <w:sz w:val="32"/>
          <w:szCs w:val="32"/>
          <w:highlight w:val="none"/>
          <w:lang w:val="en-US" w:eastAsia="zh-CN"/>
        </w:rPr>
        <w:t>万元。</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市卫健委部门基本支出为用于保障机构正常运转和完成日常工作任务而产生的支出，包括用于基本工资、津贴补贴、退休费等人员经费以及办公费、印刷费、水电费、办公设备购置、公务用车运行维护等日常公用经费。</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2.资金管理情况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市卫健委部门严格按照财政部门批复的预算执行，资金使用遵循“先有预算、后有支出”原则，确保支出合规、合理。建立健全了财务管理制度，明确资金审批流程、报销标准，确保资金使用规范，杜绝挪用、挤占等情况。对基本支出的执行情况进行动态监控，及时分析预算执行偏差，保障资金使用效益。</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3.“三公”经费的使用和管理情况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年市卫健委部门一般公共预算“三公经费”年初预算数</w:t>
      </w:r>
      <w:r>
        <w:rPr>
          <w:rFonts w:hint="eastAsia" w:ascii="Times New Roman Regular" w:hAnsi="Times New Roman Regular" w:eastAsia="仿宋_GB2312" w:cs="Times New Roman Regular"/>
          <w:color w:val="auto"/>
          <w:sz w:val="32"/>
          <w:szCs w:val="32"/>
          <w:highlight w:val="none"/>
          <w:lang w:val="en-US" w:eastAsia="zh-CN"/>
        </w:rPr>
        <w:t>65.52</w:t>
      </w:r>
      <w:r>
        <w:rPr>
          <w:rFonts w:hint="default" w:ascii="Times New Roman Regular" w:hAnsi="Times New Roman Regular" w:eastAsia="仿宋_GB2312" w:cs="Times New Roman Regular"/>
          <w:color w:val="auto"/>
          <w:sz w:val="32"/>
          <w:szCs w:val="32"/>
          <w:highlight w:val="none"/>
          <w:lang w:val="en-US" w:eastAsia="zh-CN"/>
        </w:rPr>
        <w:t>万，全年执行数为</w:t>
      </w:r>
      <w:r>
        <w:rPr>
          <w:rFonts w:hint="eastAsia" w:ascii="Times New Roman Regular" w:hAnsi="Times New Roman Regular" w:eastAsia="仿宋_GB2312" w:cs="Times New Roman Regular"/>
          <w:color w:val="auto"/>
          <w:sz w:val="32"/>
          <w:szCs w:val="32"/>
          <w:highlight w:val="none"/>
          <w:lang w:val="en-US" w:eastAsia="zh-CN"/>
        </w:rPr>
        <w:t>49.69</w:t>
      </w:r>
      <w:r>
        <w:rPr>
          <w:rFonts w:hint="default" w:ascii="Times New Roman Regular" w:hAnsi="Times New Roman Regular" w:eastAsia="仿宋_GB2312" w:cs="Times New Roman Regular"/>
          <w:color w:val="auto"/>
          <w:sz w:val="32"/>
          <w:szCs w:val="32"/>
          <w:highlight w:val="none"/>
          <w:lang w:val="en-US" w:eastAsia="zh-CN"/>
        </w:rPr>
        <w:t>万元，其中公务用车购置及运行维护费</w:t>
      </w:r>
      <w:r>
        <w:rPr>
          <w:rFonts w:hint="eastAsia" w:ascii="Times New Roman Regular" w:hAnsi="Times New Roman Regular" w:eastAsia="仿宋_GB2312" w:cs="Times New Roman Regular"/>
          <w:color w:val="auto"/>
          <w:sz w:val="32"/>
          <w:szCs w:val="32"/>
          <w:highlight w:val="none"/>
          <w:lang w:val="en-US" w:eastAsia="zh-CN"/>
        </w:rPr>
        <w:t>48.12</w:t>
      </w:r>
      <w:r>
        <w:rPr>
          <w:rFonts w:hint="default" w:ascii="Times New Roman Regular" w:hAnsi="Times New Roman Regular" w:eastAsia="仿宋_GB2312" w:cs="Times New Roman Regular"/>
          <w:color w:val="auto"/>
          <w:sz w:val="32"/>
          <w:szCs w:val="32"/>
          <w:highlight w:val="none"/>
          <w:lang w:val="en-US" w:eastAsia="zh-CN"/>
        </w:rPr>
        <w:t>万元，公务接待费</w:t>
      </w:r>
      <w:r>
        <w:rPr>
          <w:rFonts w:hint="eastAsia" w:ascii="Times New Roman Regular" w:hAnsi="Times New Roman Regular" w:eastAsia="仿宋_GB2312" w:cs="Times New Roman Regular"/>
          <w:color w:val="auto"/>
          <w:sz w:val="32"/>
          <w:szCs w:val="32"/>
          <w:highlight w:val="none"/>
          <w:lang w:val="en-US" w:eastAsia="zh-CN"/>
        </w:rPr>
        <w:t>1.57</w:t>
      </w:r>
      <w:r>
        <w:rPr>
          <w:rFonts w:hint="default" w:ascii="Times New Roman Regular" w:hAnsi="Times New Roman Regular" w:eastAsia="仿宋_GB2312" w:cs="Times New Roman Regular"/>
          <w:color w:val="auto"/>
          <w:sz w:val="32"/>
          <w:szCs w:val="32"/>
          <w:highlight w:val="none"/>
          <w:lang w:val="en-US" w:eastAsia="zh-CN"/>
        </w:rPr>
        <w:t>万元，因公出国（境）费用0万元。本年“三公经费”执行数比上年减少3.</w:t>
      </w:r>
      <w:r>
        <w:rPr>
          <w:rFonts w:hint="eastAsia" w:ascii="Times New Roman Regular" w:hAnsi="Times New Roman Regular" w:eastAsia="仿宋_GB2312" w:cs="Times New Roman Regular"/>
          <w:color w:val="auto"/>
          <w:sz w:val="32"/>
          <w:szCs w:val="32"/>
          <w:highlight w:val="none"/>
          <w:lang w:val="en-US" w:eastAsia="zh-CN"/>
        </w:rPr>
        <w:t>35</w:t>
      </w:r>
      <w:r>
        <w:rPr>
          <w:rFonts w:hint="default" w:ascii="Times New Roman Regular" w:hAnsi="Times New Roman Regular" w:eastAsia="仿宋_GB2312" w:cs="Times New Roman Regular"/>
          <w:color w:val="auto"/>
          <w:sz w:val="32"/>
          <w:szCs w:val="32"/>
          <w:highlight w:val="none"/>
          <w:lang w:val="en-US" w:eastAsia="zh-CN"/>
        </w:rPr>
        <w:t>万元，减少6</w:t>
      </w:r>
      <w:r>
        <w:rPr>
          <w:rFonts w:hint="eastAsia" w:ascii="Times New Roman Regular" w:hAnsi="Times New Roman Regular" w:eastAsia="仿宋_GB2312" w:cs="Times New Roman Regular"/>
          <w:color w:val="auto"/>
          <w:sz w:val="32"/>
          <w:szCs w:val="32"/>
          <w:highlight w:val="none"/>
          <w:lang w:val="en-US" w:eastAsia="zh-CN"/>
        </w:rPr>
        <w:t>.32</w:t>
      </w:r>
      <w:r>
        <w:rPr>
          <w:rFonts w:hint="default" w:ascii="Times New Roman Regular" w:hAnsi="Times New Roman Regular" w:eastAsia="仿宋_GB2312" w:cs="Times New Roman Regular"/>
          <w:color w:val="auto"/>
          <w:sz w:val="32"/>
          <w:szCs w:val="32"/>
          <w:highlight w:val="none"/>
          <w:lang w:val="en-US" w:eastAsia="zh-CN"/>
        </w:rPr>
        <w:t>%。减少的原因：严格落实“过紧日子”要求，压减“三公”经费预算，严格审批“三公”经费支出</w:t>
      </w:r>
      <w:r>
        <w:rPr>
          <w:rFonts w:hint="eastAsia" w:ascii="Times New Roman Regular" w:hAnsi="Times New Roman Regular" w:eastAsia="仿宋_GB2312" w:cs="Times New Roman Regular"/>
          <w:color w:val="auto"/>
          <w:sz w:val="32"/>
          <w:szCs w:val="32"/>
          <w:highlight w:val="none"/>
          <w:lang w:val="en-US" w:eastAsia="zh-CN"/>
        </w:rPr>
        <w:t>，且下半年根据市财政公务接待管理要求，不再开支公务接待费</w:t>
      </w:r>
      <w:r>
        <w:rPr>
          <w:rFonts w:hint="default"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市卫健委加强预算编制源头管理.建立健全“三公”经费支出审核机制。加强有关支出必要性、合理性审核，无预算不开支，有预算少开支，</w:t>
      </w:r>
      <w:r>
        <w:rPr>
          <w:rFonts w:hint="eastAsia" w:ascii="Times New Roman Regular" w:hAnsi="Times New Roman Regular" w:eastAsia="仿宋_GB2312" w:cs="Times New Roman Regular"/>
          <w:color w:val="auto"/>
          <w:sz w:val="32"/>
          <w:szCs w:val="32"/>
          <w:highlight w:val="none"/>
          <w:lang w:val="en-US" w:eastAsia="zh-CN"/>
        </w:rPr>
        <w:t>严禁</w:t>
      </w:r>
      <w:r>
        <w:rPr>
          <w:rFonts w:hint="default" w:ascii="Times New Roman Regular" w:hAnsi="Times New Roman Regular" w:eastAsia="仿宋_GB2312" w:cs="Times New Roman Regular"/>
          <w:color w:val="auto"/>
          <w:sz w:val="32"/>
          <w:szCs w:val="32"/>
          <w:highlight w:val="none"/>
          <w:lang w:val="en-US" w:eastAsia="zh-CN"/>
        </w:rPr>
        <w:t>公务接待，严控公务用车购置和运行维护支出。依法依规公开“三公”经费支出情况，严格落实单位预决算公开要求，坚决贯彻落实中央、省、市厉行节约反对浪费的有关要求，严格执行中央“八项规定”</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年市卫健委部门一般公共预算项目支出年初预算</w:t>
      </w:r>
      <w:r>
        <w:rPr>
          <w:rFonts w:hint="eastAsia" w:ascii="Times New Roman Regular" w:hAnsi="Times New Roman Regular" w:eastAsia="仿宋_GB2312" w:cs="Times New Roman Regular"/>
          <w:color w:val="auto"/>
          <w:sz w:val="32"/>
          <w:szCs w:val="32"/>
          <w:highlight w:val="none"/>
          <w:lang w:val="en-US" w:eastAsia="zh-CN"/>
        </w:rPr>
        <w:t>879.8</w:t>
      </w:r>
      <w:r>
        <w:rPr>
          <w:rFonts w:hint="default" w:ascii="Times New Roman Regular" w:hAnsi="Times New Roman Regular" w:eastAsia="仿宋_GB2312" w:cs="Times New Roman Regular"/>
          <w:color w:val="auto"/>
          <w:sz w:val="32"/>
          <w:szCs w:val="32"/>
          <w:highlight w:val="none"/>
          <w:lang w:val="en-US" w:eastAsia="zh-CN"/>
        </w:rPr>
        <w:t>万元，专项资金项目全年收入</w:t>
      </w:r>
      <w:r>
        <w:rPr>
          <w:rFonts w:hint="eastAsia" w:ascii="Times New Roman Regular" w:hAnsi="Times New Roman Regular" w:eastAsia="仿宋_GB2312" w:cs="Times New Roman Regular"/>
          <w:color w:val="auto"/>
          <w:sz w:val="32"/>
          <w:szCs w:val="32"/>
          <w:highlight w:val="none"/>
          <w:lang w:val="en-US" w:eastAsia="zh-CN"/>
        </w:rPr>
        <w:t>3644.7</w:t>
      </w:r>
      <w:r>
        <w:rPr>
          <w:rFonts w:hint="default" w:ascii="Times New Roman Regular" w:hAnsi="Times New Roman Regular" w:eastAsia="仿宋_GB2312" w:cs="Times New Roman Regular"/>
          <w:color w:val="auto"/>
          <w:sz w:val="32"/>
          <w:szCs w:val="32"/>
          <w:highlight w:val="none"/>
          <w:lang w:val="en-US" w:eastAsia="zh-CN"/>
        </w:rPr>
        <w:t>万元，资金到位率100%，全年支出</w:t>
      </w:r>
      <w:r>
        <w:rPr>
          <w:rFonts w:hint="eastAsia" w:ascii="Times New Roman Regular" w:hAnsi="Times New Roman Regular" w:eastAsia="仿宋_GB2312" w:cs="Times New Roman Regular"/>
          <w:color w:val="auto"/>
          <w:sz w:val="32"/>
          <w:szCs w:val="32"/>
          <w:highlight w:val="none"/>
          <w:lang w:val="en-US" w:eastAsia="zh-CN"/>
        </w:rPr>
        <w:t>3644.7</w:t>
      </w:r>
      <w:r>
        <w:rPr>
          <w:rFonts w:hint="default" w:ascii="Times New Roman Regular" w:hAnsi="Times New Roman Regular" w:eastAsia="仿宋_GB2312" w:cs="Times New Roman Regular"/>
          <w:color w:val="auto"/>
          <w:sz w:val="32"/>
          <w:szCs w:val="32"/>
          <w:highlight w:val="none"/>
          <w:lang w:val="en-US" w:eastAsia="zh-CN"/>
        </w:rPr>
        <w:t>万元，资金执行率100%</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2、项目资金实际使用情况分析。</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年市卫健委部门一般公共预算项目支出</w:t>
      </w:r>
      <w:r>
        <w:rPr>
          <w:rFonts w:hint="eastAsia" w:ascii="Times New Roman Regular" w:hAnsi="Times New Roman Regular" w:eastAsia="仿宋_GB2312" w:cs="Times New Roman Regular"/>
          <w:color w:val="auto"/>
          <w:sz w:val="32"/>
          <w:szCs w:val="32"/>
          <w:highlight w:val="none"/>
          <w:lang w:val="en-US" w:eastAsia="zh-CN"/>
        </w:rPr>
        <w:t>3644.7</w:t>
      </w:r>
      <w:r>
        <w:rPr>
          <w:rFonts w:hint="default" w:ascii="Times New Roman Regular" w:hAnsi="Times New Roman Regular" w:eastAsia="仿宋_GB2312" w:cs="Times New Roman Regular"/>
          <w:color w:val="auto"/>
          <w:sz w:val="32"/>
          <w:szCs w:val="32"/>
          <w:highlight w:val="none"/>
          <w:lang w:val="en-US" w:eastAsia="zh-CN"/>
        </w:rPr>
        <w:t>万元，主要用于</w:t>
      </w:r>
      <w:r>
        <w:rPr>
          <w:rFonts w:hint="eastAsia" w:ascii="Times New Roman Regular" w:hAnsi="Times New Roman Regular" w:eastAsia="仿宋_GB2312" w:cs="Times New Roman Regular"/>
          <w:color w:val="auto"/>
          <w:sz w:val="32"/>
          <w:szCs w:val="32"/>
          <w:highlight w:val="none"/>
          <w:lang w:val="en-US" w:eastAsia="zh-CN"/>
        </w:rPr>
        <w:t>工资福利支出22.92万元，</w:t>
      </w:r>
      <w:r>
        <w:rPr>
          <w:rFonts w:hint="default" w:ascii="Times New Roman Regular" w:hAnsi="Times New Roman Regular" w:eastAsia="仿宋_GB2312" w:cs="Times New Roman Regular"/>
          <w:color w:val="auto"/>
          <w:sz w:val="32"/>
          <w:szCs w:val="32"/>
          <w:highlight w:val="none"/>
          <w:lang w:val="en-US" w:eastAsia="zh-CN"/>
        </w:rPr>
        <w:t>商品和服务支出</w:t>
      </w:r>
      <w:r>
        <w:rPr>
          <w:rFonts w:hint="eastAsia" w:ascii="Times New Roman Regular" w:hAnsi="Times New Roman Regular" w:eastAsia="仿宋_GB2312" w:cs="Times New Roman Regular"/>
          <w:color w:val="auto"/>
          <w:sz w:val="32"/>
          <w:szCs w:val="32"/>
          <w:highlight w:val="none"/>
          <w:lang w:val="en-US" w:eastAsia="zh-CN"/>
        </w:rPr>
        <w:t>2026.47</w:t>
      </w:r>
      <w:r>
        <w:rPr>
          <w:rFonts w:hint="default" w:ascii="Times New Roman Regular" w:hAnsi="Times New Roman Regular" w:eastAsia="仿宋_GB2312" w:cs="Times New Roman Regular"/>
          <w:color w:val="auto"/>
          <w:sz w:val="32"/>
          <w:szCs w:val="32"/>
          <w:highlight w:val="none"/>
          <w:lang w:val="en-US" w:eastAsia="zh-CN"/>
        </w:rPr>
        <w:t>万元，对个人和家庭补助</w:t>
      </w:r>
      <w:r>
        <w:rPr>
          <w:rFonts w:hint="eastAsia" w:ascii="Times New Roman Regular" w:hAnsi="Times New Roman Regular" w:eastAsia="仿宋_GB2312" w:cs="Times New Roman Regular"/>
          <w:color w:val="auto"/>
          <w:sz w:val="32"/>
          <w:szCs w:val="32"/>
          <w:highlight w:val="none"/>
          <w:lang w:val="en-US" w:eastAsia="zh-CN"/>
        </w:rPr>
        <w:t>11.01</w:t>
      </w:r>
      <w:r>
        <w:rPr>
          <w:rFonts w:hint="default" w:ascii="Times New Roman Regular" w:hAnsi="Times New Roman Regular" w:eastAsia="仿宋_GB2312" w:cs="Times New Roman Regular"/>
          <w:color w:val="auto"/>
          <w:sz w:val="32"/>
          <w:szCs w:val="32"/>
          <w:highlight w:val="none"/>
          <w:lang w:val="en-US" w:eastAsia="zh-CN"/>
        </w:rPr>
        <w:t>万元，资本性支出</w:t>
      </w:r>
      <w:r>
        <w:rPr>
          <w:rFonts w:hint="eastAsia" w:ascii="Times New Roman Regular" w:hAnsi="Times New Roman Regular" w:eastAsia="仿宋_GB2312" w:cs="Times New Roman Regular"/>
          <w:color w:val="auto"/>
          <w:sz w:val="32"/>
          <w:szCs w:val="32"/>
          <w:highlight w:val="none"/>
          <w:lang w:val="en-US" w:eastAsia="zh-CN"/>
        </w:rPr>
        <w:t>1584.3</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3、项目资金管理情况分析，主要包括管理制度、办法的制订及执行情况。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市卫健委为加强财务管理，规范财务行为，完善了内部会计控制制度，制定了财务管理制度、经费开支审批管理办法、专项资金使用管理办法，同时根据《会计法》《预算法》《行政单位财务规则》等法律制度和财政部门的有关规定，坚持“依法理财、厉行节约、严格审批”的原则，每年安排会议专题研究机关预算安排，重大财务支出坚持集体研究、集体决策。</w:t>
      </w:r>
      <w:r>
        <w:rPr>
          <w:rFonts w:hint="eastAsia" w:ascii="Times New Roman Regular" w:hAnsi="Times New Roman Regular" w:eastAsia="仿宋_GB2312" w:cs="Times New Roman Regular"/>
          <w:color w:val="auto"/>
          <w:sz w:val="32"/>
          <w:szCs w:val="32"/>
          <w:highlight w:val="none"/>
          <w:lang w:val="en-US" w:eastAsia="zh-CN"/>
        </w:rPr>
        <w:t>项目资金使用单位及科室严格执行资金预算安排，不超支、不超标，严格把资金支出数控制在预算内，同时坚</w:t>
      </w:r>
      <w:r>
        <w:rPr>
          <w:rFonts w:hint="default" w:ascii="Times New Roman Regular" w:hAnsi="Times New Roman Regular" w:eastAsia="仿宋_GB2312" w:cs="Times New Roman Regular"/>
          <w:color w:val="auto"/>
          <w:sz w:val="32"/>
          <w:szCs w:val="32"/>
          <w:highlight w:val="none"/>
          <w:lang w:val="en-US" w:eastAsia="zh-CN"/>
        </w:rPr>
        <w:t>持专款专用的原则</w:t>
      </w:r>
      <w:r>
        <w:rPr>
          <w:rFonts w:hint="eastAsia" w:ascii="Times New Roman Regular" w:hAnsi="Times New Roman Regular" w:eastAsia="仿宋_GB2312" w:cs="Times New Roman Regular"/>
          <w:color w:val="auto"/>
          <w:sz w:val="32"/>
          <w:szCs w:val="32"/>
          <w:highlight w:val="none"/>
          <w:lang w:val="en-US" w:eastAsia="zh-CN"/>
        </w:rPr>
        <w:t>，做到无虚列套取、截留、挤占、挪用。</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我部门项目组织实施严格按照政府采购程序执行，在项目预算编制、采购方式确定、招投标、项目验收等环节按照相关规定实施</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为加强专项项目管理，市卫健委就重点专项项目制定了《专项资金管理制度》等多项专项业务管理办法，专项资金的使用、管理严格按制度执行，大额资金开会集体审议，确保资金使用公开、公正、科学、高效、专款专用、不挤占、挪用、借用或随意调整，资金支付依据和开支标准合法合规，需政府采购的项目严格执行政府采购流程，费用支出报账按照预算规定的费用项目和用途进行资金使用审核、列报支付、财务核算，杜绝超支现象的发生。</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实施过程中，严格按照财政绩效管理有关规定，做好事前编制、事中监管、事后评价，严格执行专项资金使用制度和财务制度，同时对各项专项资金的使用流程进行监督，定时查看财务报表检查专项资金使用情况，做到全流程监督管理</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市卫健委制定</w:t>
      </w:r>
      <w:r>
        <w:rPr>
          <w:rFonts w:hint="eastAsia" w:ascii="Times New Roman Regular" w:hAnsi="Times New Roman Regular" w:eastAsia="仿宋_GB2312" w:cs="Times New Roman Regular"/>
          <w:color w:val="auto"/>
          <w:sz w:val="32"/>
          <w:szCs w:val="32"/>
          <w:highlight w:val="none"/>
          <w:lang w:val="en-US" w:eastAsia="zh-CN"/>
        </w:rPr>
        <w:t>并完善</w:t>
      </w:r>
      <w:r>
        <w:rPr>
          <w:rFonts w:hint="default" w:ascii="Times New Roman Regular" w:hAnsi="Times New Roman Regular" w:eastAsia="仿宋_GB2312" w:cs="Times New Roman Regular"/>
          <w:color w:val="auto"/>
          <w:sz w:val="32"/>
          <w:szCs w:val="32"/>
          <w:highlight w:val="none"/>
          <w:lang w:val="en-US" w:eastAsia="zh-CN"/>
        </w:rPr>
        <w:t>内部管理制度，所有资产统一采购、专人管理、定期盘点、集中处置、严格追责，有效防止了国有资产流失。</w:t>
      </w:r>
      <w:r>
        <w:rPr>
          <w:rFonts w:hint="eastAsia" w:ascii="Times New Roman Regular" w:hAnsi="Times New Roman Regular" w:eastAsia="仿宋_GB2312" w:cs="Times New Roman Regular"/>
          <w:color w:val="auto"/>
          <w:sz w:val="32"/>
          <w:szCs w:val="32"/>
          <w:highlight w:val="none"/>
          <w:lang w:val="en-US" w:eastAsia="zh-CN"/>
        </w:rPr>
        <w:t>在编制下年预算时，严格</w:t>
      </w:r>
      <w:r>
        <w:rPr>
          <w:rFonts w:hint="default" w:ascii="Times New Roman Regular" w:hAnsi="Times New Roman Regular" w:eastAsia="仿宋_GB2312" w:cs="Times New Roman Regular"/>
          <w:color w:val="auto"/>
          <w:sz w:val="32"/>
          <w:szCs w:val="32"/>
          <w:highlight w:val="none"/>
          <w:lang w:val="en-US" w:eastAsia="zh-CN"/>
        </w:rPr>
        <w:t>做好</w:t>
      </w:r>
      <w:r>
        <w:rPr>
          <w:rFonts w:hint="eastAsia" w:ascii="Times New Roman Regular" w:hAnsi="Times New Roman Regular" w:eastAsia="仿宋_GB2312" w:cs="Times New Roman Regular"/>
          <w:color w:val="auto"/>
          <w:sz w:val="32"/>
          <w:szCs w:val="32"/>
          <w:highlight w:val="none"/>
          <w:lang w:val="en-US" w:eastAsia="zh-CN"/>
        </w:rPr>
        <w:t>资产采购</w:t>
      </w:r>
      <w:r>
        <w:rPr>
          <w:rFonts w:hint="default" w:ascii="Times New Roman Regular" w:hAnsi="Times New Roman Regular" w:eastAsia="仿宋_GB2312" w:cs="Times New Roman Regular"/>
          <w:color w:val="auto"/>
          <w:sz w:val="32"/>
          <w:szCs w:val="32"/>
          <w:highlight w:val="none"/>
          <w:lang w:val="en-US" w:eastAsia="zh-CN"/>
        </w:rPr>
        <w:t>预算编制，</w:t>
      </w:r>
      <w:r>
        <w:rPr>
          <w:rFonts w:hint="eastAsia" w:ascii="Times New Roman Regular" w:hAnsi="Times New Roman Regular" w:eastAsia="仿宋_GB2312" w:cs="Times New Roman Regular"/>
          <w:color w:val="auto"/>
          <w:sz w:val="32"/>
          <w:szCs w:val="32"/>
          <w:highlight w:val="none"/>
          <w:lang w:val="en-US" w:eastAsia="zh-CN"/>
        </w:rPr>
        <w:t>根据部门资产实际情况</w:t>
      </w:r>
      <w:r>
        <w:rPr>
          <w:rFonts w:hint="default" w:ascii="Times New Roman Regular" w:hAnsi="Times New Roman Regular" w:eastAsia="仿宋_GB2312" w:cs="Times New Roman Regular"/>
          <w:color w:val="auto"/>
          <w:sz w:val="32"/>
          <w:szCs w:val="32"/>
          <w:highlight w:val="none"/>
          <w:lang w:val="en-US" w:eastAsia="zh-CN"/>
        </w:rPr>
        <w:t>合理配置</w:t>
      </w:r>
      <w:r>
        <w:rPr>
          <w:rFonts w:hint="eastAsia" w:ascii="Times New Roman Regular" w:hAnsi="Times New Roman Regular" w:eastAsia="仿宋_GB2312" w:cs="Times New Roman Regular"/>
          <w:color w:val="auto"/>
          <w:sz w:val="32"/>
          <w:szCs w:val="32"/>
          <w:highlight w:val="none"/>
          <w:lang w:val="en-US" w:eastAsia="zh-CN"/>
        </w:rPr>
        <w:t>资产</w:t>
      </w:r>
      <w:r>
        <w:rPr>
          <w:rFonts w:hint="default" w:ascii="Times New Roman Regular" w:hAnsi="Times New Roman Regular" w:eastAsia="仿宋_GB2312" w:cs="Times New Roman Regular"/>
          <w:color w:val="auto"/>
          <w:sz w:val="32"/>
          <w:szCs w:val="32"/>
          <w:highlight w:val="none"/>
          <w:lang w:val="en-US" w:eastAsia="zh-CN"/>
        </w:rPr>
        <w:t>预算，</w:t>
      </w:r>
      <w:r>
        <w:rPr>
          <w:rFonts w:hint="eastAsia" w:ascii="Times New Roman Regular" w:hAnsi="Times New Roman Regular" w:eastAsia="仿宋_GB2312" w:cs="Times New Roman Regular"/>
          <w:color w:val="auto"/>
          <w:sz w:val="32"/>
          <w:szCs w:val="32"/>
          <w:highlight w:val="none"/>
          <w:lang w:val="en-US" w:eastAsia="zh-CN"/>
        </w:rPr>
        <w:t>同时</w:t>
      </w:r>
      <w:r>
        <w:rPr>
          <w:rFonts w:hint="default" w:ascii="Times New Roman Regular" w:hAnsi="Times New Roman Regular" w:eastAsia="仿宋_GB2312" w:cs="Times New Roman Regular"/>
          <w:color w:val="auto"/>
          <w:sz w:val="32"/>
          <w:szCs w:val="32"/>
          <w:highlight w:val="none"/>
          <w:lang w:val="en-US" w:eastAsia="zh-CN"/>
        </w:rPr>
        <w:t>依托财政资产管理系统，对新增资产及时登记卡片，实时更新资产使用状态，管理到人、责任到人；对待报废资产，严格按照财政、机关事务局相关规定，按程序及时处置；对闲置资产，及时报审机关事务局，做好闲置资产入仓工作，盘活利用闲置资产。</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本部门无政府性基金预算支出</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本部门无</w:t>
      </w:r>
      <w:r>
        <w:rPr>
          <w:rFonts w:hint="default" w:ascii="Times New Roman Regular" w:hAnsi="Times New Roman Regular" w:eastAsia="仿宋_GB2312" w:cs="Times New Roman Regular"/>
          <w:color w:val="auto"/>
          <w:sz w:val="32"/>
          <w:szCs w:val="32"/>
          <w:highlight w:val="none"/>
          <w:lang w:val="en-US" w:eastAsia="zh-CN"/>
        </w:rPr>
        <w:t>国有资本经营预算支出</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本部门无</w:t>
      </w:r>
      <w:r>
        <w:rPr>
          <w:rFonts w:hint="default" w:ascii="Times New Roman Regular" w:hAnsi="Times New Roman Regular" w:eastAsia="仿宋_GB2312" w:cs="Times New Roman Regular"/>
          <w:color w:val="auto"/>
          <w:sz w:val="32"/>
          <w:szCs w:val="32"/>
          <w:highlight w:val="none"/>
          <w:lang w:val="en-US" w:eastAsia="zh-CN"/>
        </w:rPr>
        <w:t>社会保险基金预算支出</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根据评价指标体系测算，本部门202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年度部门整体支出绩效评价得分为98分，评分等级为优秀。详见附件“整体支出绩效自评表”。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（二）评价指标分析</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1.整体绩效目标设定</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市卫健委部门年度年度总体目标为：加快推进区域医疗卫生中心建设；大力实施健康怀化行动；持续深化医疗卫生体制改革；完善公共卫生服务体系；强化重点人群健康保障；积极推进中医药传承创新发展；坚定不移推进“清廉医院”建设等。</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2.部门预算配置、执行、管理。</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年市卫健委部门预年初预算为</w:t>
      </w:r>
      <w:r>
        <w:rPr>
          <w:rFonts w:hint="eastAsia" w:ascii="Times New Roman Regular" w:hAnsi="Times New Roman Regular" w:eastAsia="仿宋_GB2312" w:cs="Times New Roman Regular"/>
          <w:color w:val="auto"/>
          <w:sz w:val="32"/>
          <w:szCs w:val="32"/>
          <w:highlight w:val="none"/>
          <w:lang w:val="en-US" w:eastAsia="zh-CN"/>
        </w:rPr>
        <w:t>9695.73</w:t>
      </w:r>
      <w:r>
        <w:rPr>
          <w:rFonts w:hint="default" w:ascii="Times New Roman Regular" w:hAnsi="Times New Roman Regular" w:eastAsia="仿宋_GB2312" w:cs="Times New Roman Regular"/>
          <w:color w:val="auto"/>
          <w:sz w:val="32"/>
          <w:szCs w:val="32"/>
          <w:highlight w:val="none"/>
          <w:lang w:val="en-US" w:eastAsia="zh-CN"/>
        </w:rPr>
        <w:t>万元，全年预算数为</w:t>
      </w:r>
      <w:r>
        <w:rPr>
          <w:rFonts w:hint="eastAsia" w:ascii="Times New Roman Regular" w:hAnsi="Times New Roman Regular" w:eastAsia="仿宋_GB2312" w:cs="Times New Roman Regular"/>
          <w:color w:val="auto"/>
          <w:sz w:val="32"/>
          <w:szCs w:val="32"/>
          <w:highlight w:val="none"/>
          <w:lang w:val="en-US" w:eastAsia="zh-CN"/>
        </w:rPr>
        <w:t>12940.55</w:t>
      </w:r>
      <w:r>
        <w:rPr>
          <w:rFonts w:hint="default" w:ascii="Times New Roman Regular" w:hAnsi="Times New Roman Regular" w:eastAsia="仿宋_GB2312" w:cs="Times New Roman Regular"/>
          <w:color w:val="auto"/>
          <w:sz w:val="32"/>
          <w:szCs w:val="32"/>
          <w:highlight w:val="none"/>
          <w:lang w:val="en-US" w:eastAsia="zh-CN"/>
        </w:rPr>
        <w:t>万元，全年预算执行数为</w:t>
      </w:r>
      <w:r>
        <w:rPr>
          <w:rFonts w:hint="eastAsia" w:ascii="Times New Roman Regular" w:hAnsi="Times New Roman Regular" w:eastAsia="仿宋_GB2312" w:cs="Times New Roman Regular"/>
          <w:color w:val="auto"/>
          <w:sz w:val="32"/>
          <w:szCs w:val="32"/>
          <w:highlight w:val="none"/>
          <w:lang w:val="en-US" w:eastAsia="zh-CN"/>
        </w:rPr>
        <w:t>12940.55</w:t>
      </w:r>
      <w:r>
        <w:rPr>
          <w:rFonts w:hint="default" w:ascii="Times New Roman Regular" w:hAnsi="Times New Roman Regular" w:eastAsia="仿宋_GB2312" w:cs="Times New Roman Regular"/>
          <w:color w:val="auto"/>
          <w:sz w:val="32"/>
          <w:szCs w:val="32"/>
          <w:highlight w:val="none"/>
          <w:lang w:val="en-US" w:eastAsia="zh-CN"/>
        </w:rPr>
        <w:t>万元，预算执行率100%，年末部门无财政资金结转结余，资金使用高质高效</w:t>
      </w:r>
      <w:r>
        <w:rPr>
          <w:rFonts w:hint="eastAsia" w:ascii="Times New Roman Regular" w:hAnsi="Times New Roman Regular" w:eastAsia="仿宋_GB2312" w:cs="Times New Roman Regular"/>
          <w:color w:val="auto"/>
          <w:sz w:val="32"/>
          <w:szCs w:val="32"/>
          <w:highlight w:val="none"/>
          <w:lang w:val="en-US" w:eastAsia="zh-CN"/>
        </w:rPr>
        <w:t>，资产管理规范。</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3.职责履行及履职效益</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一是</w:t>
      </w:r>
      <w:r>
        <w:rPr>
          <w:rFonts w:hint="default" w:ascii="Times New Roman Regular" w:hAnsi="Times New Roman Regular" w:eastAsia="仿宋_GB2312" w:cs="Times New Roman Regular"/>
          <w:color w:val="auto"/>
          <w:sz w:val="32"/>
          <w:szCs w:val="32"/>
          <w:highlight w:val="none"/>
          <w:lang w:val="en-US" w:eastAsia="zh-CN"/>
        </w:rPr>
        <w:t>以区域医疗中心为“新高地”，引领优质资源扩容。</w:t>
      </w:r>
      <w:r>
        <w:rPr>
          <w:rFonts w:hint="default" w:ascii="Times New Roman Regular" w:hAnsi="Times New Roman Regular" w:eastAsia="仿宋_GB2312" w:cs="Times New Roman Regular"/>
          <w:color w:val="auto"/>
          <w:sz w:val="32"/>
          <w:szCs w:val="32"/>
          <w:highlight w:val="none"/>
          <w:lang w:val="en" w:eastAsia="zh-CN"/>
        </w:rPr>
        <w:t>湘雅医院第二批医疗队2</w:t>
      </w:r>
      <w:r>
        <w:rPr>
          <w:rFonts w:hint="default"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 w:eastAsia="zh-CN"/>
        </w:rPr>
        <w:t>名帮扶专家入驻湖医总医院，湖南中医药大学第一附属医院11位专家定期帮扶市中医医院。市第二人民医院更名市中心医院，市第四人民医院更名市脑科医院。新增1个国家临床重点专科建设项目，2个省医学学科D类“筑峰”专科，获批9个省临床重点专科确认项目，15个省临床重点专科建设项目。评定第二批医卫人才工作室</w:t>
      </w:r>
      <w:r>
        <w:rPr>
          <w:rFonts w:hint="default" w:ascii="Times New Roman Regular" w:hAnsi="Times New Roman Regular" w:eastAsia="仿宋_GB2312" w:cs="Times New Roman Regular"/>
          <w:color w:val="auto"/>
          <w:sz w:val="32"/>
          <w:szCs w:val="32"/>
          <w:highlight w:val="none"/>
          <w:lang w:val="en-US" w:eastAsia="zh-CN"/>
        </w:rPr>
        <w:t>7个，</w:t>
      </w:r>
      <w:r>
        <w:rPr>
          <w:rFonts w:hint="default" w:ascii="Times New Roman Regular" w:hAnsi="Times New Roman Regular" w:eastAsia="仿宋_GB2312" w:cs="Times New Roman Regular"/>
          <w:color w:val="auto"/>
          <w:sz w:val="32"/>
          <w:szCs w:val="32"/>
          <w:highlight w:val="none"/>
          <w:lang w:val="en" w:eastAsia="zh-CN"/>
        </w:rPr>
        <w:t>省属公立医院引进博士</w:t>
      </w:r>
      <w:r>
        <w:rPr>
          <w:rFonts w:hint="default" w:ascii="Times New Roman Regular" w:hAnsi="Times New Roman Regular" w:eastAsia="仿宋_GB2312" w:cs="Times New Roman Regular"/>
          <w:color w:val="auto"/>
          <w:sz w:val="32"/>
          <w:szCs w:val="32"/>
          <w:highlight w:val="none"/>
          <w:lang w:val="en-US" w:eastAsia="zh-CN"/>
        </w:rPr>
        <w:t>54</w:t>
      </w:r>
      <w:r>
        <w:rPr>
          <w:rFonts w:hint="default" w:ascii="Times New Roman Regular" w:hAnsi="Times New Roman Regular" w:eastAsia="仿宋_GB2312" w:cs="Times New Roman Regular"/>
          <w:color w:val="auto"/>
          <w:sz w:val="32"/>
          <w:szCs w:val="32"/>
          <w:highlight w:val="none"/>
          <w:lang w:val="en" w:eastAsia="zh-CN"/>
        </w:rPr>
        <w:t>名、硕士</w:t>
      </w:r>
      <w:r>
        <w:rPr>
          <w:rFonts w:hint="default" w:ascii="Times New Roman Regular" w:hAnsi="Times New Roman Regular" w:eastAsia="仿宋_GB2312" w:cs="Times New Roman Regular"/>
          <w:color w:val="auto"/>
          <w:sz w:val="32"/>
          <w:szCs w:val="32"/>
          <w:highlight w:val="none"/>
          <w:lang w:val="en-US" w:eastAsia="zh-CN"/>
        </w:rPr>
        <w:t>14名</w:t>
      </w:r>
      <w:r>
        <w:rPr>
          <w:rFonts w:hint="default" w:ascii="Times New Roman Regular" w:hAnsi="Times New Roman Regular" w:eastAsia="仿宋_GB2312" w:cs="Times New Roman Regular"/>
          <w:color w:val="auto"/>
          <w:sz w:val="32"/>
          <w:szCs w:val="32"/>
          <w:highlight w:val="none"/>
          <w:lang w:val="en" w:eastAsia="zh-CN"/>
        </w:rPr>
        <w:t>，市直公立医院引进硕士</w:t>
      </w:r>
      <w:r>
        <w:rPr>
          <w:rFonts w:hint="default" w:ascii="Times New Roman Regular" w:hAnsi="Times New Roman Regular" w:eastAsia="仿宋_GB2312" w:cs="Times New Roman Regular"/>
          <w:color w:val="auto"/>
          <w:sz w:val="32"/>
          <w:szCs w:val="32"/>
          <w:highlight w:val="none"/>
          <w:lang w:val="en-US" w:eastAsia="zh-CN"/>
        </w:rPr>
        <w:t>15</w:t>
      </w:r>
      <w:r>
        <w:rPr>
          <w:rFonts w:hint="default" w:ascii="Times New Roman Regular" w:hAnsi="Times New Roman Regular" w:eastAsia="仿宋_GB2312" w:cs="Times New Roman Regular"/>
          <w:color w:val="auto"/>
          <w:sz w:val="32"/>
          <w:szCs w:val="32"/>
          <w:highlight w:val="none"/>
          <w:lang w:val="en" w:eastAsia="zh-CN"/>
        </w:rPr>
        <w:t>名。2025年1-6月，我市三级公立医院出院患者手术占比17.42%，较2024年上升0.21个百分点，居全省第四。截至</w:t>
      </w:r>
      <w:r>
        <w:rPr>
          <w:rFonts w:hint="default" w:ascii="Times New Roman Regular" w:hAnsi="Times New Roman Regular" w:eastAsia="仿宋_GB2312" w:cs="Times New Roman Regular"/>
          <w:color w:val="auto"/>
          <w:sz w:val="32"/>
          <w:szCs w:val="32"/>
          <w:highlight w:val="none"/>
          <w:lang w:val="en-US" w:eastAsia="zh-CN"/>
        </w:rPr>
        <w:t>11月</w:t>
      </w:r>
      <w:r>
        <w:rPr>
          <w:rFonts w:hint="default" w:ascii="Times New Roman Regular" w:hAnsi="Times New Roman Regular" w:eastAsia="仿宋_GB2312" w:cs="Times New Roman Regular"/>
          <w:color w:val="auto"/>
          <w:sz w:val="32"/>
          <w:szCs w:val="32"/>
          <w:highlight w:val="none"/>
          <w:lang w:val="en" w:eastAsia="zh-CN"/>
        </w:rPr>
        <w:t>，</w:t>
      </w:r>
      <w:r>
        <w:rPr>
          <w:rFonts w:hint="default" w:ascii="Times New Roman Regular" w:hAnsi="Times New Roman Regular" w:eastAsia="仿宋_GB2312" w:cs="Times New Roman Regular"/>
          <w:color w:val="auto"/>
          <w:sz w:val="32"/>
          <w:szCs w:val="32"/>
          <w:highlight w:val="none"/>
          <w:lang w:val="en-US" w:eastAsia="zh-CN"/>
        </w:rPr>
        <w:t>市域内住院率91.39%，居全省第二。</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二是</w:t>
      </w:r>
      <w:r>
        <w:rPr>
          <w:rFonts w:hint="default" w:ascii="Times New Roman Regular" w:hAnsi="Times New Roman Regular" w:eastAsia="仿宋_GB2312" w:cs="Times New Roman Regular"/>
          <w:color w:val="auto"/>
          <w:sz w:val="32"/>
          <w:szCs w:val="32"/>
          <w:highlight w:val="none"/>
          <w:lang w:val="en-US" w:eastAsia="zh-CN"/>
        </w:rPr>
        <w:t>以中医药发展为“金钥匙”，彰显特色健康优势。</w:t>
      </w:r>
      <w:r>
        <w:rPr>
          <w:rFonts w:hint="eastAsia" w:ascii="Times New Roman Regular" w:hAnsi="Times New Roman Regular" w:eastAsia="仿宋_GB2312" w:cs="Times New Roman Regular"/>
          <w:color w:val="auto"/>
          <w:sz w:val="32"/>
          <w:szCs w:val="32"/>
          <w:highlight w:val="none"/>
          <w:lang w:val="en-US" w:eastAsia="zh-CN"/>
        </w:rPr>
        <w:t>9</w:t>
      </w:r>
      <w:r>
        <w:rPr>
          <w:rFonts w:hint="default" w:ascii="Times New Roman Regular" w:hAnsi="Times New Roman Regular" w:eastAsia="仿宋_GB2312" w:cs="Times New Roman Regular"/>
          <w:color w:val="auto"/>
          <w:sz w:val="32"/>
          <w:szCs w:val="32"/>
          <w:highlight w:val="none"/>
          <w:lang w:val="en-US" w:eastAsia="zh-CN"/>
        </w:rPr>
        <w:t>家县级中医医院完成二甲复评审，4家县级中医医院新建院区，2家完成院区搬迁。建设旗舰中医馆44家，17家社区卫生服务中心和193家建制乡镇卫生院均能开展6类10项中医适宜技术。举办中医药文化夜市1次，开办“西学中”培训班2个，培养120人；招录农村订单定向中医医学生39人，中医全科医生转岗培训25人。获批县级中医医院“两专科一中心”项目3个；立项省级中医药科研课题1个，结题7个。落实《怀化市民族民间医药保护和促进条例》，配合市人大完成执法检查。</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三是</w:t>
      </w:r>
      <w:r>
        <w:rPr>
          <w:rFonts w:hint="default" w:ascii="Times New Roman Regular" w:hAnsi="Times New Roman Regular" w:eastAsia="仿宋_GB2312" w:cs="Times New Roman Regular"/>
          <w:color w:val="auto"/>
          <w:sz w:val="32"/>
          <w:szCs w:val="32"/>
          <w:highlight w:val="none"/>
          <w:lang w:val="en-US" w:eastAsia="zh-CN"/>
        </w:rPr>
        <w:t>以深化改革为“动力源”，激发体制机制活力。建立“三医”协作会商机制，出台《怀化市深化医药卫生体制改革 提升人民健康水平实施方案》。DIP支付方式改革覆盖425家定点医院、95%以上病种、90%以上住院基金；集采药品、医用耗材平均降价53%、69%。协同医保等部门新增7个试行医疗服务价格项目，涉及314项。全市紧密型医联体用药目录平均品种数达1292种，县乡村药品目录平均重合度达74.7%。53家二级及以上公立医疗机构接入省“三医一张网”平台，实现医学检查检验结果互认</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四是</w:t>
      </w:r>
      <w:r>
        <w:rPr>
          <w:rFonts w:hint="default" w:ascii="Times New Roman Regular" w:hAnsi="Times New Roman Regular" w:eastAsia="仿宋_GB2312" w:cs="Times New Roman Regular"/>
          <w:color w:val="auto"/>
          <w:sz w:val="32"/>
          <w:szCs w:val="32"/>
          <w:highlight w:val="none"/>
          <w:lang w:val="en-US" w:eastAsia="zh-CN"/>
        </w:rPr>
        <w:t>以体系建设为“压舱石”，筑牢基层服务网底。组建家庭医生团队2644个，签约</w:t>
      </w:r>
      <w:r>
        <w:rPr>
          <w:rFonts w:hint="default" w:ascii="Times New Roman Regular" w:hAnsi="Times New Roman Regular" w:eastAsia="仿宋_GB2312" w:cs="Times New Roman Regular"/>
          <w:color w:val="auto"/>
          <w:sz w:val="32"/>
          <w:szCs w:val="32"/>
          <w:highlight w:val="none"/>
          <w:lang w:val="en" w:eastAsia="zh-CN"/>
        </w:rPr>
        <w:t>281.04</w:t>
      </w:r>
      <w:r>
        <w:rPr>
          <w:rFonts w:hint="default" w:ascii="Times New Roman Regular" w:hAnsi="Times New Roman Regular" w:eastAsia="仿宋_GB2312" w:cs="Times New Roman Regular"/>
          <w:color w:val="auto"/>
          <w:sz w:val="32"/>
          <w:szCs w:val="32"/>
          <w:highlight w:val="none"/>
          <w:lang w:val="en-US" w:eastAsia="zh-CN"/>
        </w:rPr>
        <w:t>万人；培训乡村医生993名，均超省定任务；</w:t>
      </w:r>
      <w:r>
        <w:rPr>
          <w:rFonts w:hint="default" w:ascii="Times New Roman Regular" w:hAnsi="Times New Roman Regular" w:eastAsia="仿宋_GB2312" w:cs="Times New Roman Regular"/>
          <w:color w:val="auto"/>
          <w:sz w:val="32"/>
          <w:szCs w:val="32"/>
          <w:highlight w:val="none"/>
          <w:lang w:val="en" w:eastAsia="zh-CN"/>
        </w:rPr>
        <w:t>11</w:t>
      </w:r>
      <w:r>
        <w:rPr>
          <w:rFonts w:hint="default" w:ascii="Times New Roman Regular" w:hAnsi="Times New Roman Regular" w:eastAsia="仿宋_GB2312" w:cs="Times New Roman Regular"/>
          <w:color w:val="auto"/>
          <w:sz w:val="32"/>
          <w:szCs w:val="32"/>
          <w:highlight w:val="none"/>
          <w:lang w:val="en-US" w:eastAsia="zh-CN"/>
        </w:rPr>
        <w:t>个县域医共体达到紧密型标准；</w:t>
      </w:r>
      <w:r>
        <w:rPr>
          <w:rFonts w:hint="eastAsia" w:ascii="Times New Roman Regular" w:hAnsi="Times New Roman Regular" w:eastAsia="仿宋_GB2312" w:cs="Times New Roman Regular"/>
          <w:color w:val="auto"/>
          <w:sz w:val="32"/>
          <w:szCs w:val="32"/>
          <w:highlight w:val="none"/>
          <w:lang w:val="en-US" w:eastAsia="zh-CN"/>
        </w:rPr>
        <w:t>2个</w:t>
      </w:r>
      <w:r>
        <w:rPr>
          <w:rFonts w:hint="default" w:ascii="Times New Roman Regular" w:hAnsi="Times New Roman Regular" w:eastAsia="仿宋_GB2312" w:cs="Times New Roman Regular"/>
          <w:color w:val="auto"/>
          <w:sz w:val="32"/>
          <w:szCs w:val="32"/>
          <w:highlight w:val="none"/>
          <w:lang w:val="en-US" w:eastAsia="zh-CN"/>
        </w:rPr>
        <w:t>中心卫生院县域医疗卫生次中心建设通过市级验收。</w:t>
      </w:r>
      <w:r>
        <w:rPr>
          <w:rFonts w:hint="default" w:ascii="Times New Roman Regular" w:hAnsi="Times New Roman Regular" w:eastAsia="仿宋_GB2312" w:cs="Times New Roman Regular"/>
          <w:color w:val="auto"/>
          <w:sz w:val="32"/>
          <w:szCs w:val="32"/>
          <w:highlight w:val="none"/>
          <w:lang w:val="en" w:eastAsia="zh-CN"/>
        </w:rPr>
        <w:t>88名</w:t>
      </w:r>
      <w:r>
        <w:rPr>
          <w:rFonts w:hint="default" w:ascii="Times New Roman Regular" w:hAnsi="Times New Roman Regular" w:eastAsia="仿宋_GB2312" w:cs="Times New Roman Regular"/>
          <w:color w:val="auto"/>
          <w:sz w:val="32"/>
          <w:szCs w:val="32"/>
          <w:highlight w:val="none"/>
          <w:lang w:val="en-US" w:eastAsia="zh-CN"/>
        </w:rPr>
        <w:t>执业医师正在落实下基层服务，17人完成服务。招录农村订单定向本科医学生84人，大学生村医12名。125名专、兼职疾控监督员入驻51家医疗机构，52家二级及以上公立医疗机构完成前置软件部署任务，24家二级及以上民营医疗机构进入软件试运行阶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五是</w:t>
      </w:r>
      <w:r>
        <w:rPr>
          <w:rFonts w:hint="default" w:ascii="Times New Roman Regular" w:hAnsi="Times New Roman Regular" w:eastAsia="仿宋_GB2312" w:cs="Times New Roman Regular"/>
          <w:color w:val="auto"/>
          <w:sz w:val="32"/>
          <w:szCs w:val="32"/>
          <w:highlight w:val="none"/>
          <w:lang w:val="en-US" w:eastAsia="zh-CN"/>
        </w:rPr>
        <w:t>以人口发展为“长远计”，构建全龄友好社会。市托育综合服务中心投入运行，县托育综合服务中心完成主体工程。育儿补贴申请达105117人，审核率97.46%。发放计生奖励扶助资金2.53亿元、计生特殊家庭住院护理补贴133.3万元，购买计生健康保险124.8万元，“好孕相伴”公益项目助孕95个经济困难家庭。建成生育友好医院9家、儿童友好医院7家。全覆盖式检查医疗机构57家，核查出生医学证1023张，全市未发现有医务人员参与非法开展人类辅助生殖技术、出具虚假出生医学证明等违法违规行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六是</w:t>
      </w:r>
      <w:r>
        <w:rPr>
          <w:rFonts w:hint="default" w:ascii="Times New Roman Regular" w:hAnsi="Times New Roman Regular" w:eastAsia="仿宋_GB2312" w:cs="Times New Roman Regular"/>
          <w:color w:val="auto"/>
          <w:sz w:val="32"/>
          <w:szCs w:val="32"/>
          <w:highlight w:val="none"/>
          <w:lang w:val="en-US" w:eastAsia="zh-CN"/>
        </w:rPr>
        <w:t>以民生福祉为“温度计”，检验事业发展成效。全市线上线下检查检验结果互认16.3万人次，为患者节约资金455万元。完成新生儿疾病免费筛查与诊断服务2</w:t>
      </w:r>
      <w:r>
        <w:rPr>
          <w:rFonts w:hint="default" w:ascii="Times New Roman Regular" w:hAnsi="Times New Roman Regular" w:eastAsia="仿宋_GB2312" w:cs="Times New Roman Regular"/>
          <w:color w:val="auto"/>
          <w:sz w:val="32"/>
          <w:szCs w:val="32"/>
          <w:highlight w:val="none"/>
          <w:lang w:val="en" w:eastAsia="zh-CN"/>
        </w:rPr>
        <w:t>2521</w:t>
      </w:r>
      <w:r>
        <w:rPr>
          <w:rFonts w:hint="default" w:ascii="Times New Roman Regular" w:hAnsi="Times New Roman Regular" w:eastAsia="仿宋_GB2312" w:cs="Times New Roman Regular"/>
          <w:color w:val="auto"/>
          <w:sz w:val="32"/>
          <w:szCs w:val="32"/>
          <w:highlight w:val="none"/>
          <w:lang w:val="en-US" w:eastAsia="zh-CN"/>
        </w:rPr>
        <w:t>人，癌症高危人群评估</w:t>
      </w:r>
      <w:r>
        <w:rPr>
          <w:rFonts w:hint="default" w:ascii="Times New Roman Regular" w:hAnsi="Times New Roman Regular" w:eastAsia="仿宋_GB2312" w:cs="Times New Roman Regular"/>
          <w:color w:val="auto"/>
          <w:sz w:val="32"/>
          <w:szCs w:val="32"/>
          <w:highlight w:val="none"/>
          <w:lang w:val="en" w:eastAsia="zh-CN"/>
        </w:rPr>
        <w:t>8467</w:t>
      </w:r>
      <w:r>
        <w:rPr>
          <w:rFonts w:hint="default" w:ascii="Times New Roman Regular" w:hAnsi="Times New Roman Regular" w:eastAsia="仿宋_GB2312" w:cs="Times New Roman Regular"/>
          <w:color w:val="auto"/>
          <w:sz w:val="32"/>
          <w:szCs w:val="32"/>
          <w:highlight w:val="none"/>
          <w:lang w:val="en-US" w:eastAsia="zh-CN"/>
        </w:rPr>
        <w:t>人，城市癌症筛查10</w:t>
      </w:r>
      <w:r>
        <w:rPr>
          <w:rFonts w:hint="default" w:ascii="Times New Roman Regular" w:hAnsi="Times New Roman Regular" w:eastAsia="仿宋_GB2312" w:cs="Times New Roman Regular"/>
          <w:color w:val="auto"/>
          <w:sz w:val="32"/>
          <w:szCs w:val="32"/>
          <w:highlight w:val="none"/>
          <w:lang w:val="en" w:eastAsia="zh-CN"/>
        </w:rPr>
        <w:t>79</w:t>
      </w:r>
      <w:r>
        <w:rPr>
          <w:rFonts w:hint="default" w:ascii="Times New Roman Regular" w:hAnsi="Times New Roman Regular" w:eastAsia="仿宋_GB2312" w:cs="Times New Roman Regular"/>
          <w:color w:val="auto"/>
          <w:sz w:val="32"/>
          <w:szCs w:val="32"/>
          <w:highlight w:val="none"/>
          <w:lang w:val="en-US" w:eastAsia="zh-CN"/>
        </w:rPr>
        <w:t>人，口腔癌筛查7</w:t>
      </w:r>
      <w:r>
        <w:rPr>
          <w:rFonts w:hint="default" w:ascii="Times New Roman Regular" w:hAnsi="Times New Roman Regular" w:eastAsia="仿宋_GB2312" w:cs="Times New Roman Regular"/>
          <w:color w:val="auto"/>
          <w:sz w:val="32"/>
          <w:szCs w:val="32"/>
          <w:highlight w:val="none"/>
          <w:lang w:val="en" w:eastAsia="zh-CN"/>
        </w:rPr>
        <w:t>34</w:t>
      </w:r>
      <w:r>
        <w:rPr>
          <w:rFonts w:hint="default" w:ascii="Times New Roman Regular" w:hAnsi="Times New Roman Regular" w:eastAsia="仿宋_GB2312" w:cs="Times New Roman Regular"/>
          <w:color w:val="auto"/>
          <w:sz w:val="32"/>
          <w:szCs w:val="32"/>
          <w:highlight w:val="none"/>
          <w:lang w:val="en-US" w:eastAsia="zh-CN"/>
        </w:rPr>
        <w:t>人，肺癌筛查143</w:t>
      </w:r>
      <w:r>
        <w:rPr>
          <w:rFonts w:hint="default" w:ascii="Times New Roman Regular" w:hAnsi="Times New Roman Regular" w:eastAsia="仿宋_GB2312" w:cs="Times New Roman Regular"/>
          <w:color w:val="auto"/>
          <w:sz w:val="32"/>
          <w:szCs w:val="32"/>
          <w:highlight w:val="none"/>
          <w:lang w:val="en" w:eastAsia="zh-CN"/>
        </w:rPr>
        <w:t>5</w:t>
      </w:r>
      <w:r>
        <w:rPr>
          <w:rFonts w:hint="default" w:ascii="Times New Roman Regular" w:hAnsi="Times New Roman Regular" w:eastAsia="仿宋_GB2312" w:cs="Times New Roman Regular"/>
          <w:color w:val="auto"/>
          <w:sz w:val="32"/>
          <w:szCs w:val="32"/>
          <w:highlight w:val="none"/>
          <w:lang w:val="en-US" w:eastAsia="zh-CN"/>
        </w:rPr>
        <w:t>人。开展心理健康知识巡讲54场次，市心理援助热线接听超5100人次。落实精神障碍患者“五帮一”责任36678人，全市严重精神障碍患者管理率、规律服药率、体检率均超过国家要求。开展“平安医院”一院一策工作，受理医疗机构投诉675起，全年未发生伤医、辱医医疗纠纷事件。</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七是</w:t>
      </w:r>
      <w:r>
        <w:rPr>
          <w:rFonts w:hint="default" w:ascii="Times New Roman Regular" w:hAnsi="Times New Roman Regular" w:eastAsia="仿宋_GB2312" w:cs="Times New Roman Regular"/>
          <w:color w:val="auto"/>
          <w:sz w:val="32"/>
          <w:szCs w:val="32"/>
          <w:highlight w:val="none"/>
          <w:lang w:val="en-US" w:eastAsia="zh-CN"/>
        </w:rPr>
        <w:t>以健康行动为“落脚点”，提升全民健康水平。持续开展流感、新冠、登革热等</w:t>
      </w:r>
      <w:bookmarkStart w:id="0" w:name="_GoBack"/>
      <w:bookmarkEnd w:id="0"/>
      <w:r>
        <w:rPr>
          <w:rFonts w:hint="default" w:ascii="Times New Roman Regular" w:hAnsi="Times New Roman Regular" w:eastAsia="仿宋_GB2312" w:cs="Times New Roman Regular"/>
          <w:color w:val="auto"/>
          <w:sz w:val="32"/>
          <w:szCs w:val="32"/>
          <w:highlight w:val="none"/>
          <w:lang w:val="en-US" w:eastAsia="zh-CN"/>
        </w:rPr>
        <w:t>传染病监测预警和风险评估，肺结核报告发病数和发病率连续2年实现“双降”，艾滋病整体疫情维持低流行水平。提前完成国家、省定食品安全风险监测任务，开展中小学“校园餐”整治行动、医疗机构食堂食品安全专项检查，学校和医院场所全年无聚集性食源性病例发生。将人均预期寿命提升行动写入政府工作报告，人均预期寿命15项指标持续向好。发布减盐减油科普作品348个，建设营养健康食堂37个，推出“减盐减油”菜品111道。166家用人单位完成职业病危害专项治理，核查确认3936家企业职业病危害信息。城市、农村饮用水水质达标率分别为100%、94.04%，高于去年同期水平。无偿献血人次、献血量、临床供血量同比增长</w:t>
      </w:r>
      <w:r>
        <w:rPr>
          <w:rFonts w:hint="eastAsia" w:ascii="Times New Roman Regular" w:hAnsi="Times New Roman Regular" w:eastAsia="仿宋_GB2312" w:cs="Times New Roman Regular"/>
          <w:color w:val="auto"/>
          <w:sz w:val="32"/>
          <w:szCs w:val="32"/>
          <w:highlight w:val="none"/>
          <w:lang w:val="en-US" w:eastAsia="zh-CN"/>
        </w:rPr>
        <w:t>10.76</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7.50</w:t>
      </w:r>
      <w:r>
        <w:rPr>
          <w:rFonts w:hint="default" w:ascii="Times New Roman Regular" w:hAnsi="Times New Roman Regular" w:eastAsia="仿宋_GB2312" w:cs="Times New Roman Regular"/>
          <w:color w:val="auto"/>
          <w:sz w:val="32"/>
          <w:szCs w:val="32"/>
          <w:highlight w:val="none"/>
          <w:lang w:val="en-US" w:eastAsia="zh-CN"/>
        </w:rPr>
        <w:t>%、</w:t>
      </w:r>
      <w:r>
        <w:rPr>
          <w:rFonts w:hint="eastAsia" w:ascii="Times New Roman Regular" w:hAnsi="Times New Roman Regular" w:eastAsia="仿宋_GB2312" w:cs="Times New Roman Regular"/>
          <w:color w:val="auto"/>
          <w:sz w:val="32"/>
          <w:szCs w:val="32"/>
          <w:highlight w:val="none"/>
          <w:lang w:val="en-US" w:eastAsia="zh-CN"/>
        </w:rPr>
        <w:t>0.91</w:t>
      </w:r>
      <w:r>
        <w:rPr>
          <w:rFonts w:hint="default" w:ascii="Times New Roman Regular" w:hAnsi="Times New Roman Regular" w:eastAsia="仿宋_GB2312" w:cs="Times New Roman Regular"/>
          <w:color w:val="auto"/>
          <w:sz w:val="32"/>
          <w:szCs w:val="32"/>
          <w:highlight w:val="none"/>
          <w:lang w:val="en-US" w:eastAsia="zh-CN"/>
        </w:rPr>
        <w:t>%。全年参与突发事故紧急医学救援26次，培训紧急医学救援人员118人次。消防安全、特种设备等重点领域专项整治发现隐患13750个，完成整改13747个，整改率99.98%。</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预算编制的科学性和准确性有待提高，预算编制不够细化，实际支出与预算存在一定差距；资金绩效评价工作机制有待进一步完善。主要原因是：由于政策的调整和财政资金实际拨付中存在滞后性，部门资金在使用时存在一定的不可预见性；业务科室和财务人员对绩效管理和监督工作重视程度不够。</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加强预算编制科学性，在年初预算编制过程中，根据部门工作实际情况，合理细化资金使用科目，规范资金使用方向，确保资金使用科学、高效、专款专用、不挤占、挪用、借用或随意调整，资金支付依据和开支标准合法合规。</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加强预算编制人员、资金使用人员业务培训，加强预算执行过程中的监控力度，建立健全预算执行分析体系，确保预算执行均衡性和有效性，同时完善绩效评价指标体系，充分应用绩效评价结果，推动人员业务质量提升和部门预算管理水平提高</w:t>
      </w:r>
      <w:r>
        <w:rPr>
          <w:rFonts w:hint="eastAsia"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部门将2025年市级绩效评价结果作为下一年预算编制依据，对照绩效评价工作中发现的问题，结合绩效评价报告中提出的整改意见，进一步完善预算管理机制，增强支出责任，规范资金使用，强化监督检查，强化财政资金管理水平，提高财政资金使用效益，严格按照财政要求进行公开。</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Times New Roman Regular">
    <w:altName w:val="Nimbus Roman No9 L"/>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FB6232"/>
    <w:rsid w:val="0FFB6232"/>
    <w:rsid w:val="3BFE67F5"/>
    <w:rsid w:val="3DFB245A"/>
    <w:rsid w:val="3DFD89D4"/>
    <w:rsid w:val="3FB253F1"/>
    <w:rsid w:val="5DF66231"/>
    <w:rsid w:val="5F951151"/>
    <w:rsid w:val="7A379677"/>
    <w:rsid w:val="7DFC2F18"/>
    <w:rsid w:val="7F59CB39"/>
    <w:rsid w:val="B7D6EFC2"/>
    <w:rsid w:val="BFBA6A3F"/>
    <w:rsid w:val="C4FF85CD"/>
    <w:rsid w:val="EBF756DA"/>
    <w:rsid w:val="F7AD3EA4"/>
    <w:rsid w:val="FBEFB3C3"/>
    <w:rsid w:val="FEED014E"/>
    <w:rsid w:val="FF2D6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Body Text Indent"/>
    <w:basedOn w:val="1"/>
    <w:next w:val="5"/>
    <w:unhideWhenUsed/>
    <w:qFormat/>
    <w:uiPriority w:val="0"/>
    <w:pPr>
      <w:spacing w:beforeLines="0" w:afterLines="0"/>
      <w:ind w:firstLine="640" w:firstLineChars="200"/>
    </w:pPr>
    <w:rPr>
      <w:rFonts w:hint="default"/>
      <w:sz w:val="32"/>
    </w:rPr>
  </w:style>
  <w:style w:type="paragraph" w:styleId="5">
    <w:name w:val="Body Text First Indent 2"/>
    <w:basedOn w:val="4"/>
    <w:next w:val="1"/>
    <w:unhideWhenUsed/>
    <w:qFormat/>
    <w:uiPriority w:val="99"/>
    <w:pPr>
      <w:spacing w:beforeLines="0" w:afterLines="0"/>
      <w:ind w:firstLine="420"/>
    </w:pPr>
    <w:rPr>
      <w:rFonts w:hint="default"/>
      <w:sz w:val="32"/>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标题1"/>
    <w:basedOn w:val="2"/>
    <w:qFormat/>
    <w:uiPriority w:val="0"/>
    <w:rPr>
      <w:rFonts w:eastAsia="黑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52</TotalTime>
  <ScaleCrop>false</ScaleCrop>
  <LinksUpToDate>false</LinksUpToDate>
  <CharactersWithSpaces>0</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2026-04-17T02:06:00Z</dcterms:created>
  <dc:creator>greatwall</dc:creator>
  <cp:lastModifiedBy>greatwall</cp:lastModifiedBy>
  <dcterms:modified xsi:type="dcterms:W3CDTF">2026-07-02T10:43:33Z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935CEB0954CD71574145E0695F103798</vt:lpwstr>
  </property>
</Properties>
</file>