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AE50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363CC74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6F28DB3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1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7203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3354" w:type="dxa"/>
            <w:vMerge w:val="restart"/>
            <w:noWrap w:val="0"/>
            <w:vAlign w:val="center"/>
          </w:tcPr>
          <w:p w14:paraId="4317A3C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040B17F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660C23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96793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29B9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vMerge w:val="continue"/>
            <w:noWrap w:val="0"/>
            <w:vAlign w:val="center"/>
          </w:tcPr>
          <w:p w14:paraId="1558BE29">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6D388FB5">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70</w:t>
            </w:r>
          </w:p>
        </w:tc>
        <w:tc>
          <w:tcPr>
            <w:tcW w:w="2240" w:type="dxa"/>
            <w:gridSpan w:val="2"/>
            <w:noWrap w:val="0"/>
            <w:vAlign w:val="center"/>
          </w:tcPr>
          <w:p w14:paraId="16924E2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94</w:t>
            </w:r>
            <w:r>
              <w:rPr>
                <w:rFonts w:hint="eastAsia" w:ascii="仿宋" w:hAnsi="仿宋" w:eastAsia="仿宋" w:cs="仿宋"/>
                <w:b w:val="0"/>
                <w:bCs w:val="0"/>
                <w:kern w:val="0"/>
                <w:sz w:val="20"/>
                <w:szCs w:val="20"/>
              </w:rPr>
              <w:t>　</w:t>
            </w:r>
          </w:p>
        </w:tc>
        <w:tc>
          <w:tcPr>
            <w:tcW w:w="1832" w:type="dxa"/>
            <w:gridSpan w:val="2"/>
            <w:noWrap w:val="0"/>
            <w:vAlign w:val="center"/>
          </w:tcPr>
          <w:p w14:paraId="61B86CA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134.29%</w:t>
            </w:r>
            <w:r>
              <w:rPr>
                <w:rFonts w:hint="eastAsia" w:ascii="仿宋" w:hAnsi="仿宋" w:eastAsia="仿宋" w:cs="仿宋"/>
                <w:b w:val="0"/>
                <w:bCs w:val="0"/>
                <w:kern w:val="0"/>
                <w:sz w:val="20"/>
                <w:szCs w:val="20"/>
              </w:rPr>
              <w:t>　</w:t>
            </w:r>
          </w:p>
        </w:tc>
      </w:tr>
      <w:tr w14:paraId="2F9C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209497D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0782C00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7CAD2A2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58FAC9E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66B9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3354" w:type="dxa"/>
            <w:noWrap w:val="0"/>
            <w:vAlign w:val="center"/>
          </w:tcPr>
          <w:p w14:paraId="6903467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67A87CA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48.18</w:t>
            </w:r>
            <w:r>
              <w:rPr>
                <w:rFonts w:hint="eastAsia" w:ascii="仿宋" w:hAnsi="仿宋" w:eastAsia="仿宋" w:cs="仿宋"/>
                <w:b w:val="0"/>
                <w:bCs w:val="0"/>
                <w:kern w:val="0"/>
                <w:sz w:val="20"/>
                <w:szCs w:val="20"/>
              </w:rPr>
              <w:t>　</w:t>
            </w:r>
          </w:p>
        </w:tc>
        <w:tc>
          <w:tcPr>
            <w:tcW w:w="2240" w:type="dxa"/>
            <w:gridSpan w:val="2"/>
            <w:noWrap w:val="0"/>
            <w:vAlign w:val="center"/>
          </w:tcPr>
          <w:p w14:paraId="0FDB7AF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52.00</w:t>
            </w:r>
          </w:p>
        </w:tc>
        <w:tc>
          <w:tcPr>
            <w:tcW w:w="1832" w:type="dxa"/>
            <w:gridSpan w:val="2"/>
            <w:noWrap w:val="0"/>
            <w:vAlign w:val="center"/>
          </w:tcPr>
          <w:p w14:paraId="5D0E39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47.41</w:t>
            </w:r>
            <w:r>
              <w:rPr>
                <w:rFonts w:hint="eastAsia" w:ascii="仿宋" w:hAnsi="仿宋" w:eastAsia="仿宋" w:cs="仿宋"/>
                <w:b w:val="0"/>
                <w:bCs w:val="0"/>
                <w:kern w:val="0"/>
                <w:sz w:val="20"/>
                <w:szCs w:val="20"/>
              </w:rPr>
              <w:t>　</w:t>
            </w:r>
          </w:p>
        </w:tc>
      </w:tr>
      <w:tr w14:paraId="7A6A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209C20F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5E6B88E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47.31</w:t>
            </w:r>
          </w:p>
        </w:tc>
        <w:tc>
          <w:tcPr>
            <w:tcW w:w="2240" w:type="dxa"/>
            <w:gridSpan w:val="2"/>
            <w:noWrap w:val="0"/>
            <w:vAlign w:val="center"/>
          </w:tcPr>
          <w:p w14:paraId="6F4650B0">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50.00</w:t>
            </w:r>
          </w:p>
        </w:tc>
        <w:tc>
          <w:tcPr>
            <w:tcW w:w="1832" w:type="dxa"/>
            <w:gridSpan w:val="2"/>
            <w:noWrap w:val="0"/>
            <w:vAlign w:val="center"/>
          </w:tcPr>
          <w:p w14:paraId="1201202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47.26</w:t>
            </w:r>
            <w:r>
              <w:rPr>
                <w:rFonts w:hint="eastAsia" w:ascii="仿宋" w:hAnsi="仿宋" w:eastAsia="仿宋" w:cs="仿宋"/>
                <w:b w:val="0"/>
                <w:bCs w:val="0"/>
                <w:kern w:val="0"/>
                <w:sz w:val="20"/>
                <w:szCs w:val="20"/>
              </w:rPr>
              <w:t>　</w:t>
            </w:r>
          </w:p>
        </w:tc>
      </w:tr>
      <w:tr w14:paraId="64B7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3354" w:type="dxa"/>
            <w:noWrap w:val="0"/>
            <w:vAlign w:val="center"/>
          </w:tcPr>
          <w:p w14:paraId="2203083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2E277C7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p>
        </w:tc>
        <w:tc>
          <w:tcPr>
            <w:tcW w:w="2240" w:type="dxa"/>
            <w:gridSpan w:val="2"/>
            <w:noWrap w:val="0"/>
            <w:vAlign w:val="center"/>
          </w:tcPr>
          <w:p w14:paraId="39CB35D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2CA360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C6B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3354" w:type="dxa"/>
            <w:noWrap w:val="0"/>
            <w:vAlign w:val="center"/>
          </w:tcPr>
          <w:p w14:paraId="64F40B3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76347D4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47.31</w:t>
            </w:r>
          </w:p>
        </w:tc>
        <w:tc>
          <w:tcPr>
            <w:tcW w:w="2240" w:type="dxa"/>
            <w:gridSpan w:val="2"/>
            <w:noWrap w:val="0"/>
            <w:vAlign w:val="center"/>
          </w:tcPr>
          <w:p w14:paraId="47FCF86F">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50.00</w:t>
            </w:r>
          </w:p>
        </w:tc>
        <w:tc>
          <w:tcPr>
            <w:tcW w:w="1832" w:type="dxa"/>
            <w:gridSpan w:val="2"/>
            <w:noWrap w:val="0"/>
            <w:vAlign w:val="center"/>
          </w:tcPr>
          <w:p w14:paraId="41FF6D4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47.26</w:t>
            </w:r>
            <w:r>
              <w:rPr>
                <w:rFonts w:hint="eastAsia" w:ascii="仿宋" w:hAnsi="仿宋" w:eastAsia="仿宋" w:cs="仿宋"/>
                <w:b w:val="0"/>
                <w:bCs w:val="0"/>
                <w:kern w:val="0"/>
                <w:sz w:val="20"/>
                <w:szCs w:val="20"/>
              </w:rPr>
              <w:t>　</w:t>
            </w:r>
          </w:p>
        </w:tc>
      </w:tr>
      <w:tr w14:paraId="18E9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16D08C0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206F66A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04B157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DDBD30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EAE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3354" w:type="dxa"/>
            <w:noWrap w:val="0"/>
            <w:vAlign w:val="center"/>
          </w:tcPr>
          <w:p w14:paraId="55FE362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626BCDD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0.87</w:t>
            </w:r>
            <w:r>
              <w:rPr>
                <w:rFonts w:hint="eastAsia" w:ascii="仿宋" w:hAnsi="仿宋" w:eastAsia="仿宋" w:cs="仿宋"/>
                <w:b w:val="0"/>
                <w:bCs w:val="0"/>
                <w:kern w:val="0"/>
                <w:sz w:val="20"/>
                <w:szCs w:val="20"/>
              </w:rPr>
              <w:t>　</w:t>
            </w:r>
          </w:p>
        </w:tc>
        <w:tc>
          <w:tcPr>
            <w:tcW w:w="2240" w:type="dxa"/>
            <w:gridSpan w:val="2"/>
            <w:noWrap w:val="0"/>
            <w:vAlign w:val="center"/>
          </w:tcPr>
          <w:p w14:paraId="6ABAF34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w:t>
            </w:r>
          </w:p>
        </w:tc>
        <w:tc>
          <w:tcPr>
            <w:tcW w:w="1832" w:type="dxa"/>
            <w:gridSpan w:val="2"/>
            <w:noWrap w:val="0"/>
            <w:vAlign w:val="center"/>
          </w:tcPr>
          <w:p w14:paraId="2E3D240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0.15</w:t>
            </w:r>
            <w:r>
              <w:rPr>
                <w:rFonts w:hint="eastAsia" w:ascii="仿宋" w:hAnsi="仿宋" w:eastAsia="仿宋" w:cs="仿宋"/>
                <w:b w:val="0"/>
                <w:bCs w:val="0"/>
                <w:kern w:val="0"/>
                <w:sz w:val="20"/>
                <w:szCs w:val="20"/>
              </w:rPr>
              <w:t>　</w:t>
            </w:r>
          </w:p>
        </w:tc>
      </w:tr>
      <w:tr w14:paraId="56F4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2C962ED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305E25F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1682.09</w:t>
            </w:r>
          </w:p>
        </w:tc>
        <w:tc>
          <w:tcPr>
            <w:tcW w:w="2240" w:type="dxa"/>
            <w:gridSpan w:val="2"/>
            <w:noWrap w:val="0"/>
            <w:vAlign w:val="center"/>
          </w:tcPr>
          <w:p w14:paraId="4679132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368.50</w:t>
            </w:r>
            <w:r>
              <w:rPr>
                <w:rFonts w:hint="eastAsia" w:ascii="仿宋" w:hAnsi="仿宋" w:eastAsia="仿宋" w:cs="仿宋"/>
                <w:b w:val="0"/>
                <w:bCs w:val="0"/>
                <w:kern w:val="0"/>
                <w:sz w:val="20"/>
                <w:szCs w:val="20"/>
              </w:rPr>
              <w:t>　</w:t>
            </w:r>
          </w:p>
        </w:tc>
        <w:tc>
          <w:tcPr>
            <w:tcW w:w="1832" w:type="dxa"/>
            <w:gridSpan w:val="2"/>
            <w:noWrap w:val="0"/>
            <w:vAlign w:val="center"/>
          </w:tcPr>
          <w:p w14:paraId="3D9FD80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2949.45</w:t>
            </w:r>
            <w:r>
              <w:rPr>
                <w:rFonts w:hint="eastAsia" w:ascii="仿宋" w:hAnsi="仿宋" w:eastAsia="仿宋" w:cs="仿宋"/>
                <w:b w:val="0"/>
                <w:bCs w:val="0"/>
                <w:kern w:val="0"/>
                <w:sz w:val="20"/>
                <w:szCs w:val="20"/>
              </w:rPr>
              <w:t>　</w:t>
            </w:r>
          </w:p>
        </w:tc>
      </w:tr>
      <w:tr w14:paraId="43B8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0A8DE31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5A41583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1353.10</w:t>
            </w:r>
            <w:r>
              <w:rPr>
                <w:rFonts w:hint="eastAsia" w:ascii="仿宋" w:hAnsi="仿宋" w:eastAsia="仿宋" w:cs="仿宋"/>
                <w:b w:val="0"/>
                <w:bCs w:val="0"/>
                <w:kern w:val="0"/>
                <w:sz w:val="20"/>
                <w:szCs w:val="20"/>
              </w:rPr>
              <w:t>　</w:t>
            </w:r>
          </w:p>
        </w:tc>
        <w:tc>
          <w:tcPr>
            <w:tcW w:w="2240" w:type="dxa"/>
            <w:gridSpan w:val="2"/>
            <w:noWrap w:val="0"/>
            <w:vAlign w:val="center"/>
          </w:tcPr>
          <w:p w14:paraId="514C7BE7">
            <w:pPr>
              <w:widowControl/>
              <w:jc w:val="center"/>
              <w:rPr>
                <w:rFonts w:hint="default" w:ascii="仿宋" w:hAnsi="仿宋" w:eastAsia="仿宋" w:cs="仿宋"/>
                <w:b w:val="0"/>
                <w:bCs w:val="0"/>
                <w:kern w:val="0"/>
                <w:sz w:val="20"/>
                <w:szCs w:val="20"/>
                <w:highlight w:val="yellow"/>
                <w:lang w:val="en-US" w:eastAsia="zh-CN"/>
              </w:rPr>
            </w:pPr>
            <w:r>
              <w:rPr>
                <w:rFonts w:hint="eastAsia" w:ascii="仿宋" w:hAnsi="仿宋" w:eastAsia="仿宋" w:cs="仿宋"/>
                <w:b w:val="0"/>
                <w:bCs w:val="0"/>
                <w:kern w:val="0"/>
                <w:sz w:val="20"/>
                <w:szCs w:val="20"/>
                <w:highlight w:val="none"/>
                <w:lang w:val="en-US" w:eastAsia="zh-CN"/>
              </w:rPr>
              <w:t>1777.34</w:t>
            </w:r>
          </w:p>
        </w:tc>
        <w:tc>
          <w:tcPr>
            <w:tcW w:w="1832" w:type="dxa"/>
            <w:gridSpan w:val="2"/>
            <w:noWrap w:val="0"/>
            <w:vAlign w:val="center"/>
          </w:tcPr>
          <w:p w14:paraId="2C8027B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1533.03</w:t>
            </w:r>
            <w:r>
              <w:rPr>
                <w:rFonts w:hint="eastAsia" w:ascii="仿宋" w:hAnsi="仿宋" w:eastAsia="仿宋" w:cs="仿宋"/>
                <w:b w:val="0"/>
                <w:bCs w:val="0"/>
                <w:kern w:val="0"/>
                <w:sz w:val="20"/>
                <w:szCs w:val="20"/>
              </w:rPr>
              <w:t>　</w:t>
            </w:r>
          </w:p>
        </w:tc>
      </w:tr>
      <w:tr w14:paraId="4316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560A4C5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15035F9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1BAF20A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B01B4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413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38F205E1">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、项目</w:t>
            </w:r>
            <w:r>
              <w:rPr>
                <w:rFonts w:hint="eastAsia" w:ascii="仿宋" w:hAnsi="仿宋" w:eastAsia="仿宋" w:cs="仿宋"/>
                <w:b w:val="0"/>
                <w:bCs w:val="0"/>
                <w:kern w:val="0"/>
                <w:sz w:val="20"/>
                <w:szCs w:val="20"/>
              </w:rPr>
              <w:t>资金</w:t>
            </w:r>
          </w:p>
        </w:tc>
        <w:tc>
          <w:tcPr>
            <w:tcW w:w="2038" w:type="dxa"/>
            <w:gridSpan w:val="2"/>
            <w:noWrap w:val="0"/>
            <w:vAlign w:val="center"/>
          </w:tcPr>
          <w:p w14:paraId="6A0769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328.99</w:t>
            </w:r>
          </w:p>
        </w:tc>
        <w:tc>
          <w:tcPr>
            <w:tcW w:w="2240" w:type="dxa"/>
            <w:gridSpan w:val="2"/>
            <w:noWrap w:val="0"/>
            <w:vAlign w:val="center"/>
          </w:tcPr>
          <w:p w14:paraId="0101AE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368.50</w:t>
            </w:r>
          </w:p>
        </w:tc>
        <w:tc>
          <w:tcPr>
            <w:tcW w:w="1832" w:type="dxa"/>
            <w:gridSpan w:val="2"/>
            <w:noWrap w:val="0"/>
            <w:vAlign w:val="center"/>
          </w:tcPr>
          <w:p w14:paraId="1984AD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1416.42</w:t>
            </w:r>
          </w:p>
        </w:tc>
      </w:tr>
      <w:tr w14:paraId="300F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539BA5F2">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3.1中央专项资金</w:t>
            </w:r>
          </w:p>
          <w:p w14:paraId="67F18DFD">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eastAsia" w:ascii="仿宋" w:hAnsi="仿宋" w:eastAsia="仿宋" w:cs="仿宋"/>
                <w:b w:val="0"/>
                <w:bCs w:val="0"/>
                <w:kern w:val="0"/>
                <w:sz w:val="20"/>
                <w:szCs w:val="20"/>
                <w:highlight w:val="none"/>
              </w:rPr>
            </w:pPr>
            <w:r>
              <w:rPr>
                <w:rFonts w:hint="eastAsia" w:ascii="仿宋" w:hAnsi="仿宋" w:eastAsia="仿宋" w:cs="仿宋"/>
                <w:b w:val="0"/>
                <w:bCs w:val="0"/>
                <w:kern w:val="0"/>
                <w:sz w:val="20"/>
                <w:szCs w:val="20"/>
                <w:lang w:val="en-US" w:eastAsia="zh-CN"/>
              </w:rPr>
              <w:t>（重大传染病防控补助）</w:t>
            </w:r>
          </w:p>
        </w:tc>
        <w:tc>
          <w:tcPr>
            <w:tcW w:w="2038" w:type="dxa"/>
            <w:gridSpan w:val="2"/>
            <w:noWrap w:val="0"/>
            <w:vAlign w:val="center"/>
          </w:tcPr>
          <w:p w14:paraId="49FC48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highlight w:val="none"/>
                <w:lang w:val="en-US"/>
              </w:rPr>
            </w:pPr>
            <w:r>
              <w:rPr>
                <w:rFonts w:hint="eastAsia" w:ascii="仿宋" w:hAnsi="仿宋" w:eastAsia="仿宋" w:cs="仿宋"/>
                <w:b w:val="0"/>
                <w:bCs w:val="0"/>
                <w:kern w:val="0"/>
                <w:sz w:val="20"/>
                <w:szCs w:val="20"/>
                <w:highlight w:val="none"/>
                <w:lang w:val="en-US" w:eastAsia="zh-CN"/>
              </w:rPr>
              <w:t>160.50</w:t>
            </w:r>
          </w:p>
        </w:tc>
        <w:tc>
          <w:tcPr>
            <w:tcW w:w="2240" w:type="dxa"/>
            <w:gridSpan w:val="2"/>
            <w:noWrap w:val="0"/>
            <w:vAlign w:val="center"/>
          </w:tcPr>
          <w:p w14:paraId="054C75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highlight w:val="none"/>
                <w:lang w:val="en-US" w:eastAsia="zh-CN"/>
              </w:rPr>
              <w:t>217.50</w:t>
            </w:r>
          </w:p>
        </w:tc>
        <w:tc>
          <w:tcPr>
            <w:tcW w:w="1832" w:type="dxa"/>
            <w:gridSpan w:val="2"/>
            <w:noWrap w:val="0"/>
            <w:vAlign w:val="center"/>
          </w:tcPr>
          <w:p w14:paraId="61C61E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highlight w:val="none"/>
                <w:lang w:val="en-US" w:eastAsia="zh-CN"/>
              </w:rPr>
              <w:t>0</w:t>
            </w:r>
          </w:p>
        </w:tc>
      </w:tr>
      <w:tr w14:paraId="3458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20A7DB85">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 xml:space="preserve">3.2 </w:t>
            </w:r>
            <w:r>
              <w:rPr>
                <w:rFonts w:hint="eastAsia" w:ascii="仿宋" w:hAnsi="仿宋" w:eastAsia="仿宋" w:cs="仿宋"/>
                <w:b w:val="0"/>
                <w:bCs w:val="0"/>
                <w:kern w:val="0"/>
                <w:sz w:val="20"/>
                <w:szCs w:val="20"/>
              </w:rPr>
              <w:t>血液检测专项经费</w:t>
            </w:r>
          </w:p>
        </w:tc>
        <w:tc>
          <w:tcPr>
            <w:tcW w:w="2038" w:type="dxa"/>
            <w:gridSpan w:val="2"/>
            <w:noWrap w:val="0"/>
            <w:vAlign w:val="center"/>
          </w:tcPr>
          <w:p w14:paraId="46C9A1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101.00</w:t>
            </w:r>
          </w:p>
        </w:tc>
        <w:tc>
          <w:tcPr>
            <w:tcW w:w="2240" w:type="dxa"/>
            <w:gridSpan w:val="2"/>
            <w:noWrap w:val="0"/>
            <w:vAlign w:val="center"/>
          </w:tcPr>
          <w:p w14:paraId="67EB53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101.00</w:t>
            </w:r>
          </w:p>
        </w:tc>
        <w:tc>
          <w:tcPr>
            <w:tcW w:w="1832" w:type="dxa"/>
            <w:gridSpan w:val="2"/>
            <w:noWrap w:val="0"/>
            <w:vAlign w:val="center"/>
          </w:tcPr>
          <w:p w14:paraId="53580B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45.30</w:t>
            </w:r>
          </w:p>
        </w:tc>
      </w:tr>
      <w:tr w14:paraId="03DB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54" w:type="dxa"/>
            <w:noWrap w:val="0"/>
            <w:vAlign w:val="center"/>
          </w:tcPr>
          <w:p w14:paraId="5F4DA296">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3.3</w:t>
            </w:r>
            <w:r>
              <w:rPr>
                <w:rFonts w:hint="eastAsia" w:ascii="仿宋" w:hAnsi="仿宋" w:eastAsia="仿宋" w:cs="仿宋"/>
                <w:b w:val="0"/>
                <w:bCs w:val="0"/>
                <w:kern w:val="0"/>
                <w:sz w:val="20"/>
                <w:szCs w:val="20"/>
              </w:rPr>
              <w:t>献血者及其亲属用血费用报销</w:t>
            </w:r>
          </w:p>
        </w:tc>
        <w:tc>
          <w:tcPr>
            <w:tcW w:w="2038" w:type="dxa"/>
            <w:gridSpan w:val="2"/>
            <w:noWrap w:val="0"/>
            <w:vAlign w:val="center"/>
          </w:tcPr>
          <w:p w14:paraId="5215A49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50.00</w:t>
            </w:r>
          </w:p>
        </w:tc>
        <w:tc>
          <w:tcPr>
            <w:tcW w:w="2240" w:type="dxa"/>
            <w:gridSpan w:val="2"/>
            <w:noWrap w:val="0"/>
            <w:vAlign w:val="center"/>
          </w:tcPr>
          <w:p w14:paraId="4E5A94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50.00</w:t>
            </w:r>
          </w:p>
        </w:tc>
        <w:tc>
          <w:tcPr>
            <w:tcW w:w="1832" w:type="dxa"/>
            <w:gridSpan w:val="2"/>
            <w:noWrap w:val="0"/>
            <w:vAlign w:val="center"/>
          </w:tcPr>
          <w:p w14:paraId="32F278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50.00</w:t>
            </w:r>
          </w:p>
        </w:tc>
      </w:tr>
      <w:tr w14:paraId="7402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5F190783">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3.4怀化市公共卫生中心二期项目</w:t>
            </w:r>
          </w:p>
        </w:tc>
        <w:tc>
          <w:tcPr>
            <w:tcW w:w="2038" w:type="dxa"/>
            <w:gridSpan w:val="2"/>
            <w:noWrap w:val="0"/>
            <w:vAlign w:val="center"/>
          </w:tcPr>
          <w:p w14:paraId="475788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p>
        </w:tc>
        <w:tc>
          <w:tcPr>
            <w:tcW w:w="2240" w:type="dxa"/>
            <w:gridSpan w:val="2"/>
            <w:noWrap w:val="0"/>
            <w:vAlign w:val="center"/>
          </w:tcPr>
          <w:p w14:paraId="768C39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p>
        </w:tc>
        <w:tc>
          <w:tcPr>
            <w:tcW w:w="1832" w:type="dxa"/>
            <w:gridSpan w:val="2"/>
            <w:noWrap w:val="0"/>
            <w:vAlign w:val="center"/>
          </w:tcPr>
          <w:p w14:paraId="73F003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1321.12</w:t>
            </w:r>
          </w:p>
        </w:tc>
      </w:tr>
      <w:tr w14:paraId="5485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1024E411">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3.5</w:t>
            </w:r>
            <w:r>
              <w:rPr>
                <w:rFonts w:hint="eastAsia" w:ascii="仿宋" w:hAnsi="仿宋" w:eastAsia="仿宋" w:cs="仿宋"/>
                <w:b w:val="0"/>
                <w:bCs w:val="0"/>
                <w:kern w:val="0"/>
                <w:sz w:val="20"/>
                <w:szCs w:val="20"/>
              </w:rPr>
              <w:t>血液检测离心机等设备购置（一般债券）</w:t>
            </w:r>
          </w:p>
        </w:tc>
        <w:tc>
          <w:tcPr>
            <w:tcW w:w="2038" w:type="dxa"/>
            <w:gridSpan w:val="2"/>
            <w:noWrap w:val="0"/>
            <w:vAlign w:val="center"/>
          </w:tcPr>
          <w:p w14:paraId="0C1F36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7.13</w:t>
            </w:r>
          </w:p>
        </w:tc>
        <w:tc>
          <w:tcPr>
            <w:tcW w:w="2240" w:type="dxa"/>
            <w:gridSpan w:val="2"/>
            <w:noWrap w:val="0"/>
            <w:vAlign w:val="center"/>
          </w:tcPr>
          <w:p w14:paraId="7BC49A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kern w:val="0"/>
                <w:sz w:val="20"/>
                <w:szCs w:val="20"/>
                <w:lang w:val="en-US" w:eastAsia="zh-CN" w:bidi="ar-SA"/>
              </w:rPr>
            </w:pPr>
          </w:p>
        </w:tc>
        <w:tc>
          <w:tcPr>
            <w:tcW w:w="1832" w:type="dxa"/>
            <w:gridSpan w:val="2"/>
            <w:noWrap w:val="0"/>
            <w:vAlign w:val="center"/>
          </w:tcPr>
          <w:p w14:paraId="580AEED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仿宋" w:hAnsi="仿宋" w:eastAsia="仿宋" w:cs="仿宋"/>
                <w:b w:val="0"/>
                <w:bCs w:val="0"/>
                <w:kern w:val="0"/>
                <w:sz w:val="20"/>
                <w:szCs w:val="20"/>
                <w:lang w:val="en-US" w:eastAsia="zh-CN" w:bidi="ar-SA"/>
              </w:rPr>
            </w:pPr>
          </w:p>
        </w:tc>
      </w:tr>
      <w:tr w14:paraId="105F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354" w:type="dxa"/>
            <w:noWrap w:val="0"/>
            <w:vAlign w:val="center"/>
          </w:tcPr>
          <w:p w14:paraId="5ED62151">
            <w:pPr>
              <w:keepNext w:val="0"/>
              <w:keepLines w:val="0"/>
              <w:pageBreakBefore w:val="0"/>
              <w:widowControl/>
              <w:kinsoku/>
              <w:wordWrap/>
              <w:overflowPunct/>
              <w:topLinePunct w:val="0"/>
              <w:autoSpaceDE/>
              <w:autoSpaceDN/>
              <w:bidi w:val="0"/>
              <w:adjustRightInd/>
              <w:snapToGrid/>
              <w:spacing w:line="240" w:lineRule="auto"/>
              <w:ind w:firstLine="200" w:firstLineChars="1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3.6</w:t>
            </w:r>
            <w:r>
              <w:rPr>
                <w:rFonts w:hint="eastAsia" w:ascii="仿宋" w:hAnsi="仿宋" w:eastAsia="仿宋" w:cs="仿宋"/>
                <w:b w:val="0"/>
                <w:bCs w:val="0"/>
                <w:w w:val="90"/>
                <w:kern w:val="0"/>
                <w:sz w:val="20"/>
                <w:szCs w:val="20"/>
              </w:rPr>
              <w:t>房屋建筑安全隐患整改专项经费</w:t>
            </w:r>
          </w:p>
        </w:tc>
        <w:tc>
          <w:tcPr>
            <w:tcW w:w="2038" w:type="dxa"/>
            <w:gridSpan w:val="2"/>
            <w:noWrap w:val="0"/>
            <w:vAlign w:val="center"/>
          </w:tcPr>
          <w:p w14:paraId="733473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10.36</w:t>
            </w:r>
          </w:p>
        </w:tc>
        <w:tc>
          <w:tcPr>
            <w:tcW w:w="2240" w:type="dxa"/>
            <w:gridSpan w:val="2"/>
            <w:noWrap w:val="0"/>
            <w:vAlign w:val="center"/>
          </w:tcPr>
          <w:p w14:paraId="670576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kern w:val="0"/>
                <w:sz w:val="20"/>
                <w:szCs w:val="20"/>
                <w:lang w:val="en-US" w:eastAsia="zh-CN" w:bidi="ar-SA"/>
              </w:rPr>
            </w:pPr>
          </w:p>
        </w:tc>
        <w:tc>
          <w:tcPr>
            <w:tcW w:w="1832" w:type="dxa"/>
            <w:gridSpan w:val="2"/>
            <w:noWrap w:val="0"/>
            <w:vAlign w:val="center"/>
          </w:tcPr>
          <w:p w14:paraId="6F0651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kern w:val="0"/>
                <w:sz w:val="20"/>
                <w:szCs w:val="20"/>
                <w:lang w:val="en-US" w:eastAsia="zh-CN" w:bidi="ar-SA"/>
              </w:rPr>
            </w:pPr>
          </w:p>
        </w:tc>
      </w:tr>
      <w:tr w14:paraId="369F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711E90">
            <w:pPr>
              <w:widowControl/>
              <w:ind w:firstLine="200" w:firstLineChars="1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600C01E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6AD1DB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53FE27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181A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3354" w:type="dxa"/>
            <w:noWrap w:val="0"/>
            <w:vAlign w:val="center"/>
          </w:tcPr>
          <w:p w14:paraId="0EECF02B">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578A322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95.91</w:t>
            </w:r>
            <w:r>
              <w:rPr>
                <w:rFonts w:hint="eastAsia" w:ascii="仿宋" w:hAnsi="仿宋" w:eastAsia="仿宋" w:cs="仿宋"/>
                <w:b w:val="0"/>
                <w:bCs w:val="0"/>
                <w:kern w:val="0"/>
                <w:sz w:val="20"/>
                <w:szCs w:val="20"/>
              </w:rPr>
              <w:t>　</w:t>
            </w:r>
          </w:p>
        </w:tc>
        <w:tc>
          <w:tcPr>
            <w:tcW w:w="2240" w:type="dxa"/>
            <w:gridSpan w:val="2"/>
            <w:noWrap w:val="0"/>
            <w:vAlign w:val="center"/>
          </w:tcPr>
          <w:p w14:paraId="396A0B9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highlight w:val="none"/>
                <w:lang w:val="en-US" w:eastAsia="zh-CN"/>
              </w:rPr>
              <w:t>108.91</w:t>
            </w:r>
            <w:r>
              <w:rPr>
                <w:rFonts w:hint="eastAsia" w:ascii="仿宋" w:hAnsi="仿宋" w:eastAsia="仿宋" w:cs="仿宋"/>
                <w:b w:val="0"/>
                <w:bCs w:val="0"/>
                <w:kern w:val="0"/>
                <w:sz w:val="20"/>
                <w:szCs w:val="20"/>
              </w:rPr>
              <w:t>　</w:t>
            </w:r>
          </w:p>
        </w:tc>
        <w:tc>
          <w:tcPr>
            <w:tcW w:w="1832" w:type="dxa"/>
            <w:gridSpan w:val="2"/>
            <w:noWrap w:val="0"/>
            <w:vAlign w:val="center"/>
          </w:tcPr>
          <w:p w14:paraId="10682B97">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highlight w:val="none"/>
                <w:lang w:val="en-US" w:eastAsia="zh-CN"/>
              </w:rPr>
              <w:t>107.06</w:t>
            </w:r>
          </w:p>
        </w:tc>
      </w:tr>
      <w:tr w14:paraId="1D84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0BF8149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43FDA6DC">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lang w:val="en-US" w:eastAsia="zh-CN"/>
              </w:rPr>
              <w:t>7.52</w:t>
            </w:r>
            <w:r>
              <w:rPr>
                <w:rFonts w:hint="eastAsia" w:ascii="仿宋" w:hAnsi="仿宋" w:eastAsia="仿宋" w:cs="仿宋"/>
                <w:b w:val="0"/>
                <w:bCs w:val="0"/>
                <w:color w:val="FF0000"/>
                <w:kern w:val="0"/>
                <w:sz w:val="20"/>
                <w:szCs w:val="20"/>
              </w:rPr>
              <w:t>　</w:t>
            </w:r>
          </w:p>
        </w:tc>
        <w:tc>
          <w:tcPr>
            <w:tcW w:w="2240" w:type="dxa"/>
            <w:gridSpan w:val="2"/>
            <w:noWrap w:val="0"/>
            <w:vAlign w:val="center"/>
          </w:tcPr>
          <w:p w14:paraId="6E3F7816">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lang w:val="en-US" w:eastAsia="zh-CN"/>
              </w:rPr>
              <w:t>12.00　</w:t>
            </w:r>
          </w:p>
        </w:tc>
        <w:tc>
          <w:tcPr>
            <w:tcW w:w="1832" w:type="dxa"/>
            <w:gridSpan w:val="2"/>
            <w:noWrap w:val="0"/>
            <w:vAlign w:val="center"/>
          </w:tcPr>
          <w:p w14:paraId="6E9DEE93">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lang w:val="en-US" w:eastAsia="zh-CN"/>
              </w:rPr>
              <w:t>11.98　</w:t>
            </w:r>
          </w:p>
        </w:tc>
      </w:tr>
      <w:tr w14:paraId="6E43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7FC4FF0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5C726546">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758542CD">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1832" w:type="dxa"/>
            <w:gridSpan w:val="2"/>
            <w:noWrap w:val="0"/>
            <w:vAlign w:val="center"/>
          </w:tcPr>
          <w:p w14:paraId="6B80A811">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r>
      <w:tr w14:paraId="67C7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3354" w:type="dxa"/>
            <w:noWrap w:val="0"/>
            <w:vAlign w:val="center"/>
          </w:tcPr>
          <w:p w14:paraId="4D5A049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077E2CBE">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lang w:val="en-US" w:eastAsia="zh-CN"/>
              </w:rPr>
              <w:t>5.38</w:t>
            </w:r>
          </w:p>
        </w:tc>
        <w:tc>
          <w:tcPr>
            <w:tcW w:w="2240" w:type="dxa"/>
            <w:gridSpan w:val="2"/>
            <w:noWrap w:val="0"/>
            <w:vAlign w:val="center"/>
          </w:tcPr>
          <w:p w14:paraId="50D49185">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lang w:val="en-US" w:eastAsia="zh-CN"/>
              </w:rPr>
              <w:t>10.10　</w:t>
            </w:r>
          </w:p>
        </w:tc>
        <w:tc>
          <w:tcPr>
            <w:tcW w:w="1832" w:type="dxa"/>
            <w:gridSpan w:val="2"/>
            <w:noWrap w:val="0"/>
            <w:vAlign w:val="center"/>
          </w:tcPr>
          <w:p w14:paraId="368FBC65">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kern w:val="0"/>
                <w:sz w:val="20"/>
                <w:szCs w:val="20"/>
                <w:lang w:val="en-US" w:eastAsia="zh-CN"/>
              </w:rPr>
              <w:t>5.39　</w:t>
            </w:r>
          </w:p>
        </w:tc>
      </w:tr>
      <w:tr w14:paraId="46F6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0FB73F9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0DB5E99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1784014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1878.34</w:t>
            </w:r>
            <w:r>
              <w:rPr>
                <w:rFonts w:hint="eastAsia" w:ascii="仿宋" w:hAnsi="仿宋" w:eastAsia="仿宋" w:cs="仿宋"/>
                <w:b w:val="0"/>
                <w:bCs w:val="0"/>
                <w:kern w:val="0"/>
                <w:sz w:val="20"/>
                <w:szCs w:val="20"/>
              </w:rPr>
              <w:t>　</w:t>
            </w:r>
          </w:p>
        </w:tc>
        <w:tc>
          <w:tcPr>
            <w:tcW w:w="1832" w:type="dxa"/>
            <w:gridSpan w:val="2"/>
            <w:noWrap w:val="0"/>
            <w:vAlign w:val="center"/>
          </w:tcPr>
          <w:p w14:paraId="17B425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1374.93</w:t>
            </w:r>
            <w:r>
              <w:rPr>
                <w:rFonts w:hint="eastAsia" w:ascii="仿宋" w:hAnsi="仿宋" w:eastAsia="仿宋" w:cs="仿宋"/>
                <w:b w:val="0"/>
                <w:bCs w:val="0"/>
                <w:kern w:val="0"/>
                <w:sz w:val="20"/>
                <w:szCs w:val="20"/>
              </w:rPr>
              <w:t>　</w:t>
            </w:r>
          </w:p>
        </w:tc>
      </w:tr>
      <w:tr w14:paraId="63F8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2921375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C98367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776F291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18159CE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A71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3354" w:type="dxa"/>
            <w:vMerge w:val="restart"/>
            <w:noWrap w:val="0"/>
            <w:vAlign w:val="center"/>
          </w:tcPr>
          <w:p w14:paraId="16D1CAD7">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246348E0">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7AD5A59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F3FF9D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0B5749B5">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1A8A3976">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56472E6C">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0990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vMerge w:val="continue"/>
            <w:noWrap w:val="0"/>
            <w:vAlign w:val="center"/>
          </w:tcPr>
          <w:p w14:paraId="5E52FD7A">
            <w:pPr>
              <w:widowControl/>
              <w:jc w:val="left"/>
              <w:rPr>
                <w:rFonts w:hint="eastAsia" w:ascii="仿宋" w:hAnsi="仿宋" w:eastAsia="仿宋" w:cs="仿宋"/>
                <w:b w:val="0"/>
                <w:bCs w:val="0"/>
                <w:kern w:val="0"/>
                <w:sz w:val="20"/>
                <w:szCs w:val="20"/>
              </w:rPr>
            </w:pPr>
          </w:p>
        </w:tc>
        <w:tc>
          <w:tcPr>
            <w:tcW w:w="1189" w:type="dxa"/>
            <w:noWrap w:val="0"/>
            <w:vAlign w:val="center"/>
          </w:tcPr>
          <w:p w14:paraId="0480CF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5ADAF77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398FF09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6109503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465D880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F5A2E1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1AA6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422163D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721ABE1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压减三公经费，压减会议费、培训费、差旅费</w:t>
            </w:r>
            <w:r>
              <w:rPr>
                <w:rFonts w:hint="eastAsia" w:ascii="仿宋" w:hAnsi="仿宋" w:eastAsia="仿宋" w:cs="仿宋"/>
                <w:b w:val="0"/>
                <w:bCs w:val="0"/>
                <w:kern w:val="0"/>
                <w:sz w:val="20"/>
                <w:szCs w:val="20"/>
              </w:rPr>
              <w:t>　</w:t>
            </w:r>
          </w:p>
        </w:tc>
      </w:tr>
    </w:tbl>
    <w:p w14:paraId="387BE5FC">
      <w:pPr>
        <w:pStyle w:val="16"/>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54EE5288">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蒲曾坤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17375539563 </w:t>
      </w:r>
    </w:p>
    <w:p w14:paraId="18367AB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4AF4471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539A8314">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2"/>
        <w:tblW w:w="93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1100"/>
        <w:gridCol w:w="1057"/>
        <w:gridCol w:w="1077"/>
        <w:gridCol w:w="1170"/>
        <w:gridCol w:w="1112"/>
        <w:gridCol w:w="690"/>
        <w:gridCol w:w="970"/>
        <w:gridCol w:w="1038"/>
      </w:tblGrid>
      <w:tr w14:paraId="355E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3" w:type="dxa"/>
            <w:noWrap w:val="0"/>
            <w:vAlign w:val="center"/>
          </w:tcPr>
          <w:p w14:paraId="4D9B5E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214" w:type="dxa"/>
            <w:gridSpan w:val="8"/>
            <w:noWrap w:val="0"/>
            <w:vAlign w:val="center"/>
          </w:tcPr>
          <w:p w14:paraId="403782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怀化市中心血站　</w:t>
            </w:r>
          </w:p>
        </w:tc>
      </w:tr>
      <w:tr w14:paraId="55EE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113" w:type="dxa"/>
            <w:vMerge w:val="restart"/>
            <w:noWrap w:val="0"/>
            <w:vAlign w:val="center"/>
          </w:tcPr>
          <w:p w14:paraId="54E536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13D08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57" w:type="dxa"/>
            <w:gridSpan w:val="2"/>
            <w:noWrap w:val="0"/>
            <w:vAlign w:val="center"/>
          </w:tcPr>
          <w:p w14:paraId="6AC92B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1077" w:type="dxa"/>
            <w:noWrap w:val="0"/>
            <w:vAlign w:val="center"/>
          </w:tcPr>
          <w:p w14:paraId="4395B4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444CB1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170" w:type="dxa"/>
            <w:noWrap w:val="0"/>
            <w:vAlign w:val="center"/>
          </w:tcPr>
          <w:p w14:paraId="377351C8">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w w:val="90"/>
                <w:sz w:val="20"/>
                <w:szCs w:val="20"/>
              </w:rPr>
              <w:t>全年预算数</w:t>
            </w:r>
          </w:p>
        </w:tc>
        <w:tc>
          <w:tcPr>
            <w:tcW w:w="1112" w:type="dxa"/>
            <w:noWrap w:val="0"/>
            <w:vAlign w:val="center"/>
          </w:tcPr>
          <w:p w14:paraId="785BB5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10C8E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0" w:type="dxa"/>
            <w:noWrap w:val="0"/>
            <w:vAlign w:val="center"/>
          </w:tcPr>
          <w:p w14:paraId="7390C3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970" w:type="dxa"/>
            <w:noWrap w:val="0"/>
            <w:vAlign w:val="center"/>
          </w:tcPr>
          <w:p w14:paraId="4C17B6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38" w:type="dxa"/>
            <w:noWrap w:val="0"/>
            <w:vAlign w:val="center"/>
          </w:tcPr>
          <w:p w14:paraId="234AFA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80E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3" w:type="dxa"/>
            <w:vMerge w:val="continue"/>
            <w:noWrap w:val="0"/>
            <w:vAlign w:val="center"/>
          </w:tcPr>
          <w:p w14:paraId="32EE1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57" w:type="dxa"/>
            <w:gridSpan w:val="2"/>
            <w:noWrap w:val="0"/>
            <w:vAlign w:val="center"/>
          </w:tcPr>
          <w:p w14:paraId="0557E7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077" w:type="dxa"/>
            <w:noWrap w:val="0"/>
            <w:vAlign w:val="center"/>
          </w:tcPr>
          <w:p w14:paraId="5E0A66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3443.12</w:t>
            </w:r>
          </w:p>
        </w:tc>
        <w:tc>
          <w:tcPr>
            <w:tcW w:w="1170" w:type="dxa"/>
            <w:noWrap w:val="0"/>
            <w:vAlign w:val="center"/>
          </w:tcPr>
          <w:p w14:paraId="393B11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4570.14</w:t>
            </w:r>
          </w:p>
        </w:tc>
        <w:tc>
          <w:tcPr>
            <w:tcW w:w="1112" w:type="dxa"/>
            <w:noWrap w:val="0"/>
            <w:vAlign w:val="center"/>
          </w:tcPr>
          <w:p w14:paraId="138AA9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4540.92</w:t>
            </w:r>
          </w:p>
        </w:tc>
        <w:tc>
          <w:tcPr>
            <w:tcW w:w="690" w:type="dxa"/>
            <w:noWrap w:val="0"/>
            <w:vAlign w:val="center"/>
          </w:tcPr>
          <w:p w14:paraId="21ABDC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970" w:type="dxa"/>
            <w:noWrap w:val="0"/>
            <w:vAlign w:val="center"/>
          </w:tcPr>
          <w:p w14:paraId="3284A0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99.36%</w:t>
            </w:r>
          </w:p>
        </w:tc>
        <w:tc>
          <w:tcPr>
            <w:tcW w:w="1038" w:type="dxa"/>
            <w:noWrap w:val="0"/>
            <w:vAlign w:val="center"/>
          </w:tcPr>
          <w:p w14:paraId="6DF3C3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9.94</w:t>
            </w:r>
          </w:p>
        </w:tc>
      </w:tr>
      <w:tr w14:paraId="092B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3" w:type="dxa"/>
            <w:vMerge w:val="continue"/>
            <w:noWrap w:val="0"/>
            <w:vAlign w:val="center"/>
          </w:tcPr>
          <w:p w14:paraId="4C6160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4" w:type="dxa"/>
            <w:gridSpan w:val="4"/>
            <w:noWrap w:val="0"/>
            <w:vAlign w:val="center"/>
          </w:tcPr>
          <w:p w14:paraId="679D08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810" w:type="dxa"/>
            <w:gridSpan w:val="4"/>
            <w:noWrap w:val="0"/>
            <w:vAlign w:val="center"/>
          </w:tcPr>
          <w:p w14:paraId="532775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5EE9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3" w:type="dxa"/>
            <w:vMerge w:val="continue"/>
            <w:noWrap w:val="0"/>
            <w:vAlign w:val="center"/>
          </w:tcPr>
          <w:p w14:paraId="332D36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4" w:type="dxa"/>
            <w:gridSpan w:val="4"/>
            <w:noWrap w:val="0"/>
            <w:vAlign w:val="center"/>
          </w:tcPr>
          <w:p w14:paraId="2F45AD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 xml:space="preserve">      2609.74</w:t>
            </w:r>
          </w:p>
        </w:tc>
        <w:tc>
          <w:tcPr>
            <w:tcW w:w="3810" w:type="dxa"/>
            <w:gridSpan w:val="4"/>
            <w:noWrap w:val="0"/>
            <w:vAlign w:val="center"/>
          </w:tcPr>
          <w:p w14:paraId="50BE0F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 xml:space="preserve">   1620.70</w:t>
            </w:r>
          </w:p>
        </w:tc>
      </w:tr>
      <w:tr w14:paraId="046C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3" w:type="dxa"/>
            <w:vMerge w:val="continue"/>
            <w:noWrap w:val="0"/>
            <w:vAlign w:val="center"/>
          </w:tcPr>
          <w:p w14:paraId="706168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4" w:type="dxa"/>
            <w:gridSpan w:val="4"/>
            <w:noWrap w:val="0"/>
            <w:vAlign w:val="center"/>
          </w:tcPr>
          <w:p w14:paraId="095AC3BA">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810" w:type="dxa"/>
            <w:gridSpan w:val="4"/>
            <w:noWrap w:val="0"/>
            <w:vAlign w:val="center"/>
          </w:tcPr>
          <w:p w14:paraId="387E78C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 xml:space="preserve">   2949.45</w:t>
            </w:r>
          </w:p>
        </w:tc>
      </w:tr>
      <w:tr w14:paraId="3BDC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3" w:type="dxa"/>
            <w:vMerge w:val="continue"/>
            <w:noWrap w:val="0"/>
            <w:vAlign w:val="center"/>
          </w:tcPr>
          <w:p w14:paraId="227BCC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4" w:type="dxa"/>
            <w:gridSpan w:val="4"/>
            <w:noWrap w:val="0"/>
            <w:vAlign w:val="center"/>
          </w:tcPr>
          <w:p w14:paraId="79B5C3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纳入专户管理的非税收入拨款：</w:t>
            </w:r>
            <w:r>
              <w:rPr>
                <w:rFonts w:hint="eastAsia" w:ascii="仿宋" w:hAnsi="仿宋" w:eastAsia="仿宋" w:cs="仿宋"/>
                <w:color w:val="000000"/>
                <w:kern w:val="0"/>
                <w:sz w:val="20"/>
                <w:szCs w:val="20"/>
                <w:lang w:val="en-US" w:eastAsia="zh-CN"/>
              </w:rPr>
              <w:t xml:space="preserve">  1957.50</w:t>
            </w:r>
          </w:p>
        </w:tc>
        <w:tc>
          <w:tcPr>
            <w:tcW w:w="3810" w:type="dxa"/>
            <w:gridSpan w:val="4"/>
            <w:noWrap w:val="0"/>
            <w:vAlign w:val="center"/>
          </w:tcPr>
          <w:p w14:paraId="4075A8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1F7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3" w:type="dxa"/>
            <w:vMerge w:val="continue"/>
            <w:noWrap w:val="0"/>
            <w:vAlign w:val="center"/>
          </w:tcPr>
          <w:p w14:paraId="02C37E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4" w:type="dxa"/>
            <w:gridSpan w:val="4"/>
            <w:noWrap w:val="0"/>
            <w:vAlign w:val="center"/>
          </w:tcPr>
          <w:p w14:paraId="6C3D2D6A">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r>
              <w:rPr>
                <w:rFonts w:hint="eastAsia" w:ascii="仿宋" w:hAnsi="仿宋" w:eastAsia="仿宋" w:cs="仿宋"/>
                <w:color w:val="000000"/>
                <w:kern w:val="0"/>
                <w:sz w:val="20"/>
                <w:szCs w:val="20"/>
                <w:lang w:val="en-US" w:eastAsia="zh-CN"/>
              </w:rPr>
              <w:t xml:space="preserve">      2.91</w:t>
            </w:r>
          </w:p>
        </w:tc>
        <w:tc>
          <w:tcPr>
            <w:tcW w:w="3810" w:type="dxa"/>
            <w:gridSpan w:val="4"/>
            <w:noWrap w:val="0"/>
            <w:vAlign w:val="center"/>
          </w:tcPr>
          <w:p w14:paraId="623AB5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14E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3" w:type="dxa"/>
            <w:vMerge w:val="restart"/>
            <w:noWrap w:val="0"/>
            <w:vAlign w:val="center"/>
          </w:tcPr>
          <w:p w14:paraId="392081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4" w:type="dxa"/>
            <w:gridSpan w:val="4"/>
            <w:noWrap w:val="0"/>
            <w:vAlign w:val="center"/>
          </w:tcPr>
          <w:p w14:paraId="1708D1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10" w:type="dxa"/>
            <w:gridSpan w:val="4"/>
            <w:noWrap w:val="0"/>
            <w:vAlign w:val="center"/>
          </w:tcPr>
          <w:p w14:paraId="5EE3F1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B9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3" w:type="dxa"/>
            <w:vMerge w:val="continue"/>
            <w:noWrap w:val="0"/>
            <w:vAlign w:val="center"/>
          </w:tcPr>
          <w:p w14:paraId="0ADB64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4" w:type="dxa"/>
            <w:gridSpan w:val="4"/>
            <w:noWrap w:val="0"/>
            <w:vAlign w:val="center"/>
          </w:tcPr>
          <w:p w14:paraId="2F959DE7">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以保障供血为目标，以保证质量为核心，以优质服务为宗旨，坚持“规范管理、优质服务、保障供应、保证安全”的质量方针，完善“行政、质量、绩效”三大管理机制，继续深化“服务、质量、纪律、作风”四个意识教育，按照“培育献血者、方便献血者、服务献血者、宣传献血者”的工作思路，着力完善献血者队伍管理，开拓创新无偿献血宣传招募机制，科学合理调度血液供应，开源节流，做好我市血液采集供应和血液安全工作，为我市经济建设和社会发展服好务。</w:t>
            </w:r>
          </w:p>
        </w:tc>
        <w:tc>
          <w:tcPr>
            <w:tcW w:w="3810" w:type="dxa"/>
            <w:gridSpan w:val="4"/>
            <w:noWrap w:val="0"/>
            <w:vAlign w:val="center"/>
          </w:tcPr>
          <w:p w14:paraId="314FB6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年全市累</w:t>
            </w:r>
            <w:r>
              <w:rPr>
                <w:rFonts w:hint="eastAsia" w:ascii="仿宋" w:hAnsi="仿宋" w:eastAsia="仿宋" w:cs="仿宋"/>
                <w:color w:val="000000"/>
                <w:kern w:val="0"/>
                <w:sz w:val="20"/>
                <w:szCs w:val="20"/>
                <w:highlight w:val="none"/>
              </w:rPr>
              <w:t>计41265人次参加无偿献血，捐献血液</w:t>
            </w:r>
            <w:r>
              <w:rPr>
                <w:rFonts w:hint="eastAsia" w:ascii="仿宋" w:hAnsi="仿宋" w:eastAsia="仿宋" w:cs="仿宋"/>
                <w:color w:val="000000"/>
                <w:kern w:val="0"/>
                <w:sz w:val="20"/>
                <w:szCs w:val="20"/>
                <w:highlight w:val="none"/>
                <w:lang w:val="en-US" w:eastAsia="zh-CN"/>
              </w:rPr>
              <w:t>15.12</w:t>
            </w:r>
            <w:r>
              <w:rPr>
                <w:rFonts w:hint="eastAsia" w:ascii="仿宋" w:hAnsi="仿宋" w:eastAsia="仿宋" w:cs="仿宋"/>
                <w:color w:val="000000"/>
                <w:kern w:val="0"/>
                <w:sz w:val="20"/>
                <w:szCs w:val="20"/>
                <w:highlight w:val="none"/>
              </w:rPr>
              <w:t>吨，</w:t>
            </w:r>
            <w:r>
              <w:rPr>
                <w:rFonts w:hint="eastAsia" w:ascii="仿宋" w:hAnsi="仿宋" w:eastAsia="仿宋" w:cs="仿宋"/>
                <w:color w:val="000000"/>
                <w:kern w:val="0"/>
                <w:sz w:val="20"/>
                <w:szCs w:val="20"/>
                <w:lang w:eastAsia="zh-CN"/>
              </w:rPr>
              <w:t>献血人次同比增长</w:t>
            </w:r>
            <w:r>
              <w:rPr>
                <w:rFonts w:hint="eastAsia" w:ascii="仿宋" w:hAnsi="仿宋" w:eastAsia="仿宋" w:cs="仿宋"/>
                <w:color w:val="000000"/>
                <w:kern w:val="0"/>
                <w:sz w:val="20"/>
                <w:szCs w:val="20"/>
                <w:lang w:val="en-US" w:eastAsia="zh-CN"/>
              </w:rPr>
              <w:t>10.7%（增幅全省第一），献血率同比增长7.6%（增量全省第二），千人口献血率9.34</w:t>
            </w:r>
            <w:r>
              <w:rPr>
                <w:rFonts w:hint="default" w:ascii="Arial" w:hAnsi="Arial" w:eastAsia="仿宋" w:cs="Arial"/>
                <w:color w:val="000000"/>
                <w:kern w:val="0"/>
                <w:sz w:val="20"/>
                <w:szCs w:val="20"/>
                <w:lang w:val="en-US" w:eastAsia="zh-CN"/>
              </w:rPr>
              <w:t>‰</w:t>
            </w:r>
            <w:r>
              <w:rPr>
                <w:rFonts w:hint="eastAsia" w:ascii="仿宋" w:hAnsi="仿宋" w:eastAsia="仿宋" w:cs="仿宋"/>
                <w:color w:val="000000"/>
                <w:kern w:val="0"/>
                <w:sz w:val="20"/>
                <w:szCs w:val="20"/>
                <w:lang w:val="en-US" w:eastAsia="zh-CN"/>
              </w:rPr>
              <w:t>，首次超越全省平均水平，全市临床用血100%来自自愿无偿献血</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highlight w:val="none"/>
              </w:rPr>
              <w:t>202</w:t>
            </w:r>
            <w:r>
              <w:rPr>
                <w:rFonts w:hint="eastAsia" w:ascii="仿宋" w:hAnsi="仿宋" w:eastAsia="仿宋" w:cs="仿宋"/>
                <w:color w:val="000000"/>
                <w:kern w:val="0"/>
                <w:sz w:val="20"/>
                <w:szCs w:val="20"/>
                <w:highlight w:val="none"/>
                <w:lang w:val="en-US" w:eastAsia="zh-CN"/>
              </w:rPr>
              <w:t>5</w:t>
            </w:r>
            <w:r>
              <w:rPr>
                <w:rFonts w:hint="eastAsia" w:ascii="仿宋" w:hAnsi="仿宋" w:eastAsia="仿宋" w:cs="仿宋"/>
                <w:color w:val="000000"/>
                <w:kern w:val="0"/>
                <w:sz w:val="20"/>
                <w:szCs w:val="20"/>
                <w:highlight w:val="none"/>
              </w:rPr>
              <w:t>年临床供血总量2</w:t>
            </w:r>
            <w:r>
              <w:rPr>
                <w:rFonts w:hint="eastAsia" w:ascii="仿宋" w:hAnsi="仿宋" w:eastAsia="仿宋" w:cs="仿宋"/>
                <w:color w:val="000000"/>
                <w:kern w:val="0"/>
                <w:sz w:val="20"/>
                <w:szCs w:val="20"/>
                <w:highlight w:val="none"/>
                <w:lang w:val="en-US" w:eastAsia="zh-CN"/>
              </w:rPr>
              <w:t>8.74</w:t>
            </w:r>
            <w:r>
              <w:rPr>
                <w:rFonts w:hint="eastAsia" w:ascii="仿宋" w:hAnsi="仿宋" w:eastAsia="仿宋" w:cs="仿宋"/>
                <w:color w:val="000000"/>
                <w:kern w:val="0"/>
                <w:sz w:val="20"/>
                <w:szCs w:val="20"/>
                <w:highlight w:val="none"/>
              </w:rPr>
              <w:t>吨，</w:t>
            </w:r>
            <w:r>
              <w:rPr>
                <w:rFonts w:hint="eastAsia" w:ascii="仿宋" w:hAnsi="仿宋" w:eastAsia="仿宋" w:cs="仿宋"/>
                <w:color w:val="000000"/>
                <w:kern w:val="0"/>
                <w:sz w:val="20"/>
                <w:szCs w:val="20"/>
              </w:rPr>
              <w:t>未发生血液质量安全事故。全市临床用血100%来自自愿无偿献血，满足全市临床用血需求</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临床用血合格100%，巩固血站核酸检测全覆盖，提高血液安全水平，核酸检测</w:t>
            </w:r>
            <w:r>
              <w:rPr>
                <w:rFonts w:hint="eastAsia" w:ascii="仿宋" w:hAnsi="仿宋" w:eastAsia="仿宋" w:cs="仿宋"/>
                <w:color w:val="000000"/>
                <w:kern w:val="0"/>
                <w:sz w:val="20"/>
                <w:szCs w:val="20"/>
                <w:lang w:eastAsia="zh-CN"/>
              </w:rPr>
              <w:t>覆盖</w:t>
            </w:r>
            <w:r>
              <w:rPr>
                <w:rFonts w:hint="eastAsia" w:ascii="仿宋" w:hAnsi="仿宋" w:eastAsia="仿宋" w:cs="仿宋"/>
                <w:color w:val="000000"/>
                <w:kern w:val="0"/>
                <w:sz w:val="20"/>
                <w:szCs w:val="20"/>
              </w:rPr>
              <w:t>率达100%。</w:t>
            </w:r>
          </w:p>
        </w:tc>
      </w:tr>
      <w:tr w14:paraId="3A2E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3" w:type="dxa"/>
            <w:vMerge w:val="restart"/>
            <w:noWrap w:val="0"/>
            <w:vAlign w:val="center"/>
          </w:tcPr>
          <w:p w14:paraId="27D268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A556E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33737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BD33D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00" w:type="dxa"/>
            <w:noWrap w:val="0"/>
            <w:vAlign w:val="center"/>
          </w:tcPr>
          <w:p w14:paraId="3BD162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7" w:type="dxa"/>
            <w:noWrap w:val="0"/>
            <w:vAlign w:val="center"/>
          </w:tcPr>
          <w:p w14:paraId="6CAFB4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7" w:type="dxa"/>
            <w:noWrap w:val="0"/>
            <w:vAlign w:val="center"/>
          </w:tcPr>
          <w:p w14:paraId="01A168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0" w:type="dxa"/>
            <w:noWrap w:val="0"/>
            <w:vAlign w:val="center"/>
          </w:tcPr>
          <w:p w14:paraId="3D3DEC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EA923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2" w:type="dxa"/>
            <w:noWrap w:val="0"/>
            <w:vAlign w:val="center"/>
          </w:tcPr>
          <w:p w14:paraId="0EEFCC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DDB7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0" w:type="dxa"/>
            <w:noWrap w:val="0"/>
            <w:vAlign w:val="center"/>
          </w:tcPr>
          <w:p w14:paraId="24AEE8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70" w:type="dxa"/>
            <w:noWrap w:val="0"/>
            <w:vAlign w:val="center"/>
          </w:tcPr>
          <w:p w14:paraId="6D5277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38" w:type="dxa"/>
            <w:noWrap w:val="0"/>
            <w:vAlign w:val="top"/>
          </w:tcPr>
          <w:p w14:paraId="6A15EE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5DDEE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6DC66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2F8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3" w:type="dxa"/>
            <w:vMerge w:val="continue"/>
            <w:noWrap w:val="0"/>
            <w:vAlign w:val="center"/>
          </w:tcPr>
          <w:p w14:paraId="33FA93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restart"/>
            <w:noWrap w:val="0"/>
            <w:vAlign w:val="center"/>
          </w:tcPr>
          <w:p w14:paraId="1EBD17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57" w:type="dxa"/>
            <w:noWrap w:val="0"/>
            <w:vAlign w:val="center"/>
          </w:tcPr>
          <w:p w14:paraId="1DEA14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77" w:type="dxa"/>
            <w:noWrap w:val="0"/>
            <w:vAlign w:val="center"/>
          </w:tcPr>
          <w:p w14:paraId="08D91C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3"/>
                <w:szCs w:val="13"/>
              </w:rPr>
            </w:pPr>
            <w:r>
              <w:rPr>
                <w:rFonts w:hint="eastAsia" w:ascii="仿宋" w:hAnsi="仿宋" w:eastAsia="仿宋" w:cs="仿宋"/>
                <w:color w:val="000000"/>
                <w:kern w:val="0"/>
                <w:sz w:val="16"/>
                <w:szCs w:val="16"/>
                <w:lang w:eastAsia="zh-CN"/>
              </w:rPr>
              <w:t>部门整体支出成本</w:t>
            </w:r>
          </w:p>
        </w:tc>
        <w:tc>
          <w:tcPr>
            <w:tcW w:w="1170" w:type="dxa"/>
            <w:noWrap w:val="0"/>
            <w:vAlign w:val="center"/>
          </w:tcPr>
          <w:p w14:paraId="70DEC1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1"/>
                <w:szCs w:val="21"/>
                <w:lang w:val="en-US"/>
              </w:rPr>
            </w:pPr>
            <w:r>
              <w:rPr>
                <w:rFonts w:hint="eastAsia" w:ascii="仿宋" w:hAnsi="仿宋" w:eastAsia="仿宋" w:cs="仿宋"/>
                <w:color w:val="000000"/>
                <w:kern w:val="0"/>
                <w:sz w:val="15"/>
                <w:szCs w:val="15"/>
                <w:lang w:eastAsia="zh-CN"/>
              </w:rPr>
              <w:t>≤</w:t>
            </w:r>
            <w:r>
              <w:rPr>
                <w:rFonts w:hint="eastAsia" w:ascii="仿宋" w:hAnsi="仿宋" w:eastAsia="仿宋" w:cs="仿宋"/>
                <w:color w:val="000000"/>
                <w:kern w:val="0"/>
                <w:sz w:val="15"/>
                <w:szCs w:val="15"/>
                <w:lang w:val="en-US" w:eastAsia="zh-CN"/>
              </w:rPr>
              <w:t>3443.12万元</w:t>
            </w:r>
          </w:p>
        </w:tc>
        <w:tc>
          <w:tcPr>
            <w:tcW w:w="1112" w:type="dxa"/>
            <w:noWrap w:val="0"/>
            <w:vAlign w:val="center"/>
          </w:tcPr>
          <w:p w14:paraId="6DBBB2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15"/>
                <w:szCs w:val="15"/>
                <w:lang w:val="en-US" w:eastAsia="zh-CN"/>
              </w:rPr>
              <w:t>4540.92万元</w:t>
            </w:r>
          </w:p>
        </w:tc>
        <w:tc>
          <w:tcPr>
            <w:tcW w:w="690" w:type="dxa"/>
            <w:noWrap w:val="0"/>
            <w:vAlign w:val="center"/>
          </w:tcPr>
          <w:p w14:paraId="4B15AE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970" w:type="dxa"/>
            <w:noWrap w:val="0"/>
            <w:vAlign w:val="center"/>
          </w:tcPr>
          <w:p w14:paraId="1A88DD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6</w:t>
            </w:r>
          </w:p>
        </w:tc>
        <w:tc>
          <w:tcPr>
            <w:tcW w:w="1038" w:type="dxa"/>
            <w:noWrap w:val="0"/>
            <w:vAlign w:val="center"/>
          </w:tcPr>
          <w:p w14:paraId="0C9719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01B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3" w:type="dxa"/>
            <w:vMerge w:val="continue"/>
            <w:noWrap w:val="0"/>
            <w:vAlign w:val="center"/>
          </w:tcPr>
          <w:p w14:paraId="097406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20E3AF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7" w:type="dxa"/>
            <w:noWrap w:val="0"/>
            <w:vAlign w:val="center"/>
          </w:tcPr>
          <w:p w14:paraId="695CFB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77" w:type="dxa"/>
            <w:noWrap w:val="0"/>
            <w:vAlign w:val="center"/>
          </w:tcPr>
          <w:p w14:paraId="757C2F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社会成本节约率</w:t>
            </w:r>
          </w:p>
        </w:tc>
        <w:tc>
          <w:tcPr>
            <w:tcW w:w="1170" w:type="dxa"/>
            <w:noWrap w:val="0"/>
            <w:vAlign w:val="center"/>
          </w:tcPr>
          <w:p w14:paraId="6017CA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2" w:type="dxa"/>
            <w:noWrap w:val="0"/>
            <w:vAlign w:val="center"/>
          </w:tcPr>
          <w:p w14:paraId="240EA4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0.64%</w:t>
            </w:r>
          </w:p>
        </w:tc>
        <w:tc>
          <w:tcPr>
            <w:tcW w:w="690" w:type="dxa"/>
            <w:noWrap w:val="0"/>
            <w:vAlign w:val="center"/>
          </w:tcPr>
          <w:p w14:paraId="2CE2C1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970" w:type="dxa"/>
            <w:noWrap w:val="0"/>
            <w:vAlign w:val="center"/>
          </w:tcPr>
          <w:p w14:paraId="4CA6BF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38" w:type="dxa"/>
            <w:noWrap w:val="0"/>
            <w:vAlign w:val="center"/>
          </w:tcPr>
          <w:p w14:paraId="4A2CF0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0C6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3" w:type="dxa"/>
            <w:vMerge w:val="continue"/>
            <w:noWrap w:val="0"/>
            <w:vAlign w:val="center"/>
          </w:tcPr>
          <w:p w14:paraId="718407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10EF8E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7" w:type="dxa"/>
            <w:noWrap w:val="0"/>
            <w:vAlign w:val="center"/>
          </w:tcPr>
          <w:p w14:paraId="76A6F1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77" w:type="dxa"/>
            <w:noWrap w:val="0"/>
            <w:vAlign w:val="center"/>
          </w:tcPr>
          <w:p w14:paraId="5C6E95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生态环境成本节约率</w:t>
            </w:r>
          </w:p>
        </w:tc>
        <w:tc>
          <w:tcPr>
            <w:tcW w:w="1170" w:type="dxa"/>
            <w:noWrap w:val="0"/>
            <w:vAlign w:val="center"/>
          </w:tcPr>
          <w:p w14:paraId="5B1A74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2" w:type="dxa"/>
            <w:noWrap w:val="0"/>
            <w:vAlign w:val="center"/>
          </w:tcPr>
          <w:p w14:paraId="650CDC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0.64%</w:t>
            </w:r>
          </w:p>
        </w:tc>
        <w:tc>
          <w:tcPr>
            <w:tcW w:w="690" w:type="dxa"/>
            <w:noWrap w:val="0"/>
            <w:vAlign w:val="center"/>
          </w:tcPr>
          <w:p w14:paraId="2F51DC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970" w:type="dxa"/>
            <w:noWrap w:val="0"/>
            <w:vAlign w:val="center"/>
          </w:tcPr>
          <w:p w14:paraId="4A0270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38" w:type="dxa"/>
            <w:noWrap w:val="0"/>
            <w:vAlign w:val="center"/>
          </w:tcPr>
          <w:p w14:paraId="78FAE0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4B0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3" w:type="dxa"/>
            <w:vMerge w:val="continue"/>
            <w:noWrap w:val="0"/>
            <w:vAlign w:val="center"/>
          </w:tcPr>
          <w:p w14:paraId="0984CD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restart"/>
            <w:noWrap w:val="0"/>
            <w:vAlign w:val="center"/>
          </w:tcPr>
          <w:p w14:paraId="2486BE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65E5F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7" w:type="dxa"/>
            <w:vMerge w:val="restart"/>
            <w:noWrap w:val="0"/>
            <w:vAlign w:val="center"/>
          </w:tcPr>
          <w:p w14:paraId="43503E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231567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7" w:type="dxa"/>
            <w:noWrap w:val="0"/>
            <w:vAlign w:val="center"/>
          </w:tcPr>
          <w:p w14:paraId="6C376E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采血量</w:t>
            </w:r>
          </w:p>
        </w:tc>
        <w:tc>
          <w:tcPr>
            <w:tcW w:w="1170" w:type="dxa"/>
            <w:noWrap w:val="0"/>
            <w:vAlign w:val="center"/>
          </w:tcPr>
          <w:p w14:paraId="6D2316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16吨</w:t>
            </w:r>
          </w:p>
        </w:tc>
        <w:tc>
          <w:tcPr>
            <w:tcW w:w="1112" w:type="dxa"/>
            <w:noWrap w:val="0"/>
            <w:vAlign w:val="center"/>
          </w:tcPr>
          <w:p w14:paraId="6247BD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15.12吨</w:t>
            </w:r>
          </w:p>
        </w:tc>
        <w:tc>
          <w:tcPr>
            <w:tcW w:w="690" w:type="dxa"/>
            <w:noWrap w:val="0"/>
            <w:vAlign w:val="center"/>
          </w:tcPr>
          <w:p w14:paraId="2023A9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970" w:type="dxa"/>
            <w:noWrap w:val="0"/>
            <w:vAlign w:val="center"/>
          </w:tcPr>
          <w:p w14:paraId="076150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2.84</w:t>
            </w:r>
          </w:p>
        </w:tc>
        <w:tc>
          <w:tcPr>
            <w:tcW w:w="1038" w:type="dxa"/>
            <w:noWrap w:val="0"/>
            <w:vAlign w:val="center"/>
          </w:tcPr>
          <w:p w14:paraId="491BC2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97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3" w:type="dxa"/>
            <w:vMerge w:val="continue"/>
            <w:noWrap w:val="0"/>
            <w:vAlign w:val="center"/>
          </w:tcPr>
          <w:p w14:paraId="73907A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33F9E7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593505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498632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参加无偿献血人数</w:t>
            </w:r>
          </w:p>
        </w:tc>
        <w:tc>
          <w:tcPr>
            <w:tcW w:w="1170" w:type="dxa"/>
            <w:noWrap w:val="0"/>
            <w:vAlign w:val="center"/>
          </w:tcPr>
          <w:p w14:paraId="55BA77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42000人</w:t>
            </w:r>
          </w:p>
        </w:tc>
        <w:tc>
          <w:tcPr>
            <w:tcW w:w="1112" w:type="dxa"/>
            <w:noWrap w:val="0"/>
            <w:vAlign w:val="center"/>
          </w:tcPr>
          <w:p w14:paraId="0EB598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41265人</w:t>
            </w:r>
          </w:p>
        </w:tc>
        <w:tc>
          <w:tcPr>
            <w:tcW w:w="690" w:type="dxa"/>
            <w:noWrap w:val="0"/>
            <w:vAlign w:val="center"/>
          </w:tcPr>
          <w:p w14:paraId="4DC3C1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970" w:type="dxa"/>
            <w:noWrap w:val="0"/>
            <w:vAlign w:val="center"/>
          </w:tcPr>
          <w:p w14:paraId="5C0817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2.95</w:t>
            </w:r>
          </w:p>
        </w:tc>
        <w:tc>
          <w:tcPr>
            <w:tcW w:w="1038" w:type="dxa"/>
            <w:noWrap w:val="0"/>
            <w:vAlign w:val="center"/>
          </w:tcPr>
          <w:p w14:paraId="3D2145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CD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3" w:type="dxa"/>
            <w:vMerge w:val="continue"/>
            <w:noWrap w:val="0"/>
            <w:vAlign w:val="center"/>
          </w:tcPr>
          <w:p w14:paraId="3D21AF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2847A0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49B854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1E1D52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组织培训学时</w:t>
            </w:r>
          </w:p>
        </w:tc>
        <w:tc>
          <w:tcPr>
            <w:tcW w:w="1170" w:type="dxa"/>
            <w:noWrap w:val="0"/>
            <w:vAlign w:val="center"/>
          </w:tcPr>
          <w:p w14:paraId="30AA14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75学时</w:t>
            </w:r>
          </w:p>
        </w:tc>
        <w:tc>
          <w:tcPr>
            <w:tcW w:w="1112" w:type="dxa"/>
            <w:noWrap w:val="0"/>
            <w:vAlign w:val="center"/>
          </w:tcPr>
          <w:p w14:paraId="124B55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75学时</w:t>
            </w:r>
          </w:p>
        </w:tc>
        <w:tc>
          <w:tcPr>
            <w:tcW w:w="690" w:type="dxa"/>
            <w:noWrap w:val="0"/>
            <w:vAlign w:val="center"/>
          </w:tcPr>
          <w:p w14:paraId="14C86C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70" w:type="dxa"/>
            <w:noWrap w:val="0"/>
            <w:vAlign w:val="center"/>
          </w:tcPr>
          <w:p w14:paraId="26C10F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8" w:type="dxa"/>
            <w:noWrap w:val="0"/>
            <w:vAlign w:val="center"/>
          </w:tcPr>
          <w:p w14:paraId="08BA64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E23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3" w:type="dxa"/>
            <w:vMerge w:val="continue"/>
            <w:noWrap w:val="0"/>
            <w:vAlign w:val="center"/>
          </w:tcPr>
          <w:p w14:paraId="36CF6E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489237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56551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393AEB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rPr>
              <w:t>开展无偿献血宣传</w:t>
            </w:r>
          </w:p>
        </w:tc>
        <w:tc>
          <w:tcPr>
            <w:tcW w:w="1170" w:type="dxa"/>
            <w:noWrap w:val="0"/>
            <w:vAlign w:val="center"/>
          </w:tcPr>
          <w:p w14:paraId="4C809D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w:t>
            </w:r>
            <w:r>
              <w:rPr>
                <w:rFonts w:hint="eastAsia" w:ascii="仿宋" w:hAnsi="仿宋" w:eastAsia="仿宋" w:cs="仿宋"/>
                <w:color w:val="000000"/>
                <w:kern w:val="0"/>
                <w:sz w:val="20"/>
                <w:szCs w:val="20"/>
                <w:highlight w:val="none"/>
                <w:lang w:val="en-US" w:eastAsia="zh-CN"/>
              </w:rPr>
              <w:t>86次</w:t>
            </w:r>
          </w:p>
        </w:tc>
        <w:tc>
          <w:tcPr>
            <w:tcW w:w="1112" w:type="dxa"/>
            <w:noWrap w:val="0"/>
            <w:vAlign w:val="center"/>
          </w:tcPr>
          <w:p w14:paraId="448EFC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48次</w:t>
            </w:r>
          </w:p>
        </w:tc>
        <w:tc>
          <w:tcPr>
            <w:tcW w:w="690" w:type="dxa"/>
            <w:noWrap w:val="0"/>
            <w:vAlign w:val="center"/>
          </w:tcPr>
          <w:p w14:paraId="2FFEC2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70" w:type="dxa"/>
            <w:noWrap w:val="0"/>
            <w:vAlign w:val="center"/>
          </w:tcPr>
          <w:p w14:paraId="60EF54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1.67</w:t>
            </w:r>
          </w:p>
        </w:tc>
        <w:tc>
          <w:tcPr>
            <w:tcW w:w="1038" w:type="dxa"/>
            <w:noWrap w:val="0"/>
            <w:vAlign w:val="center"/>
          </w:tcPr>
          <w:p w14:paraId="1C4B31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15"/>
                <w:szCs w:val="15"/>
                <w:highlight w:val="none"/>
                <w:lang w:val="en-US" w:eastAsia="zh-CN"/>
              </w:rPr>
              <w:t>年中宣传政策的调整</w:t>
            </w:r>
          </w:p>
        </w:tc>
      </w:tr>
      <w:tr w14:paraId="4270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3" w:type="dxa"/>
            <w:vMerge w:val="continue"/>
            <w:noWrap w:val="0"/>
            <w:vAlign w:val="center"/>
          </w:tcPr>
          <w:p w14:paraId="2C19AF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4D88FD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0F68D5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152318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spacing w:val="-11"/>
                <w:kern w:val="0"/>
                <w:sz w:val="16"/>
                <w:szCs w:val="16"/>
              </w:rPr>
              <w:t>发表宣传稿件</w:t>
            </w:r>
          </w:p>
        </w:tc>
        <w:tc>
          <w:tcPr>
            <w:tcW w:w="1170" w:type="dxa"/>
            <w:noWrap w:val="0"/>
            <w:vAlign w:val="center"/>
          </w:tcPr>
          <w:p w14:paraId="6E9E48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112篇</w:t>
            </w:r>
          </w:p>
        </w:tc>
        <w:tc>
          <w:tcPr>
            <w:tcW w:w="1112" w:type="dxa"/>
            <w:noWrap w:val="0"/>
            <w:vAlign w:val="center"/>
          </w:tcPr>
          <w:p w14:paraId="53AD62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286篇</w:t>
            </w:r>
          </w:p>
        </w:tc>
        <w:tc>
          <w:tcPr>
            <w:tcW w:w="690" w:type="dxa"/>
            <w:noWrap w:val="0"/>
            <w:vAlign w:val="center"/>
          </w:tcPr>
          <w:p w14:paraId="70269C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70" w:type="dxa"/>
            <w:noWrap w:val="0"/>
            <w:vAlign w:val="center"/>
          </w:tcPr>
          <w:p w14:paraId="0EA7A9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8" w:type="dxa"/>
            <w:noWrap w:val="0"/>
            <w:vAlign w:val="center"/>
          </w:tcPr>
          <w:p w14:paraId="09305A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3A4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3" w:type="dxa"/>
            <w:vMerge w:val="continue"/>
            <w:noWrap w:val="0"/>
            <w:vAlign w:val="center"/>
          </w:tcPr>
          <w:p w14:paraId="2FC455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04C0E5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restart"/>
            <w:noWrap w:val="0"/>
            <w:vAlign w:val="center"/>
          </w:tcPr>
          <w:p w14:paraId="079B87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1D009E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7" w:type="dxa"/>
            <w:noWrap w:val="0"/>
            <w:vAlign w:val="center"/>
          </w:tcPr>
          <w:p w14:paraId="011668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自愿无偿献血率</w:t>
            </w:r>
          </w:p>
        </w:tc>
        <w:tc>
          <w:tcPr>
            <w:tcW w:w="1170" w:type="dxa"/>
            <w:noWrap w:val="0"/>
            <w:vAlign w:val="center"/>
          </w:tcPr>
          <w:p w14:paraId="0ABD3F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noWrap w:val="0"/>
            <w:vAlign w:val="center"/>
          </w:tcPr>
          <w:p w14:paraId="4E7ED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90" w:type="dxa"/>
            <w:noWrap w:val="0"/>
            <w:vAlign w:val="center"/>
          </w:tcPr>
          <w:p w14:paraId="176B0A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970" w:type="dxa"/>
            <w:noWrap w:val="0"/>
            <w:vAlign w:val="center"/>
          </w:tcPr>
          <w:p w14:paraId="378CCB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8" w:type="dxa"/>
            <w:noWrap w:val="0"/>
            <w:vAlign w:val="center"/>
          </w:tcPr>
          <w:p w14:paraId="391E7D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3B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3" w:type="dxa"/>
            <w:vMerge w:val="continue"/>
            <w:noWrap w:val="0"/>
            <w:vAlign w:val="center"/>
          </w:tcPr>
          <w:p w14:paraId="51AA0E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79EC34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71D7E2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355BCC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血液检测合格率</w:t>
            </w:r>
          </w:p>
        </w:tc>
        <w:tc>
          <w:tcPr>
            <w:tcW w:w="1170" w:type="dxa"/>
            <w:noWrap w:val="0"/>
            <w:vAlign w:val="center"/>
          </w:tcPr>
          <w:p w14:paraId="1DDF4D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12" w:type="dxa"/>
            <w:noWrap w:val="0"/>
            <w:vAlign w:val="center"/>
          </w:tcPr>
          <w:p w14:paraId="614B34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90" w:type="dxa"/>
            <w:noWrap w:val="0"/>
            <w:vAlign w:val="center"/>
          </w:tcPr>
          <w:p w14:paraId="3CF832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970" w:type="dxa"/>
            <w:noWrap w:val="0"/>
            <w:vAlign w:val="center"/>
          </w:tcPr>
          <w:p w14:paraId="4E0939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038" w:type="dxa"/>
            <w:noWrap w:val="0"/>
            <w:vAlign w:val="center"/>
          </w:tcPr>
          <w:p w14:paraId="0FAC8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D81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3" w:type="dxa"/>
            <w:vMerge w:val="continue"/>
            <w:noWrap w:val="0"/>
            <w:vAlign w:val="center"/>
          </w:tcPr>
          <w:p w14:paraId="656E68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73A5DF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68C18B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74DE1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采供血全流程监控率</w:t>
            </w:r>
          </w:p>
        </w:tc>
        <w:tc>
          <w:tcPr>
            <w:tcW w:w="1170" w:type="dxa"/>
            <w:noWrap w:val="0"/>
            <w:vAlign w:val="center"/>
          </w:tcPr>
          <w:p w14:paraId="30CFE813">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12" w:type="dxa"/>
            <w:noWrap w:val="0"/>
            <w:vAlign w:val="center"/>
          </w:tcPr>
          <w:p w14:paraId="6529F85D">
            <w:pPr>
              <w:keepNext w:val="0"/>
              <w:keepLines w:val="0"/>
              <w:pageBreakBefore w:val="0"/>
              <w:widowControl/>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90" w:type="dxa"/>
            <w:noWrap w:val="0"/>
            <w:vAlign w:val="center"/>
          </w:tcPr>
          <w:p w14:paraId="234701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70" w:type="dxa"/>
            <w:noWrap w:val="0"/>
            <w:vAlign w:val="center"/>
          </w:tcPr>
          <w:p w14:paraId="6839C1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3</w:t>
            </w:r>
          </w:p>
        </w:tc>
        <w:tc>
          <w:tcPr>
            <w:tcW w:w="1038" w:type="dxa"/>
            <w:noWrap w:val="0"/>
            <w:vAlign w:val="center"/>
          </w:tcPr>
          <w:p w14:paraId="577871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72D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3" w:type="dxa"/>
            <w:vMerge w:val="continue"/>
            <w:noWrap w:val="0"/>
            <w:vAlign w:val="center"/>
          </w:tcPr>
          <w:p w14:paraId="151DB7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25BAE8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vMerge w:val="continue"/>
            <w:noWrap w:val="0"/>
            <w:vAlign w:val="center"/>
          </w:tcPr>
          <w:p w14:paraId="731DB5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7" w:type="dxa"/>
            <w:noWrap w:val="0"/>
            <w:vAlign w:val="center"/>
          </w:tcPr>
          <w:p w14:paraId="06E7ED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信访诉求办结率</w:t>
            </w:r>
          </w:p>
        </w:tc>
        <w:tc>
          <w:tcPr>
            <w:tcW w:w="1170" w:type="dxa"/>
            <w:noWrap w:val="0"/>
            <w:vAlign w:val="center"/>
          </w:tcPr>
          <w:p w14:paraId="05E6DFBA">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12" w:type="dxa"/>
            <w:noWrap w:val="0"/>
            <w:vAlign w:val="center"/>
          </w:tcPr>
          <w:p w14:paraId="76F1CD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90" w:type="dxa"/>
            <w:noWrap w:val="0"/>
            <w:vAlign w:val="center"/>
          </w:tcPr>
          <w:p w14:paraId="7C44E9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70" w:type="dxa"/>
            <w:noWrap w:val="0"/>
            <w:vAlign w:val="center"/>
          </w:tcPr>
          <w:p w14:paraId="7938F6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3</w:t>
            </w:r>
          </w:p>
        </w:tc>
        <w:tc>
          <w:tcPr>
            <w:tcW w:w="1038" w:type="dxa"/>
            <w:noWrap w:val="0"/>
            <w:vAlign w:val="center"/>
          </w:tcPr>
          <w:p w14:paraId="7EA97C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14B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3" w:type="dxa"/>
            <w:vMerge w:val="continue"/>
            <w:noWrap w:val="0"/>
            <w:vAlign w:val="center"/>
          </w:tcPr>
          <w:p w14:paraId="462DAF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1D383F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noWrap w:val="0"/>
            <w:vAlign w:val="center"/>
          </w:tcPr>
          <w:p w14:paraId="0D7325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4C350B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7" w:type="dxa"/>
            <w:noWrap w:val="0"/>
            <w:vAlign w:val="center"/>
          </w:tcPr>
          <w:p w14:paraId="61F373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工作完成时间</w:t>
            </w:r>
          </w:p>
        </w:tc>
        <w:tc>
          <w:tcPr>
            <w:tcW w:w="1170" w:type="dxa"/>
            <w:noWrap w:val="0"/>
            <w:vAlign w:val="center"/>
          </w:tcPr>
          <w:p w14:paraId="3FB7D8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2025年12月31日前</w:t>
            </w:r>
          </w:p>
        </w:tc>
        <w:tc>
          <w:tcPr>
            <w:tcW w:w="1112" w:type="dxa"/>
            <w:noWrap w:val="0"/>
            <w:vAlign w:val="center"/>
          </w:tcPr>
          <w:p w14:paraId="236BCE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90" w:type="dxa"/>
            <w:noWrap w:val="0"/>
            <w:vAlign w:val="center"/>
          </w:tcPr>
          <w:p w14:paraId="068F0D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970" w:type="dxa"/>
            <w:noWrap w:val="0"/>
            <w:vAlign w:val="center"/>
          </w:tcPr>
          <w:p w14:paraId="23718A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4</w:t>
            </w:r>
          </w:p>
        </w:tc>
        <w:tc>
          <w:tcPr>
            <w:tcW w:w="1038" w:type="dxa"/>
            <w:noWrap w:val="0"/>
            <w:vAlign w:val="center"/>
          </w:tcPr>
          <w:p w14:paraId="050321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D2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3" w:type="dxa"/>
            <w:vMerge w:val="continue"/>
            <w:noWrap w:val="0"/>
            <w:vAlign w:val="center"/>
          </w:tcPr>
          <w:p w14:paraId="17AA39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restart"/>
            <w:noWrap w:val="0"/>
            <w:vAlign w:val="center"/>
          </w:tcPr>
          <w:p w14:paraId="2ABE3E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997A9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7" w:type="dxa"/>
            <w:noWrap w:val="0"/>
            <w:vAlign w:val="center"/>
          </w:tcPr>
          <w:p w14:paraId="2297F3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482C1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7" w:type="dxa"/>
            <w:noWrap w:val="0"/>
            <w:vAlign w:val="center"/>
          </w:tcPr>
          <w:p w14:paraId="279619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发挥财政资金使用效益</w:t>
            </w:r>
          </w:p>
        </w:tc>
        <w:tc>
          <w:tcPr>
            <w:tcW w:w="1170" w:type="dxa"/>
            <w:noWrap w:val="0"/>
            <w:vAlign w:val="center"/>
          </w:tcPr>
          <w:p w14:paraId="5D2007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效果明显</w:t>
            </w:r>
          </w:p>
        </w:tc>
        <w:tc>
          <w:tcPr>
            <w:tcW w:w="1112" w:type="dxa"/>
            <w:noWrap w:val="0"/>
            <w:vAlign w:val="center"/>
          </w:tcPr>
          <w:p w14:paraId="1DC93C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16"/>
                <w:szCs w:val="16"/>
              </w:rPr>
              <w:t>效果明显</w:t>
            </w:r>
          </w:p>
        </w:tc>
        <w:tc>
          <w:tcPr>
            <w:tcW w:w="690" w:type="dxa"/>
            <w:noWrap w:val="0"/>
            <w:vAlign w:val="center"/>
          </w:tcPr>
          <w:p w14:paraId="032257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70" w:type="dxa"/>
            <w:noWrap w:val="0"/>
            <w:vAlign w:val="center"/>
          </w:tcPr>
          <w:p w14:paraId="2BA835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038" w:type="dxa"/>
            <w:noWrap w:val="0"/>
            <w:vAlign w:val="center"/>
          </w:tcPr>
          <w:p w14:paraId="62E283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44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3" w:type="dxa"/>
            <w:vMerge w:val="continue"/>
            <w:noWrap w:val="0"/>
            <w:vAlign w:val="center"/>
          </w:tcPr>
          <w:p w14:paraId="0A53F9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45D050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noWrap w:val="0"/>
            <w:vAlign w:val="center"/>
          </w:tcPr>
          <w:p w14:paraId="143D6D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18698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7" w:type="dxa"/>
            <w:noWrap w:val="0"/>
            <w:vAlign w:val="center"/>
          </w:tcPr>
          <w:p w14:paraId="5E5C36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血液质量安全事故发生数</w:t>
            </w:r>
          </w:p>
        </w:tc>
        <w:tc>
          <w:tcPr>
            <w:tcW w:w="1170" w:type="dxa"/>
            <w:noWrap w:val="0"/>
            <w:vAlign w:val="center"/>
          </w:tcPr>
          <w:p w14:paraId="204026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2" w:type="dxa"/>
            <w:noWrap w:val="0"/>
            <w:vAlign w:val="center"/>
          </w:tcPr>
          <w:p w14:paraId="6567EB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690" w:type="dxa"/>
            <w:noWrap w:val="0"/>
            <w:vAlign w:val="center"/>
          </w:tcPr>
          <w:p w14:paraId="188F54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70" w:type="dxa"/>
            <w:noWrap w:val="0"/>
            <w:vAlign w:val="center"/>
          </w:tcPr>
          <w:p w14:paraId="39E040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38" w:type="dxa"/>
            <w:noWrap w:val="0"/>
            <w:vAlign w:val="center"/>
          </w:tcPr>
          <w:p w14:paraId="0433B8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E6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3" w:type="dxa"/>
            <w:vMerge w:val="continue"/>
            <w:noWrap w:val="0"/>
            <w:vAlign w:val="center"/>
          </w:tcPr>
          <w:p w14:paraId="2E9014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4F9A4D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noWrap w:val="0"/>
            <w:vAlign w:val="center"/>
          </w:tcPr>
          <w:p w14:paraId="1D1978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E8214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7" w:type="dxa"/>
            <w:noWrap w:val="0"/>
            <w:vAlign w:val="center"/>
          </w:tcPr>
          <w:p w14:paraId="260190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生态效益情况</w:t>
            </w:r>
          </w:p>
        </w:tc>
        <w:tc>
          <w:tcPr>
            <w:tcW w:w="1170" w:type="dxa"/>
            <w:noWrap w:val="0"/>
            <w:vAlign w:val="center"/>
          </w:tcPr>
          <w:p w14:paraId="09264B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效果明显</w:t>
            </w:r>
          </w:p>
        </w:tc>
        <w:tc>
          <w:tcPr>
            <w:tcW w:w="1112" w:type="dxa"/>
            <w:noWrap w:val="0"/>
            <w:vAlign w:val="center"/>
          </w:tcPr>
          <w:p w14:paraId="3EA5F7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16"/>
                <w:szCs w:val="16"/>
              </w:rPr>
              <w:t>效果明显</w:t>
            </w:r>
          </w:p>
        </w:tc>
        <w:tc>
          <w:tcPr>
            <w:tcW w:w="690" w:type="dxa"/>
            <w:noWrap w:val="0"/>
            <w:vAlign w:val="center"/>
          </w:tcPr>
          <w:p w14:paraId="5BC64F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70" w:type="dxa"/>
            <w:noWrap w:val="0"/>
            <w:vAlign w:val="center"/>
          </w:tcPr>
          <w:p w14:paraId="23426F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38" w:type="dxa"/>
            <w:noWrap w:val="0"/>
            <w:vAlign w:val="center"/>
          </w:tcPr>
          <w:p w14:paraId="46A25F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8A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3" w:type="dxa"/>
            <w:vMerge w:val="continue"/>
            <w:noWrap w:val="0"/>
            <w:vAlign w:val="center"/>
          </w:tcPr>
          <w:p w14:paraId="63A34E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0" w:type="dxa"/>
            <w:vMerge w:val="continue"/>
            <w:noWrap w:val="0"/>
            <w:vAlign w:val="center"/>
          </w:tcPr>
          <w:p w14:paraId="0B8B8E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7" w:type="dxa"/>
            <w:noWrap w:val="0"/>
            <w:vAlign w:val="center"/>
          </w:tcPr>
          <w:p w14:paraId="240306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7" w:type="dxa"/>
            <w:noWrap w:val="0"/>
            <w:vAlign w:val="center"/>
          </w:tcPr>
          <w:p w14:paraId="2B11E2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持续完善全市医疗体系，提高全市医疗水平</w:t>
            </w:r>
          </w:p>
        </w:tc>
        <w:tc>
          <w:tcPr>
            <w:tcW w:w="1170" w:type="dxa"/>
            <w:noWrap w:val="0"/>
            <w:vAlign w:val="center"/>
          </w:tcPr>
          <w:p w14:paraId="2B3C73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效果明显</w:t>
            </w:r>
          </w:p>
        </w:tc>
        <w:tc>
          <w:tcPr>
            <w:tcW w:w="1112" w:type="dxa"/>
            <w:noWrap w:val="0"/>
            <w:vAlign w:val="center"/>
          </w:tcPr>
          <w:p w14:paraId="3CCECC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16"/>
                <w:szCs w:val="16"/>
                <w:lang w:eastAsia="zh-CN"/>
              </w:rPr>
              <w:t>效果明显</w:t>
            </w:r>
          </w:p>
        </w:tc>
        <w:tc>
          <w:tcPr>
            <w:tcW w:w="690" w:type="dxa"/>
            <w:noWrap w:val="0"/>
            <w:vAlign w:val="center"/>
          </w:tcPr>
          <w:p w14:paraId="65D3A4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70" w:type="dxa"/>
            <w:noWrap w:val="0"/>
            <w:vAlign w:val="center"/>
          </w:tcPr>
          <w:p w14:paraId="619849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038" w:type="dxa"/>
            <w:noWrap w:val="0"/>
            <w:vAlign w:val="center"/>
          </w:tcPr>
          <w:p w14:paraId="3B59A8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88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3" w:type="dxa"/>
            <w:vMerge w:val="continue"/>
            <w:noWrap w:val="0"/>
            <w:vAlign w:val="center"/>
          </w:tcPr>
          <w:p w14:paraId="2F3399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765B36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B7C2A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4733E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7" w:type="dxa"/>
            <w:noWrap w:val="0"/>
            <w:vAlign w:val="center"/>
          </w:tcPr>
          <w:p w14:paraId="44BDF3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7" w:type="dxa"/>
            <w:noWrap w:val="0"/>
            <w:vAlign w:val="center"/>
          </w:tcPr>
          <w:p w14:paraId="21FCB0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rPr>
              <w:t>社会公众满意度</w:t>
            </w:r>
          </w:p>
        </w:tc>
        <w:tc>
          <w:tcPr>
            <w:tcW w:w="1170" w:type="dxa"/>
            <w:noWrap w:val="0"/>
            <w:vAlign w:val="center"/>
          </w:tcPr>
          <w:p w14:paraId="6EBB67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95%</w:t>
            </w:r>
            <w:r>
              <w:rPr>
                <w:rFonts w:hint="eastAsia" w:ascii="仿宋" w:hAnsi="仿宋" w:eastAsia="仿宋" w:cs="仿宋"/>
                <w:color w:val="000000"/>
                <w:kern w:val="0"/>
                <w:sz w:val="16"/>
                <w:szCs w:val="16"/>
                <w:lang w:eastAsia="zh-CN"/>
              </w:rPr>
              <w:t>　</w:t>
            </w:r>
          </w:p>
        </w:tc>
        <w:tc>
          <w:tcPr>
            <w:tcW w:w="1112" w:type="dxa"/>
            <w:noWrap w:val="0"/>
            <w:vAlign w:val="center"/>
          </w:tcPr>
          <w:p w14:paraId="1A0F3E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16"/>
                <w:szCs w:val="16"/>
                <w:lang w:val="en-US" w:eastAsia="zh-CN"/>
              </w:rPr>
              <w:t>　100%</w:t>
            </w:r>
          </w:p>
        </w:tc>
        <w:tc>
          <w:tcPr>
            <w:tcW w:w="690" w:type="dxa"/>
            <w:noWrap w:val="0"/>
            <w:vAlign w:val="center"/>
          </w:tcPr>
          <w:p w14:paraId="0E1A3B17">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970" w:type="dxa"/>
            <w:noWrap w:val="0"/>
            <w:vAlign w:val="center"/>
          </w:tcPr>
          <w:p w14:paraId="69E87C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8" w:type="dxa"/>
            <w:noWrap w:val="0"/>
            <w:vAlign w:val="center"/>
          </w:tcPr>
          <w:p w14:paraId="5DCE93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ED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29" w:type="dxa"/>
            <w:gridSpan w:val="6"/>
            <w:noWrap w:val="0"/>
            <w:vAlign w:val="center"/>
          </w:tcPr>
          <w:p w14:paraId="7826F8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总分</w:t>
            </w:r>
          </w:p>
        </w:tc>
        <w:tc>
          <w:tcPr>
            <w:tcW w:w="690" w:type="dxa"/>
            <w:noWrap w:val="0"/>
            <w:vAlign w:val="center"/>
          </w:tcPr>
          <w:p w14:paraId="661327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100</w:t>
            </w:r>
          </w:p>
        </w:tc>
        <w:tc>
          <w:tcPr>
            <w:tcW w:w="970" w:type="dxa"/>
            <w:noWrap w:val="0"/>
            <w:vAlign w:val="center"/>
          </w:tcPr>
          <w:p w14:paraId="5B091F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92.40</w:t>
            </w:r>
          </w:p>
        </w:tc>
        <w:tc>
          <w:tcPr>
            <w:tcW w:w="1038" w:type="dxa"/>
            <w:noWrap w:val="0"/>
            <w:vAlign w:val="center"/>
          </w:tcPr>
          <w:p w14:paraId="14C08D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DFCB853">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蒲曾坤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17375539563 </w:t>
      </w:r>
    </w:p>
    <w:p w14:paraId="08ED08CC">
      <w:pPr>
        <w:rPr>
          <w:rFonts w:hint="default"/>
          <w:lang w:val="en-US" w:eastAsia="zh-CN"/>
        </w:rPr>
        <w:sectPr>
          <w:pgSz w:w="11906" w:h="16838"/>
          <w:pgMar w:top="1531" w:right="1417" w:bottom="1531" w:left="1417" w:header="851" w:footer="992" w:gutter="0"/>
          <w:pgNumType w:fmt="decimal"/>
          <w:cols w:space="425" w:num="1"/>
          <w:docGrid w:type="lines" w:linePitch="312" w:charSpace="0"/>
        </w:sectPr>
      </w:pPr>
      <w:r>
        <w:rPr>
          <w:rFonts w:hint="default"/>
          <w:lang w:val="en-US" w:eastAsia="zh-CN"/>
        </w:rPr>
        <w:br w:type="page"/>
      </w:r>
    </w:p>
    <w:p w14:paraId="2285D71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2B8EF2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941914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60C18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2025年度怀化市中心血站整体支出</w:t>
      </w:r>
    </w:p>
    <w:p w14:paraId="56C0C11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6407F5E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F0EACA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4061BE61">
      <w:pPr>
        <w:keepNext w:val="0"/>
        <w:keepLines w:val="0"/>
        <w:pageBreakBefore w:val="0"/>
        <w:widowControl w:val="0"/>
        <w:kinsoku/>
        <w:wordWrap/>
        <w:overflowPunct/>
        <w:topLinePunct w:val="0"/>
        <w:autoSpaceDE/>
        <w:autoSpaceDN/>
        <w:bidi w:val="0"/>
        <w:adjustRightInd/>
        <w:snapToGrid w:val="0"/>
        <w:spacing w:line="520" w:lineRule="exact"/>
        <w:ind w:firstLine="80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 xml:space="preserve"> </w:t>
      </w:r>
    </w:p>
    <w:p w14:paraId="41EF4D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2217C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09547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8DE85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904AF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B2156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82CC00C">
      <w:pPr>
        <w:pStyle w:val="2"/>
        <w:rPr>
          <w:rFonts w:hint="default"/>
          <w:b w:val="0"/>
          <w:bCs w:val="0"/>
          <w:lang w:val="en-US" w:eastAsia="zh-CN"/>
        </w:rPr>
      </w:pPr>
    </w:p>
    <w:p w14:paraId="0B28BF44">
      <w:pPr>
        <w:pStyle w:val="4"/>
        <w:rPr>
          <w:rFonts w:hint="default"/>
          <w:lang w:val="en-US" w:eastAsia="zh-CN"/>
        </w:rPr>
      </w:pPr>
    </w:p>
    <w:p w14:paraId="6DF5A633">
      <w:pPr>
        <w:keepNext w:val="0"/>
        <w:keepLines w:val="0"/>
        <w:pageBreakBefore w:val="0"/>
        <w:widowControl w:val="0"/>
        <w:kinsoku/>
        <w:wordWrap/>
        <w:overflowPunct/>
        <w:topLinePunct w:val="0"/>
        <w:autoSpaceDE/>
        <w:autoSpaceDN/>
        <w:bidi w:val="0"/>
        <w:adjustRightInd/>
        <w:snapToGrid w:val="0"/>
        <w:spacing w:line="360" w:lineRule="auto"/>
        <w:ind w:left="840" w:leftChars="400" w:firstLine="1280" w:firstLineChars="400"/>
        <w:jc w:val="both"/>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pacing w:val="0"/>
          <w:kern w:val="0"/>
          <w:sz w:val="32"/>
          <w:szCs w:val="32"/>
          <w:highlight w:val="none"/>
          <w:fitText w:val="1600" w:id="1915713811"/>
          <w:lang w:val="en-US" w:eastAsia="zh-CN"/>
        </w:rPr>
        <w:t>单位负责人</w:t>
      </w:r>
      <w:r>
        <w:rPr>
          <w:rFonts w:hint="eastAsia" w:ascii="方正黑体_GBK" w:hAnsi="方正黑体_GBK" w:eastAsia="方正黑体_GBK" w:cs="方正黑体_GBK"/>
          <w:b w:val="0"/>
          <w:bCs w:val="0"/>
          <w:color w:val="auto"/>
          <w:sz w:val="32"/>
          <w:szCs w:val="32"/>
          <w:highlight w:val="none"/>
          <w:lang w:val="en-US" w:eastAsia="zh-CN"/>
        </w:rPr>
        <w:t>：</w:t>
      </w:r>
      <w:r>
        <w:rPr>
          <w:rFonts w:hint="eastAsia" w:ascii="方正黑体_GBK" w:hAnsi="方正黑体_GBK" w:eastAsia="方正黑体_GBK" w:cs="方正黑体_GBK"/>
          <w:b w:val="0"/>
          <w:bCs w:val="0"/>
          <w:color w:val="auto"/>
          <w:sz w:val="32"/>
          <w:szCs w:val="32"/>
          <w:highlight w:val="none"/>
          <w:u w:val="single"/>
          <w:lang w:val="en-US" w:eastAsia="zh-CN"/>
        </w:rPr>
        <w:t xml:space="preserve">                 </w:t>
      </w:r>
    </w:p>
    <w:p w14:paraId="44E313D9">
      <w:pPr>
        <w:keepNext w:val="0"/>
        <w:keepLines w:val="0"/>
        <w:pageBreakBefore w:val="0"/>
        <w:widowControl w:val="0"/>
        <w:kinsoku/>
        <w:wordWrap/>
        <w:overflowPunct/>
        <w:topLinePunct w:val="0"/>
        <w:autoSpaceDE/>
        <w:autoSpaceDN/>
        <w:bidi w:val="0"/>
        <w:adjustRightInd/>
        <w:snapToGrid w:val="0"/>
        <w:spacing w:line="360" w:lineRule="auto"/>
        <w:ind w:left="840" w:leftChars="400" w:firstLine="1278" w:firstLineChars="3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pacing w:val="53"/>
          <w:kern w:val="0"/>
          <w:sz w:val="32"/>
          <w:szCs w:val="32"/>
          <w:highlight w:val="none"/>
          <w:fitText w:val="1600" w:id="1093481332"/>
          <w:lang w:val="en-US" w:eastAsia="zh-CN"/>
        </w:rPr>
        <w:t>分管领</w:t>
      </w:r>
      <w:r>
        <w:rPr>
          <w:rFonts w:hint="eastAsia" w:ascii="方正黑体_GBK" w:hAnsi="方正黑体_GBK" w:eastAsia="方正黑体_GBK" w:cs="方正黑体_GBK"/>
          <w:b w:val="0"/>
          <w:bCs w:val="0"/>
          <w:color w:val="auto"/>
          <w:spacing w:val="1"/>
          <w:kern w:val="0"/>
          <w:sz w:val="32"/>
          <w:szCs w:val="32"/>
          <w:highlight w:val="none"/>
          <w:fitText w:val="1600" w:id="1093481332"/>
          <w:lang w:val="en-US" w:eastAsia="zh-CN"/>
        </w:rPr>
        <w:t>导</w:t>
      </w:r>
      <w:r>
        <w:rPr>
          <w:rFonts w:hint="eastAsia" w:ascii="方正黑体_GBK" w:hAnsi="方正黑体_GBK" w:eastAsia="方正黑体_GBK" w:cs="方正黑体_GBK"/>
          <w:b w:val="0"/>
          <w:bCs w:val="0"/>
          <w:color w:val="auto"/>
          <w:sz w:val="32"/>
          <w:szCs w:val="32"/>
          <w:highlight w:val="none"/>
          <w:lang w:val="en-US" w:eastAsia="zh-CN"/>
        </w:rPr>
        <w:t>：</w:t>
      </w:r>
      <w:r>
        <w:rPr>
          <w:rFonts w:hint="eastAsia" w:ascii="方正黑体_GBK" w:hAnsi="方正黑体_GBK" w:eastAsia="方正黑体_GBK" w:cs="方正黑体_GBK"/>
          <w:b w:val="0"/>
          <w:bCs w:val="0"/>
          <w:color w:val="auto"/>
          <w:sz w:val="32"/>
          <w:szCs w:val="32"/>
          <w:highlight w:val="none"/>
          <w:u w:val="single"/>
          <w:lang w:val="en-US" w:eastAsia="zh-CN"/>
        </w:rPr>
        <w:t xml:space="preserve">                 </w:t>
      </w:r>
    </w:p>
    <w:p w14:paraId="68C846EB">
      <w:pPr>
        <w:keepNext w:val="0"/>
        <w:keepLines w:val="0"/>
        <w:pageBreakBefore w:val="0"/>
        <w:widowControl w:val="0"/>
        <w:kinsoku/>
        <w:wordWrap/>
        <w:overflowPunct/>
        <w:topLinePunct w:val="0"/>
        <w:autoSpaceDE/>
        <w:autoSpaceDN/>
        <w:bidi w:val="0"/>
        <w:adjustRightInd/>
        <w:snapToGrid w:val="0"/>
        <w:spacing w:line="360" w:lineRule="auto"/>
        <w:ind w:left="840" w:leftChars="400" w:firstLine="1280" w:firstLineChars="200"/>
        <w:jc w:val="both"/>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pacing w:val="160"/>
          <w:kern w:val="0"/>
          <w:sz w:val="32"/>
          <w:szCs w:val="32"/>
          <w:highlight w:val="none"/>
          <w:fitText w:val="1600" w:id="2076661563"/>
          <w:lang w:val="en-US" w:eastAsia="zh-CN"/>
        </w:rPr>
        <w:t>填报</w:t>
      </w:r>
      <w:r>
        <w:rPr>
          <w:rFonts w:hint="eastAsia" w:ascii="方正黑体_GBK" w:hAnsi="方正黑体_GBK" w:eastAsia="方正黑体_GBK" w:cs="方正黑体_GBK"/>
          <w:b w:val="0"/>
          <w:bCs w:val="0"/>
          <w:color w:val="auto"/>
          <w:spacing w:val="0"/>
          <w:kern w:val="0"/>
          <w:sz w:val="32"/>
          <w:szCs w:val="32"/>
          <w:highlight w:val="none"/>
          <w:fitText w:val="1600" w:id="2076661563"/>
          <w:lang w:val="en-US" w:eastAsia="zh-CN"/>
        </w:rPr>
        <w:t>人</w:t>
      </w:r>
      <w:r>
        <w:rPr>
          <w:rFonts w:hint="eastAsia" w:ascii="方正黑体_GBK" w:hAnsi="方正黑体_GBK" w:eastAsia="方正黑体_GBK" w:cs="方正黑体_GBK"/>
          <w:b w:val="0"/>
          <w:bCs w:val="0"/>
          <w:color w:val="auto"/>
          <w:sz w:val="32"/>
          <w:szCs w:val="32"/>
          <w:highlight w:val="none"/>
          <w:lang w:val="en-US" w:eastAsia="zh-CN"/>
        </w:rPr>
        <w:t>：</w:t>
      </w:r>
      <w:r>
        <w:rPr>
          <w:rFonts w:hint="eastAsia" w:ascii="方正黑体_GBK" w:hAnsi="方正黑体_GBK" w:eastAsia="方正黑体_GBK" w:cs="方正黑体_GBK"/>
          <w:b w:val="0"/>
          <w:bCs w:val="0"/>
          <w:color w:val="auto"/>
          <w:sz w:val="32"/>
          <w:szCs w:val="32"/>
          <w:highlight w:val="none"/>
          <w:u w:val="single"/>
          <w:lang w:val="en-US" w:eastAsia="zh-CN"/>
        </w:rPr>
        <w:t xml:space="preserve">                 </w:t>
      </w:r>
    </w:p>
    <w:p w14:paraId="5238FB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FCFB8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56CDBB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单位名称（盖章）：怀化市中心血站</w:t>
      </w:r>
    </w:p>
    <w:p w14:paraId="5842158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A8CBEDA">
      <w:pPr>
        <w:pStyle w:val="2"/>
        <w:jc w:val="center"/>
        <w:rPr>
          <w:rFonts w:hint="default" w:ascii="方正黑体_GBK" w:hAnsi="方正黑体_GBK" w:eastAsia="方正黑体_GBK" w:cs="方正黑体_GBK"/>
          <w:b w:val="0"/>
          <w:bCs w:val="0"/>
          <w:color w:val="auto"/>
          <w:kern w:val="2"/>
          <w:sz w:val="24"/>
          <w:szCs w:val="24"/>
          <w:highlight w:val="none"/>
          <w:lang w:val="en-US" w:eastAsia="zh-CN" w:bidi="ar-SA"/>
        </w:rPr>
      </w:pPr>
      <w:r>
        <w:rPr>
          <w:rFonts w:hint="eastAsia" w:ascii="方正黑体_GBK" w:hAnsi="方正黑体_GBK" w:eastAsia="方正黑体_GBK" w:cs="方正黑体_GBK"/>
          <w:b w:val="0"/>
          <w:bCs w:val="0"/>
          <w:color w:val="auto"/>
          <w:kern w:val="2"/>
          <w:sz w:val="24"/>
          <w:szCs w:val="24"/>
          <w:highlight w:val="none"/>
          <w:lang w:val="en-US" w:eastAsia="zh-CN" w:bidi="ar-SA"/>
        </w:rPr>
        <w:t>2026年6月29日</w:t>
      </w:r>
    </w:p>
    <w:p w14:paraId="6098B6F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黑体_GBK" w:hAnsi="方正黑体_GBK" w:eastAsia="方正黑体_GBK" w:cs="方正黑体_GBK"/>
          <w:b/>
          <w:bCs/>
          <w:color w:val="auto"/>
          <w:sz w:val="32"/>
          <w:szCs w:val="32"/>
          <w:highlight w:val="none"/>
          <w:lang w:val="en-US" w:eastAsia="zh-CN"/>
        </w:rPr>
        <w:sectPr>
          <w:pgSz w:w="11906" w:h="16838"/>
          <w:pgMar w:top="1871" w:right="1417" w:bottom="1871" w:left="1417" w:header="851" w:footer="992" w:gutter="0"/>
          <w:pgNumType w:fmt="decimal"/>
          <w:cols w:space="425" w:num="1"/>
          <w:docGrid w:type="lines" w:linePitch="312" w:charSpace="0"/>
        </w:sectPr>
      </w:pPr>
    </w:p>
    <w:p w14:paraId="696F73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2BA793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6C0685F7">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kern w:val="2"/>
          <w:sz w:val="32"/>
          <w:szCs w:val="32"/>
          <w:highlight w:val="none"/>
          <w:lang w:val="en-US" w:eastAsia="zh-CN" w:bidi="ar-SA"/>
        </w:rPr>
        <w:t>怀化市中心血站作为怀化市卫生健康委员会的二级部门预算单位，设置11个内设工作机构，分别为：办公室、人力资源部、财务部、后勤保障部、业务综合部、献血服务一部、献血服务二部、血液制备部、血液供应部、血液检验部、质量管理部。</w:t>
      </w:r>
    </w:p>
    <w:p w14:paraId="1A90465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4F52EBE2">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1.整体支出规模</w:t>
      </w:r>
    </w:p>
    <w:p w14:paraId="18FDEC4C">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2025年下达年初预算批复3443.12万元。其中，财政拨款支出1193.12万元，占比34.65%，事业支出2250.00万元，占比65.35%。2025年全年预算为4570.14万元，2025年实际支出4540.92万元，预算执行率99.36%。</w:t>
      </w:r>
    </w:p>
    <w:p w14:paraId="11C302CE">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2.使用方向和主要内容及涉及范围</w:t>
      </w:r>
    </w:p>
    <w:p w14:paraId="34DE891D">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人员经费：主要为在职人员工资、年度考核奖、社保、公积金和退休人员春节一次性生活补贴。2025年人员经费支出1484.41万元（占比32.69%），较上年增长14.76%，主要原因一是2024年5月新进7人，2024年9月转业1人，故本年较上年人员工资及社保及公用经费收入增加；二是工资调标及职称晋升，并补发2024年7月至12月基本工资，引起在编人员工资收入较上年增加；三是社保及公积金基数调整，引起社保及公积金收入增加；四是预发2025年度绩效评估考核奖。</w:t>
      </w:r>
    </w:p>
    <w:p w14:paraId="309637BF">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公用经费：主要为财政按照在编人员人数拨付的用于公用经费、福利费、工会经费等。公用经费支出107.06万元（占比2.36%），较上年上升1.05%，主要原因一是本年预算编制时在编人员较上年增加8人，财政保障公用经费增加；二是残疾人就业保障金12.37万元从非财政拨款基本支出归集至非财政拨款项目支出。</w:t>
      </w:r>
    </w:p>
    <w:p w14:paraId="10A3CB16">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（3）项目经费：项目经费支出2949.45万元（占比64.95%），主要包括：</w:t>
      </w:r>
    </w:p>
    <w:p w14:paraId="67D2D151">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①</w:t>
      </w:r>
      <w:r>
        <w:rPr>
          <w:rFonts w:hint="eastAsia" w:ascii="Times New Roman Regular" w:hAnsi="Times New Roman Regular" w:eastAsia="仿宋_GB2312" w:cs="Times New Roman Regular"/>
          <w:color w:val="auto"/>
          <w:kern w:val="2"/>
          <w:sz w:val="32"/>
          <w:szCs w:val="32"/>
          <w:highlight w:val="none"/>
          <w:lang w:val="en-US" w:eastAsia="zh-CN" w:bidi="ar-SA"/>
        </w:rPr>
        <w:t>采供血业务运行成本项目资金1418.35万元（非税资金，用于血液采集、检测、储存、运输、供应等采供血全流程活动中产生的各类支出）。</w:t>
      </w:r>
    </w:p>
    <w:p w14:paraId="473EA704">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②</w:t>
      </w:r>
      <w:r>
        <w:rPr>
          <w:rFonts w:hint="eastAsia" w:ascii="Times New Roman Regular" w:hAnsi="Times New Roman Regular" w:eastAsia="仿宋_GB2312" w:cs="Times New Roman Regular"/>
          <w:color w:val="auto"/>
          <w:kern w:val="2"/>
          <w:sz w:val="32"/>
          <w:szCs w:val="32"/>
          <w:highlight w:val="none"/>
          <w:lang w:val="en-US" w:eastAsia="zh-CN" w:bidi="ar-SA"/>
        </w:rPr>
        <w:t>采供血设备购置项目资金102.31万元（用于采供血设备的购买）。</w:t>
      </w:r>
    </w:p>
    <w:p w14:paraId="7FA41FD8">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③</w:t>
      </w:r>
      <w:r>
        <w:rPr>
          <w:rFonts w:hint="eastAsia" w:ascii="Times New Roman Regular" w:hAnsi="Times New Roman Regular" w:eastAsia="仿宋_GB2312" w:cs="Times New Roman Regular"/>
          <w:color w:val="auto"/>
          <w:kern w:val="2"/>
          <w:sz w:val="32"/>
          <w:szCs w:val="32"/>
          <w:highlight w:val="none"/>
          <w:lang w:val="en-US" w:eastAsia="zh-CN" w:bidi="ar-SA"/>
        </w:rPr>
        <w:t>献血者及其家属用血费用报销项目50.00万元（市本级财政拨入用于支付献血者及其亲属用血费用报销）。</w:t>
      </w:r>
    </w:p>
    <w:p w14:paraId="0EA408B4">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④血液检测项目经费45.30万元（市本级财政拨入用于血液检测试剂的购买）。</w:t>
      </w:r>
    </w:p>
    <w:p w14:paraId="7E60F43E">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⑤中央重大传染病防控项目经费217.50万元（中央拨入专项资金，用于无偿献血宣传、招募，血液质量管理，储血点（库）设备、采血车、仪器设备更新维护，血液筛查核酸检测和人类嗜T淋巴细胞病毒检测）。</w:t>
      </w:r>
    </w:p>
    <w:p w14:paraId="0BDCA844">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⑥怀化市公共卫生中心二期建设项目经费1321.12万元（市本级财政拨入用于怀化市公共卫生中心二期建设用地权属购置）。</w:t>
      </w:r>
    </w:p>
    <w:p w14:paraId="04EEE04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6AC029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4291B0E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77742FA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基本支出主要用于保障单位正常运转、完成日常工作任务的基本开支，分别为：人员经费用于在职人员工资、年度考核奖、社保、住房公积金以及退休人员春节一次性生活补助等人员支出；公用经费用于办公费、租赁费、会议费、培训费、公务接待费、劳务费、工会经费、福利费等。</w:t>
      </w:r>
    </w:p>
    <w:p w14:paraId="048DE80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w:t>
      </w:r>
      <w:r>
        <w:rPr>
          <w:rFonts w:hint="default" w:ascii="Times New Roman Regular" w:hAnsi="Times New Roman Regular" w:eastAsia="仿宋_GB2312" w:cs="Times New Roman Regular"/>
          <w:color w:val="auto"/>
          <w:kern w:val="2"/>
          <w:sz w:val="32"/>
          <w:szCs w:val="32"/>
          <w:highlight w:val="none"/>
          <w:lang w:val="en-US" w:eastAsia="zh-CN" w:bidi="ar-SA"/>
        </w:rPr>
        <w:t>基本支出的资金管理情况</w:t>
      </w:r>
    </w:p>
    <w:p w14:paraId="5D5B35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严格按照财政部门批复的预算执行，资金使用遵循“先有预算、后有支出”原则，确保支出合规、合理。建立健全财务管理制度，明确资金审批流程、报销标准，确保资金使用规范，杜绝挪用、挤占等情况。对基本支出的执行情况进行动态监控，及时分析预算执行偏差，保障资金使用效益。</w:t>
      </w:r>
    </w:p>
    <w:p w14:paraId="124B55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w:t>
      </w:r>
      <w:r>
        <w:rPr>
          <w:rFonts w:hint="default" w:ascii="Times New Roman Regular" w:hAnsi="Times New Roman Regular" w:eastAsia="仿宋_GB2312" w:cs="Times New Roman Regular"/>
          <w:color w:val="auto"/>
          <w:kern w:val="2"/>
          <w:sz w:val="32"/>
          <w:szCs w:val="32"/>
          <w:highlight w:val="none"/>
          <w:lang w:val="en-US" w:eastAsia="zh-CN" w:bidi="ar-SA"/>
        </w:rPr>
        <w:t>三公经费的使用和管理情况</w:t>
      </w:r>
    </w:p>
    <w:p w14:paraId="03050B9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“三公经费”</w:t>
      </w:r>
      <w:r>
        <w:rPr>
          <w:rFonts w:hint="eastAsia" w:ascii="Times New Roman Regular" w:hAnsi="Times New Roman Regular" w:eastAsia="仿宋_GB2312" w:cs="Times New Roman Regular"/>
          <w:color w:val="auto"/>
          <w:kern w:val="2"/>
          <w:sz w:val="32"/>
          <w:szCs w:val="32"/>
          <w:highlight w:val="none"/>
          <w:lang w:val="en-US" w:eastAsia="zh-CN" w:bidi="ar-SA"/>
        </w:rPr>
        <w:t>本年度总支出为47.41万元，支出总额较上年下降1.60%，本年三公经费控制率为91.17%。</w:t>
      </w:r>
      <w:r>
        <w:rPr>
          <w:rFonts w:hint="default" w:ascii="Times New Roman Regular" w:hAnsi="Times New Roman Regular" w:eastAsia="仿宋_GB2312" w:cs="Times New Roman Regular"/>
          <w:color w:val="auto"/>
          <w:kern w:val="2"/>
          <w:sz w:val="32"/>
          <w:szCs w:val="32"/>
          <w:highlight w:val="none"/>
          <w:lang w:val="en-US" w:eastAsia="zh-CN" w:bidi="ar-SA"/>
        </w:rPr>
        <w:t>其管理重点如下：严格压缩三公经费预算，按规定程序审批，确保支出规模不超预算限额。公务用车严格执行定点加油、维修等制度，降低运行成本；公务接待按标准执行，严控接待范围和费用，杜绝铺张浪费。按规定及时公开三公经费使用情况，接受社会监督，提升资金使用透明度。</w:t>
      </w:r>
    </w:p>
    <w:p w14:paraId="04181C5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4BB5B1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2148DE90">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宋体" w:eastAsia="仿宋_GB2312"/>
          <w:sz w:val="32"/>
          <w:szCs w:val="32"/>
        </w:rPr>
        <w:t>本年度</w:t>
      </w:r>
      <w:r>
        <w:rPr>
          <w:rFonts w:hint="eastAsia" w:ascii="仿宋_GB2312" w:hAnsi="宋体" w:eastAsia="仿宋_GB2312"/>
          <w:sz w:val="32"/>
          <w:szCs w:val="32"/>
          <w:lang w:eastAsia="zh-CN"/>
        </w:rPr>
        <w:t>财政拨款项目</w:t>
      </w:r>
      <w:r>
        <w:rPr>
          <w:rFonts w:hint="eastAsia" w:ascii="仿宋_GB2312" w:hAnsi="宋体" w:eastAsia="仿宋_GB2312"/>
          <w:sz w:val="32"/>
          <w:szCs w:val="32"/>
        </w:rPr>
        <w:t>资金实际</w:t>
      </w:r>
      <w:r>
        <w:rPr>
          <w:rFonts w:hint="eastAsia" w:ascii="仿宋_GB2312" w:hAnsi="宋体" w:eastAsia="仿宋_GB2312"/>
          <w:sz w:val="32"/>
          <w:szCs w:val="32"/>
          <w:lang w:eastAsia="zh-CN"/>
        </w:rPr>
        <w:t>到位</w:t>
      </w:r>
      <w:r>
        <w:rPr>
          <w:rFonts w:hint="eastAsia" w:ascii="仿宋_GB2312" w:hAnsi="宋体" w:eastAsia="仿宋_GB2312"/>
          <w:sz w:val="32"/>
          <w:szCs w:val="32"/>
          <w:lang w:val="en-US" w:eastAsia="zh-CN"/>
        </w:rPr>
        <w:t>1416.42万元（</w:t>
      </w:r>
      <w:r>
        <w:rPr>
          <w:rFonts w:hint="eastAsia" w:ascii="仿宋_GB2312" w:hAnsi="宋体" w:eastAsia="仿宋_GB2312"/>
          <w:sz w:val="32"/>
          <w:szCs w:val="32"/>
          <w:lang w:eastAsia="zh-CN"/>
        </w:rPr>
        <w:t>年初预算专项资金</w:t>
      </w:r>
      <w:r>
        <w:rPr>
          <w:rFonts w:hint="eastAsia" w:ascii="仿宋_GB2312" w:hAnsi="宋体" w:eastAsia="仿宋_GB2312"/>
          <w:sz w:val="32"/>
          <w:szCs w:val="32"/>
          <w:lang w:val="en-US" w:eastAsia="zh-CN"/>
        </w:rPr>
        <w:t>95.30万元，追加怀化市公共卫生中心二期建设项目资金1321.12万元）；中央重大传染病防控项目资金217.50万元，资金额度均未实际解冻，资金实际到位率为0%。</w:t>
      </w:r>
    </w:p>
    <w:p w14:paraId="0A8716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2、项目资金（主要指财政资金）实际使用情况分析。</w:t>
      </w:r>
    </w:p>
    <w:p w14:paraId="49245468">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宋体" w:eastAsia="仿宋_GB2312"/>
          <w:sz w:val="32"/>
          <w:szCs w:val="32"/>
        </w:rPr>
        <w:t>本年度</w:t>
      </w:r>
      <w:r>
        <w:rPr>
          <w:rFonts w:hint="eastAsia" w:ascii="仿宋_GB2312" w:hAnsi="宋体" w:eastAsia="仿宋_GB2312"/>
          <w:sz w:val="32"/>
          <w:szCs w:val="32"/>
          <w:lang w:eastAsia="zh-CN"/>
        </w:rPr>
        <w:t>财政拨款项目</w:t>
      </w:r>
      <w:r>
        <w:rPr>
          <w:rFonts w:hint="eastAsia" w:ascii="仿宋_GB2312" w:hAnsi="宋体" w:eastAsia="仿宋_GB2312"/>
          <w:sz w:val="32"/>
          <w:szCs w:val="32"/>
        </w:rPr>
        <w:t>资金实际</w:t>
      </w:r>
      <w:r>
        <w:rPr>
          <w:rFonts w:hint="eastAsia" w:ascii="仿宋_GB2312" w:hAnsi="宋体" w:eastAsia="仿宋_GB2312"/>
          <w:sz w:val="32"/>
          <w:szCs w:val="32"/>
          <w:lang w:eastAsia="zh-CN"/>
        </w:rPr>
        <w:t>使用</w:t>
      </w:r>
      <w:r>
        <w:rPr>
          <w:rFonts w:hint="eastAsia" w:ascii="仿宋_GB2312" w:hAnsi="宋体" w:eastAsia="仿宋_GB2312"/>
          <w:sz w:val="32"/>
          <w:szCs w:val="32"/>
          <w:lang w:val="en-US" w:eastAsia="zh-CN"/>
        </w:rPr>
        <w:t>1416.42万元（</w:t>
      </w:r>
      <w:r>
        <w:rPr>
          <w:rFonts w:hint="eastAsia" w:ascii="仿宋_GB2312" w:hAnsi="宋体" w:eastAsia="仿宋_GB2312"/>
          <w:sz w:val="32"/>
          <w:szCs w:val="32"/>
          <w:lang w:eastAsia="zh-CN"/>
        </w:rPr>
        <w:t>年初预算专项资金</w:t>
      </w:r>
      <w:r>
        <w:rPr>
          <w:rFonts w:hint="eastAsia" w:ascii="仿宋_GB2312" w:hAnsi="宋体" w:eastAsia="仿宋_GB2312"/>
          <w:sz w:val="32"/>
          <w:szCs w:val="32"/>
          <w:lang w:val="en-US" w:eastAsia="zh-CN"/>
        </w:rPr>
        <w:t>95.30万元，追加怀化市公共卫生中心二期建设项目资金1321.12万元）；中央重大传染病防控项目资金0万元，资金额度均未实际解冻，资金实际使用率为100%，由非税专户资金先行垫付。</w:t>
      </w:r>
    </w:p>
    <w:p w14:paraId="4111958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3、项目资金管理情况分析，主要包括管理制度、办法的制订及执行情况。</w:t>
      </w:r>
    </w:p>
    <w:p w14:paraId="519832F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严格按照相应的业务管理制度，规范各项经费的开支。资金使用规范，符合各项法规和财务管理以及《怀化市中心血站专项资金管理办法》的规定；资金的拨付有完整的审批程序和手续；不存在截留、挤占、挪用、虚列开支等情况，保证会计核算准确、财务资料完整。</w:t>
      </w:r>
    </w:p>
    <w:p w14:paraId="0BF2AF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D2A4C5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085EA4B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2025年本站优化项目组织推进模式，摒弃往年单一化推进方式，实行“专项专班、分级推进、闭环落实”工作机制。年度所有项目资金及工作任务明确后，第一时间召开项目部署推进会，结合各项目核心目标、实施周期、工作难点，拆解年度任务清单、细化月度工作节点。针对公共卫生中心二期基建重点项目，专门成立专项工作小组，明确班子成员牵头、职能部室主抓、专人负责落实的三级责任体系。</w:t>
      </w:r>
    </w:p>
    <w:p w14:paraId="36D18A6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实施全过程严格执行招投标、政府采购、项目调整、验收归档等规范流程，对达到招投标标准的设备采购、基建前期服务项目，全部依法依规公开招标，确保流程合规、阳光透明。针对年度业务动态变化产生的小额项目调整，严格履行内部研判、上报审批、备案公示流程，杜绝随意调整项目内容、用途。项目收尾阶段严格落实竣工验收、资料归档、成果复盘制度，全面核查项目实施成效、资金使用合规性，确保所有项目落地见效、资料完整可溯。</w:t>
      </w:r>
    </w:p>
    <w:p w14:paraId="00EDC12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476F620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进一步健全项目全周期管理制度，新增项目动态监控、进度预警、成效复盘机制，构建“事前方案细化、事中全程监管、事后绩效复盘”的闭环管理体系。结合血站业务特性，修订完善项目实施管理细则、专项资金管控细则、设备采购项目运维管理流程，细化各类型项目的实施标准、监管要求和考核指标。</w:t>
      </w:r>
    </w:p>
    <w:p w14:paraId="2130EE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日常管理中，建立部室联动督查机制，重点核查项目进度、资金使用、工作质量，针对进度滞后、执行偏差的项目及时下发整改提醒，现场协调解决实施过程中的难点问题。同时，优化项目台账管理，摒弃往年简单收支登记模式，细化台账内容，同步登记项目进度、资金支出、工作成效、问题整改等全维度信息。常态化开展项目绩效动态自评，定期总结项目实施亮点与不足，针对性优化后续推进方案，同时主动接受主管部门及社会监督，全面提升项目实施质量与管理效能。</w:t>
      </w:r>
    </w:p>
    <w:p w14:paraId="3BB3EE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F143AC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反映部门资产的配置、管理、处置等综合情况。包括制度建设、管理措施、配置处置的程序等。</w:t>
      </w:r>
    </w:p>
    <w:p w14:paraId="1E2B07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1.制度建设</w:t>
      </w:r>
    </w:p>
    <w:p w14:paraId="5A2D88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制度体系构建：围绕资产配置、管理、处置等环节，制定了完善的资产管理制度，明确了各部室及人员在资产管理中的职责与权限，确保资产管理有章可循。</w:t>
      </w:r>
    </w:p>
    <w:p w14:paraId="22133AB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2.管理措施</w:t>
      </w:r>
    </w:p>
    <w:p w14:paraId="0BAE040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全面依托行政事业单位资产管理信息系统，实现所有资产电子化建档、动态化更新，对全站资产等分类编码、精准登记，实时更新资产存放位置、使用状态、维保记录、使用年限等信息。实时更新资产的使用状态、存放地点等信息，定期开展资产盘点工作，确保账实相符。严格落实资产使用责任制，将每台专业设备、每项固定资产的管理责任落实到具体岗位、具体人员，明确资产日常保管、定期维保、规范使用的责任义务，有效提升资产使用率，降低设备损耗率。</w:t>
      </w:r>
    </w:p>
    <w:p w14:paraId="43B417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 xml:space="preserve">3.配置处置的程序 </w:t>
      </w:r>
    </w:p>
    <w:p w14:paraId="2B4E83B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资产配置方面，坚持“按需配置、严控增量、盘活存量”原则，本年度新增资产、设备采购均结合业务刚需、设备老化程度、行业技术标准开展前期研判，由业务部门提交需求、技术部门论证可行性、财务部门审核预算、班子会议集体审议，层层把关，杜绝盲目采购、重复购置，保障资产配置精准适配采供血业务发展需求。</w:t>
      </w:r>
    </w:p>
    <w:p w14:paraId="761FFD2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资产处置方面，严格执行国有资产处置全流程规范，对达到使用年限、老化失效、无法维修的医疗设备、办公资产，严格按照“部门申报、现场核查、价值评估、集体审批、公开处置、残值上缴”的流程执行。本年度所有处置资产均通过规范渠道公开处置，全程留痕、全程公示，处置收入全额依规上缴国库，确保国有资产处置公开、公平、公正，有效防范国有资产流失风险。</w:t>
      </w:r>
    </w:p>
    <w:p w14:paraId="5CDEDC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7C25EC0C">
      <w:pPr>
        <w:pStyle w:val="2"/>
        <w:keepNext w:val="0"/>
        <w:keepLines w:val="0"/>
        <w:pageBreakBefore w:val="0"/>
        <w:numPr>
          <w:ilvl w:val="0"/>
          <w:numId w:val="0"/>
        </w:numPr>
        <w:kinsoku/>
        <w:wordWrap/>
        <w:overflowPunct/>
        <w:topLinePunct w:val="0"/>
        <w:autoSpaceDE/>
        <w:autoSpaceDN/>
        <w:bidi w:val="0"/>
        <w:adjustRightInd/>
        <w:spacing w:after="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本单位无政府性基金预算支出。</w:t>
      </w:r>
    </w:p>
    <w:p w14:paraId="741198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5D0EE1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kern w:val="2"/>
          <w:sz w:val="32"/>
          <w:szCs w:val="32"/>
          <w:highlight w:val="none"/>
          <w:lang w:val="en-US" w:eastAsia="zh-CN" w:bidi="ar-SA"/>
        </w:rPr>
        <w:t>本单位无国有资本经营预算支出。</w:t>
      </w:r>
    </w:p>
    <w:p w14:paraId="2B8988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26A0A3D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kern w:val="2"/>
          <w:sz w:val="32"/>
          <w:szCs w:val="32"/>
          <w:highlight w:val="none"/>
          <w:lang w:val="en-US" w:eastAsia="zh-CN" w:bidi="ar-SA"/>
        </w:rPr>
        <w:t>本单位无社会保险基金预算支出。</w:t>
      </w:r>
    </w:p>
    <w:p w14:paraId="75DFE0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760C797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总结归纳本部门“四本预算”支出的绩效目标完成情况，实现产出和取得效益的情况。围绕部门职责、行业发展规划，以预算资金管理为主线，结合部门资产管理和开展业务情况，从运行成本、管理效率、履职效能、社会效应、可持续发展能力和服务对象满意度等方面，衡量部门整体及重点项目实施绩效情况。</w:t>
      </w:r>
    </w:p>
    <w:p w14:paraId="132A88BE">
      <w:pPr>
        <w:pStyle w:val="10"/>
        <w:keepNext w:val="0"/>
        <w:keepLines w:val="0"/>
        <w:pageBreakBefore w:val="0"/>
        <w:widowControl/>
        <w:shd w:val="clear" w:color="auto" w:fill="FFFFFF"/>
        <w:kinsoku/>
        <w:wordWrap/>
        <w:overflowPunct/>
        <w:topLinePunct w:val="0"/>
        <w:autoSpaceDE/>
        <w:autoSpaceDN/>
        <w:bidi w:val="0"/>
        <w:adjustRightInd/>
        <w:spacing w:beforeAutospacing="0" w:after="0" w:afterAutospacing="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（一）综合评价结论。反映自评得分及评价等级。</w:t>
      </w:r>
    </w:p>
    <w:p w14:paraId="31E9653B">
      <w:pPr>
        <w:pStyle w:val="10"/>
        <w:keepNext w:val="0"/>
        <w:keepLines w:val="0"/>
        <w:pageBreakBefore w:val="0"/>
        <w:widowControl/>
        <w:shd w:val="clear" w:color="auto" w:fill="FFFFFF"/>
        <w:kinsoku/>
        <w:wordWrap/>
        <w:overflowPunct/>
        <w:topLinePunct w:val="0"/>
        <w:autoSpaceDE/>
        <w:autoSpaceDN/>
        <w:bidi w:val="0"/>
        <w:adjustRightInd/>
        <w:snapToGrid w:val="0"/>
        <w:spacing w:beforeAutospacing="0" w:after="0" w:afterAutospacing="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根据评价指标体系测算，本部门2025年度部门整体支出绩效评价得分为92.40分，评分等级为优秀。</w:t>
      </w:r>
    </w:p>
    <w:p w14:paraId="0F740438">
      <w:pPr>
        <w:pStyle w:val="10"/>
        <w:keepNext w:val="0"/>
        <w:keepLines w:val="0"/>
        <w:pageBreakBefore w:val="0"/>
        <w:widowControl/>
        <w:shd w:val="clear" w:color="auto" w:fill="FFFFFF"/>
        <w:kinsoku/>
        <w:wordWrap/>
        <w:overflowPunct/>
        <w:topLinePunct w:val="0"/>
        <w:autoSpaceDE/>
        <w:autoSpaceDN/>
        <w:bidi w:val="0"/>
        <w:adjustRightInd/>
        <w:spacing w:beforeAutospacing="0" w:after="0" w:afterAutospacing="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（二）评价指标分析（或综合评价情况）。</w:t>
      </w:r>
    </w:p>
    <w:p w14:paraId="3FEB1D8A">
      <w:pPr>
        <w:pStyle w:val="10"/>
        <w:keepNext w:val="0"/>
        <w:keepLines w:val="0"/>
        <w:pageBreakBefore w:val="0"/>
        <w:widowControl/>
        <w:shd w:val="clear" w:color="auto" w:fill="FFFFFF"/>
        <w:kinsoku/>
        <w:wordWrap/>
        <w:overflowPunct/>
        <w:topLinePunct w:val="0"/>
        <w:autoSpaceDE/>
        <w:autoSpaceDN/>
        <w:bidi w:val="0"/>
        <w:adjustRightInd/>
        <w:spacing w:beforeAutospacing="0" w:after="0" w:afterAutospacing="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w:t>
      </w:r>
      <w:r>
        <w:rPr>
          <w:rFonts w:hint="default" w:ascii="Times New Roman Regular" w:hAnsi="Times New Roman Regular" w:eastAsia="仿宋_GB2312" w:cs="Times New Roman Regular"/>
          <w:color w:val="auto"/>
          <w:kern w:val="2"/>
          <w:sz w:val="32"/>
          <w:szCs w:val="32"/>
          <w:highlight w:val="none"/>
          <w:lang w:val="en-US" w:eastAsia="zh-CN" w:bidi="ar-SA"/>
        </w:rPr>
        <w:t>运行成本：</w:t>
      </w:r>
    </w:p>
    <w:p w14:paraId="065CD3AD">
      <w:pPr>
        <w:pStyle w:val="10"/>
        <w:keepNext w:val="0"/>
        <w:keepLines w:val="0"/>
        <w:pageBreakBefore w:val="0"/>
        <w:widowControl/>
        <w:shd w:val="clear" w:color="auto" w:fill="FFFFFF"/>
        <w:kinsoku/>
        <w:wordWrap/>
        <w:overflowPunct/>
        <w:topLinePunct w:val="0"/>
        <w:autoSpaceDE/>
        <w:autoSpaceDN/>
        <w:bidi w:val="0"/>
        <w:adjustRightInd/>
        <w:spacing w:beforeAutospacing="0" w:after="0" w:afterAutospacing="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全年</w:t>
      </w:r>
      <w:r>
        <w:rPr>
          <w:rFonts w:hint="eastAsia" w:ascii="Times New Roman Regular" w:hAnsi="Times New Roman Regular" w:eastAsia="仿宋_GB2312" w:cs="Times New Roman Regular"/>
          <w:color w:val="auto"/>
          <w:kern w:val="2"/>
          <w:sz w:val="32"/>
          <w:szCs w:val="32"/>
          <w:highlight w:val="none"/>
          <w:lang w:val="en-US" w:eastAsia="zh-CN" w:bidi="ar-SA"/>
        </w:rPr>
        <w:t>预算</w:t>
      </w:r>
      <w:r>
        <w:rPr>
          <w:rFonts w:hint="default" w:ascii="Times New Roman Regular" w:hAnsi="Times New Roman Regular" w:eastAsia="仿宋_GB2312" w:cs="Times New Roman Regular"/>
          <w:color w:val="auto"/>
          <w:kern w:val="2"/>
          <w:sz w:val="32"/>
          <w:szCs w:val="32"/>
          <w:highlight w:val="none"/>
          <w:lang w:val="en-US" w:eastAsia="zh-CN" w:bidi="ar-SA"/>
        </w:rPr>
        <w:t>支出</w:t>
      </w:r>
      <w:r>
        <w:rPr>
          <w:rFonts w:hint="eastAsia" w:ascii="Times New Roman Regular" w:hAnsi="Times New Roman Regular" w:eastAsia="仿宋_GB2312" w:cs="Times New Roman Regular"/>
          <w:color w:val="auto"/>
          <w:kern w:val="2"/>
          <w:sz w:val="32"/>
          <w:szCs w:val="32"/>
          <w:highlight w:val="none"/>
          <w:lang w:val="en-US" w:eastAsia="zh-CN" w:bidi="ar-SA"/>
        </w:rPr>
        <w:t>2025年全年预算为4570.14万元，2025年实际支出4540.92万元，预算执行率99.36%。</w:t>
      </w:r>
      <w:r>
        <w:rPr>
          <w:rFonts w:hint="default" w:ascii="Times New Roman Regular" w:hAnsi="Times New Roman Regular" w:eastAsia="仿宋_GB2312" w:cs="Times New Roman Regular"/>
          <w:color w:val="auto"/>
          <w:kern w:val="2"/>
          <w:sz w:val="32"/>
          <w:szCs w:val="32"/>
          <w:highlight w:val="none"/>
          <w:lang w:val="en-US" w:eastAsia="zh-CN" w:bidi="ar-SA"/>
        </w:rPr>
        <w:t>通过集中采购、预算动态调整等措施，血液检测耗材成本同比下降，未出现超标准、超范围支出问题。</w:t>
      </w:r>
    </w:p>
    <w:p w14:paraId="1FA8BFE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w:t>
      </w:r>
      <w:r>
        <w:rPr>
          <w:rFonts w:hint="default" w:ascii="Times New Roman Regular" w:hAnsi="Times New Roman Regular" w:eastAsia="仿宋_GB2312" w:cs="Times New Roman Regular"/>
          <w:color w:val="auto"/>
          <w:kern w:val="2"/>
          <w:sz w:val="32"/>
          <w:szCs w:val="32"/>
          <w:highlight w:val="none"/>
          <w:lang w:val="en-US" w:eastAsia="zh-CN" w:bidi="ar-SA"/>
        </w:rPr>
        <w:t>管理效率：</w:t>
      </w:r>
    </w:p>
    <w:p w14:paraId="70F07B92">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建立“二上二下”预算编制流程，重大项目实行“事前绩效评估-事中监控-事后评价”全周期管理，202</w:t>
      </w:r>
      <w:r>
        <w:rPr>
          <w:rFonts w:hint="eastAsia" w:ascii="Times New Roman Regular" w:hAnsi="Times New Roman Regular" w:eastAsia="仿宋_GB2312" w:cs="Times New Roman Regular"/>
          <w:color w:val="auto"/>
          <w:kern w:val="2"/>
          <w:sz w:val="32"/>
          <w:szCs w:val="32"/>
          <w:highlight w:val="none"/>
          <w:lang w:val="en-US" w:eastAsia="zh-CN" w:bidi="ar-SA"/>
        </w:rPr>
        <w:t>5</w:t>
      </w:r>
      <w:r>
        <w:rPr>
          <w:rFonts w:hint="default" w:ascii="Times New Roman Regular" w:hAnsi="Times New Roman Regular" w:eastAsia="仿宋_GB2312" w:cs="Times New Roman Regular"/>
          <w:color w:val="auto"/>
          <w:kern w:val="2"/>
          <w:sz w:val="32"/>
          <w:szCs w:val="32"/>
          <w:highlight w:val="none"/>
          <w:lang w:val="en-US" w:eastAsia="zh-CN" w:bidi="ar-SA"/>
        </w:rPr>
        <w:t>年重点项目绩效目标申报率100%，监控覆盖率100%。固定资产台账清晰</w:t>
      </w:r>
      <w:r>
        <w:rPr>
          <w:rFonts w:hint="eastAsia" w:ascii="Times New Roman Regular" w:hAnsi="Times New Roman Regular" w:eastAsia="仿宋_GB2312" w:cs="Times New Roman Regular"/>
          <w:color w:val="auto"/>
          <w:kern w:val="2"/>
          <w:sz w:val="32"/>
          <w:szCs w:val="32"/>
          <w:highlight w:val="none"/>
          <w:lang w:val="en-US" w:eastAsia="zh-CN" w:bidi="ar-SA"/>
        </w:rPr>
        <w:t>，管理规范</w:t>
      </w:r>
      <w:r>
        <w:rPr>
          <w:rFonts w:hint="default" w:ascii="Times New Roman Regular" w:hAnsi="Times New Roman Regular" w:eastAsia="仿宋_GB2312" w:cs="Times New Roman Regular"/>
          <w:color w:val="auto"/>
          <w:kern w:val="2"/>
          <w:sz w:val="32"/>
          <w:szCs w:val="32"/>
          <w:highlight w:val="none"/>
          <w:lang w:val="en-US" w:eastAsia="zh-CN" w:bidi="ar-SA"/>
        </w:rPr>
        <w:t>。</w:t>
      </w:r>
      <w:r>
        <w:rPr>
          <w:rFonts w:hint="eastAsia" w:ascii="Times New Roman Regular" w:hAnsi="Times New Roman Regular" w:eastAsia="仿宋_GB2312" w:cs="Times New Roman Regular"/>
          <w:color w:val="auto"/>
          <w:kern w:val="2"/>
          <w:sz w:val="32"/>
          <w:szCs w:val="32"/>
          <w:highlight w:val="none"/>
          <w:lang w:val="en-US" w:eastAsia="zh-CN" w:bidi="ar-SA"/>
        </w:rPr>
        <w:t>完善</w:t>
      </w:r>
      <w:r>
        <w:rPr>
          <w:rFonts w:hint="default" w:ascii="Times New Roman Regular" w:hAnsi="Times New Roman Regular" w:eastAsia="仿宋_GB2312" w:cs="Times New Roman Regular"/>
          <w:color w:val="auto"/>
          <w:kern w:val="2"/>
          <w:sz w:val="32"/>
          <w:szCs w:val="32"/>
          <w:highlight w:val="none"/>
          <w:lang w:val="en-US" w:eastAsia="zh-CN" w:bidi="ar-SA"/>
        </w:rPr>
        <w:t>《</w:t>
      </w:r>
      <w:r>
        <w:rPr>
          <w:rFonts w:hint="eastAsia" w:ascii="Times New Roman Regular" w:hAnsi="Times New Roman Regular" w:eastAsia="仿宋_GB2312" w:cs="Times New Roman Regular"/>
          <w:color w:val="auto"/>
          <w:kern w:val="2"/>
          <w:sz w:val="32"/>
          <w:szCs w:val="32"/>
          <w:highlight w:val="none"/>
          <w:lang w:val="en-US" w:eastAsia="zh-CN" w:bidi="ar-SA"/>
        </w:rPr>
        <w:t>差旅费管理办法</w:t>
      </w:r>
      <w:r>
        <w:rPr>
          <w:rFonts w:hint="default" w:ascii="Times New Roman Regular" w:hAnsi="Times New Roman Regular" w:eastAsia="仿宋_GB2312" w:cs="Times New Roman Regular"/>
          <w:color w:val="auto"/>
          <w:kern w:val="2"/>
          <w:sz w:val="32"/>
          <w:szCs w:val="32"/>
          <w:highlight w:val="none"/>
          <w:lang w:val="en-US" w:eastAsia="zh-CN" w:bidi="ar-SA"/>
        </w:rPr>
        <w:t>》《</w:t>
      </w:r>
      <w:r>
        <w:rPr>
          <w:rFonts w:hint="eastAsia" w:ascii="Times New Roman Regular" w:hAnsi="Times New Roman Regular" w:eastAsia="仿宋_GB2312" w:cs="Times New Roman Regular"/>
          <w:color w:val="auto"/>
          <w:kern w:val="2"/>
          <w:sz w:val="32"/>
          <w:szCs w:val="32"/>
          <w:highlight w:val="none"/>
          <w:lang w:val="en-US" w:eastAsia="zh-CN" w:bidi="ar-SA"/>
        </w:rPr>
        <w:t>规范外出学习培训管理规定</w:t>
      </w:r>
      <w:r>
        <w:rPr>
          <w:rFonts w:hint="default" w:ascii="Times New Roman Regular" w:hAnsi="Times New Roman Regular" w:eastAsia="仿宋_GB2312" w:cs="Times New Roman Regular"/>
          <w:color w:val="auto"/>
          <w:kern w:val="2"/>
          <w:sz w:val="32"/>
          <w:szCs w:val="32"/>
          <w:highlight w:val="none"/>
          <w:lang w:val="en-US" w:eastAsia="zh-CN" w:bidi="ar-SA"/>
        </w:rPr>
        <w:t>》</w:t>
      </w:r>
      <w:r>
        <w:rPr>
          <w:rFonts w:hint="eastAsia" w:ascii="Times New Roman Regular" w:hAnsi="Times New Roman Regular" w:eastAsia="仿宋_GB2312" w:cs="Times New Roman Regular"/>
          <w:color w:val="auto"/>
          <w:kern w:val="2"/>
          <w:sz w:val="32"/>
          <w:szCs w:val="32"/>
          <w:highlight w:val="none"/>
          <w:lang w:val="en-US" w:eastAsia="zh-CN" w:bidi="ar-SA"/>
        </w:rPr>
        <w:t>《公务接待管理办法》《会计档案管理办法》4项</w:t>
      </w:r>
      <w:r>
        <w:rPr>
          <w:rFonts w:hint="default" w:ascii="Times New Roman Regular" w:hAnsi="Times New Roman Regular" w:eastAsia="仿宋_GB2312" w:cs="Times New Roman Regular"/>
          <w:color w:val="auto"/>
          <w:kern w:val="2"/>
          <w:sz w:val="32"/>
          <w:szCs w:val="32"/>
          <w:highlight w:val="none"/>
          <w:lang w:val="en-US" w:eastAsia="zh-CN" w:bidi="ar-SA"/>
        </w:rPr>
        <w:t>制度，全年未发生违规使用资金问题</w:t>
      </w:r>
      <w:r>
        <w:rPr>
          <w:rFonts w:hint="eastAsia" w:ascii="Times New Roman Regular" w:hAnsi="Times New Roman Regular" w:eastAsia="仿宋_GB2312" w:cs="Times New Roman Regular"/>
          <w:color w:val="auto"/>
          <w:kern w:val="2"/>
          <w:sz w:val="32"/>
          <w:szCs w:val="32"/>
          <w:highlight w:val="none"/>
          <w:lang w:val="en-US" w:eastAsia="zh-CN" w:bidi="ar-SA"/>
        </w:rPr>
        <w:t>，充分发挥资金的使用效益，效果良好。</w:t>
      </w:r>
    </w:p>
    <w:p w14:paraId="36B440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w:t>
      </w:r>
      <w:r>
        <w:rPr>
          <w:rFonts w:hint="default" w:ascii="Times New Roman Regular" w:hAnsi="Times New Roman Regular" w:eastAsia="仿宋_GB2312" w:cs="Times New Roman Regular"/>
          <w:color w:val="auto"/>
          <w:kern w:val="2"/>
          <w:sz w:val="32"/>
          <w:szCs w:val="32"/>
          <w:highlight w:val="none"/>
          <w:lang w:val="en-US" w:eastAsia="zh-CN" w:bidi="ar-SA"/>
        </w:rPr>
        <w:t>履职效能：</w:t>
      </w:r>
    </w:p>
    <w:p w14:paraId="6028C4CD">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（1）血液采集：</w:t>
      </w:r>
      <w:r>
        <w:rPr>
          <w:rFonts w:hint="default" w:ascii="Times New Roman Regular" w:hAnsi="Times New Roman Regular" w:eastAsia="仿宋_GB2312" w:cs="Times New Roman Regular"/>
          <w:color w:val="auto"/>
          <w:kern w:val="2"/>
          <w:sz w:val="32"/>
          <w:szCs w:val="32"/>
          <w:highlight w:val="none"/>
          <w:lang w:val="en-US" w:eastAsia="zh-CN" w:bidi="ar-SA"/>
        </w:rPr>
        <w:t>202</w:t>
      </w:r>
      <w:r>
        <w:rPr>
          <w:rFonts w:hint="eastAsia" w:ascii="Times New Roman Regular" w:hAnsi="Times New Roman Regular" w:eastAsia="仿宋_GB2312" w:cs="Times New Roman Regular"/>
          <w:color w:val="auto"/>
          <w:kern w:val="2"/>
          <w:sz w:val="32"/>
          <w:szCs w:val="32"/>
          <w:highlight w:val="none"/>
          <w:lang w:val="en-US" w:eastAsia="zh-CN" w:bidi="ar-SA"/>
        </w:rPr>
        <w:t>5</w:t>
      </w:r>
      <w:r>
        <w:rPr>
          <w:rFonts w:hint="default" w:ascii="Times New Roman Regular" w:hAnsi="Times New Roman Regular" w:eastAsia="仿宋_GB2312" w:cs="Times New Roman Regular"/>
          <w:color w:val="auto"/>
          <w:kern w:val="2"/>
          <w:sz w:val="32"/>
          <w:szCs w:val="32"/>
          <w:highlight w:val="none"/>
          <w:lang w:val="en-US" w:eastAsia="zh-CN" w:bidi="ar-SA"/>
        </w:rPr>
        <w:t>年全市累计</w:t>
      </w:r>
      <w:r>
        <w:rPr>
          <w:rFonts w:hint="eastAsia" w:ascii="Times New Roman Regular" w:hAnsi="Times New Roman Regular" w:eastAsia="仿宋_GB2312" w:cs="Times New Roman Regular"/>
          <w:color w:val="auto"/>
          <w:kern w:val="2"/>
          <w:sz w:val="32"/>
          <w:szCs w:val="32"/>
          <w:highlight w:val="none"/>
          <w:lang w:val="en-US" w:eastAsia="zh-CN" w:bidi="ar-SA"/>
        </w:rPr>
        <w:t>41265</w:t>
      </w:r>
      <w:r>
        <w:rPr>
          <w:rFonts w:hint="default" w:ascii="Times New Roman Regular" w:hAnsi="Times New Roman Regular" w:eastAsia="仿宋_GB2312" w:cs="Times New Roman Regular"/>
          <w:color w:val="auto"/>
          <w:kern w:val="2"/>
          <w:sz w:val="32"/>
          <w:szCs w:val="32"/>
          <w:highlight w:val="none"/>
          <w:lang w:val="en-US" w:eastAsia="zh-CN" w:bidi="ar-SA"/>
        </w:rPr>
        <w:t>人次参加无偿献血，</w:t>
      </w:r>
      <w:r>
        <w:rPr>
          <w:rFonts w:hint="eastAsia" w:ascii="Times New Roman Regular" w:hAnsi="Times New Roman Regular" w:eastAsia="仿宋_GB2312" w:cs="Times New Roman Regular"/>
          <w:color w:val="auto"/>
          <w:kern w:val="2"/>
          <w:sz w:val="32"/>
          <w:szCs w:val="32"/>
          <w:highlight w:val="none"/>
          <w:lang w:val="en-US" w:eastAsia="zh-CN" w:bidi="ar-SA"/>
        </w:rPr>
        <w:t>同比增长10.75%，采集</w:t>
      </w:r>
      <w:r>
        <w:rPr>
          <w:rFonts w:hint="default" w:ascii="Times New Roman Regular" w:hAnsi="Times New Roman Regular" w:eastAsia="仿宋_GB2312" w:cs="Times New Roman Regular"/>
          <w:color w:val="auto"/>
          <w:kern w:val="2"/>
          <w:sz w:val="32"/>
          <w:szCs w:val="32"/>
          <w:highlight w:val="none"/>
          <w:lang w:val="en-US" w:eastAsia="zh-CN" w:bidi="ar-SA"/>
        </w:rPr>
        <w:t>血液</w:t>
      </w:r>
      <w:r>
        <w:rPr>
          <w:rFonts w:hint="eastAsia" w:ascii="Times New Roman Regular" w:hAnsi="Times New Roman Regular" w:eastAsia="仿宋_GB2312" w:cs="Times New Roman Regular"/>
          <w:color w:val="auto"/>
          <w:kern w:val="2"/>
          <w:sz w:val="32"/>
          <w:szCs w:val="32"/>
          <w:highlight w:val="none"/>
          <w:lang w:val="en-US" w:eastAsia="zh-CN" w:bidi="ar-SA"/>
        </w:rPr>
        <w:t>15.12</w:t>
      </w:r>
      <w:r>
        <w:rPr>
          <w:rFonts w:hint="default" w:ascii="Times New Roman Regular" w:hAnsi="Times New Roman Regular" w:eastAsia="仿宋_GB2312" w:cs="Times New Roman Regular"/>
          <w:color w:val="auto"/>
          <w:kern w:val="2"/>
          <w:sz w:val="32"/>
          <w:szCs w:val="32"/>
          <w:highlight w:val="none"/>
          <w:lang w:val="en-US" w:eastAsia="zh-CN" w:bidi="ar-SA"/>
        </w:rPr>
        <w:t>吨，</w:t>
      </w:r>
      <w:r>
        <w:rPr>
          <w:rFonts w:hint="eastAsia" w:ascii="Times New Roman Regular" w:hAnsi="Times New Roman Regular" w:eastAsia="仿宋_GB2312" w:cs="Times New Roman Regular"/>
          <w:color w:val="auto"/>
          <w:kern w:val="2"/>
          <w:sz w:val="32"/>
          <w:szCs w:val="32"/>
          <w:highlight w:val="none"/>
          <w:lang w:val="en-US" w:eastAsia="zh-CN" w:bidi="ar-SA"/>
        </w:rPr>
        <w:t>同比增长7.36%，</w:t>
      </w:r>
      <w:r>
        <w:rPr>
          <w:rFonts w:hint="default" w:ascii="Times New Roman Regular" w:hAnsi="Times New Roman Regular" w:eastAsia="仿宋_GB2312" w:cs="Times New Roman Regular"/>
          <w:color w:val="auto"/>
          <w:kern w:val="2"/>
          <w:sz w:val="32"/>
          <w:szCs w:val="32"/>
          <w:highlight w:val="none"/>
          <w:lang w:val="en-US" w:eastAsia="zh-CN" w:bidi="ar-SA"/>
        </w:rPr>
        <w:t>自愿无偿献血率100%，其中</w:t>
      </w:r>
      <w:r>
        <w:rPr>
          <w:rFonts w:hint="eastAsia" w:ascii="Times New Roman Regular" w:hAnsi="Times New Roman Regular" w:eastAsia="仿宋_GB2312" w:cs="Times New Roman Regular"/>
          <w:color w:val="auto"/>
          <w:kern w:val="2"/>
          <w:sz w:val="32"/>
          <w:szCs w:val="32"/>
          <w:highlight w:val="none"/>
          <w:lang w:val="en-US" w:eastAsia="zh-CN" w:bidi="ar-SA"/>
        </w:rPr>
        <w:t>采集</w:t>
      </w:r>
      <w:r>
        <w:rPr>
          <w:rFonts w:hint="default" w:ascii="Times New Roman Regular" w:hAnsi="Times New Roman Regular" w:eastAsia="仿宋_GB2312" w:cs="Times New Roman Regular"/>
          <w:color w:val="auto"/>
          <w:kern w:val="2"/>
          <w:sz w:val="32"/>
          <w:szCs w:val="32"/>
          <w:highlight w:val="none"/>
          <w:lang w:val="en-US" w:eastAsia="zh-CN" w:bidi="ar-SA"/>
        </w:rPr>
        <w:t>全血</w:t>
      </w:r>
      <w:r>
        <w:rPr>
          <w:rFonts w:hint="eastAsia" w:ascii="Times New Roman Regular" w:hAnsi="Times New Roman Regular" w:eastAsia="仿宋_GB2312" w:cs="Times New Roman Regular"/>
          <w:color w:val="auto"/>
          <w:kern w:val="2"/>
          <w:sz w:val="32"/>
          <w:szCs w:val="32"/>
          <w:highlight w:val="none"/>
          <w:lang w:val="en-US" w:eastAsia="zh-CN" w:bidi="ar-SA"/>
        </w:rPr>
        <w:t>39321</w:t>
      </w:r>
      <w:r>
        <w:rPr>
          <w:rFonts w:hint="default" w:ascii="Times New Roman Regular" w:hAnsi="Times New Roman Regular" w:eastAsia="仿宋_GB2312" w:cs="Times New Roman Regular"/>
          <w:color w:val="auto"/>
          <w:kern w:val="2"/>
          <w:sz w:val="32"/>
          <w:szCs w:val="32"/>
          <w:highlight w:val="none"/>
          <w:lang w:val="en-US" w:eastAsia="zh-CN" w:bidi="ar-SA"/>
        </w:rPr>
        <w:t>人次，1</w:t>
      </w:r>
      <w:r>
        <w:rPr>
          <w:rFonts w:hint="eastAsia" w:ascii="Times New Roman Regular" w:hAnsi="Times New Roman Regular" w:eastAsia="仿宋_GB2312" w:cs="Times New Roman Regular"/>
          <w:color w:val="auto"/>
          <w:kern w:val="2"/>
          <w:sz w:val="32"/>
          <w:szCs w:val="32"/>
          <w:highlight w:val="none"/>
          <w:lang w:val="en-US" w:eastAsia="zh-CN" w:bidi="ar-SA"/>
        </w:rPr>
        <w:t>4.42</w:t>
      </w:r>
      <w:r>
        <w:rPr>
          <w:rFonts w:hint="default" w:ascii="Times New Roman Regular" w:hAnsi="Times New Roman Regular" w:eastAsia="仿宋_GB2312" w:cs="Times New Roman Regular"/>
          <w:color w:val="auto"/>
          <w:kern w:val="2"/>
          <w:sz w:val="32"/>
          <w:szCs w:val="32"/>
          <w:highlight w:val="none"/>
          <w:lang w:val="en-US" w:eastAsia="zh-CN" w:bidi="ar-SA"/>
        </w:rPr>
        <w:t>吨，单采成分血</w:t>
      </w:r>
      <w:r>
        <w:rPr>
          <w:rFonts w:hint="eastAsia" w:ascii="Times New Roman Regular" w:hAnsi="Times New Roman Regular" w:eastAsia="仿宋_GB2312" w:cs="Times New Roman Regular"/>
          <w:color w:val="auto"/>
          <w:kern w:val="2"/>
          <w:sz w:val="32"/>
          <w:szCs w:val="32"/>
          <w:highlight w:val="none"/>
          <w:lang w:val="en-US" w:eastAsia="zh-CN" w:bidi="ar-SA"/>
        </w:rPr>
        <w:t>1944</w:t>
      </w:r>
      <w:r>
        <w:rPr>
          <w:rFonts w:hint="default" w:ascii="Times New Roman Regular" w:hAnsi="Times New Roman Regular" w:eastAsia="仿宋_GB2312" w:cs="Times New Roman Regular"/>
          <w:color w:val="auto"/>
          <w:kern w:val="2"/>
          <w:sz w:val="32"/>
          <w:szCs w:val="32"/>
          <w:highlight w:val="none"/>
          <w:lang w:val="en-US" w:eastAsia="zh-CN" w:bidi="ar-SA"/>
        </w:rPr>
        <w:t>人次，3</w:t>
      </w:r>
      <w:r>
        <w:rPr>
          <w:rFonts w:hint="eastAsia" w:ascii="Times New Roman Regular" w:hAnsi="Times New Roman Regular" w:eastAsia="仿宋_GB2312" w:cs="Times New Roman Regular"/>
          <w:color w:val="auto"/>
          <w:kern w:val="2"/>
          <w:sz w:val="32"/>
          <w:szCs w:val="32"/>
          <w:highlight w:val="none"/>
          <w:lang w:val="en-US" w:eastAsia="zh-CN" w:bidi="ar-SA"/>
        </w:rPr>
        <w:t>524</w:t>
      </w:r>
      <w:r>
        <w:rPr>
          <w:rFonts w:hint="default" w:ascii="Times New Roman Regular" w:hAnsi="Times New Roman Regular" w:eastAsia="仿宋_GB2312" w:cs="Times New Roman Regular"/>
          <w:color w:val="auto"/>
          <w:kern w:val="2"/>
          <w:sz w:val="32"/>
          <w:szCs w:val="32"/>
          <w:highlight w:val="none"/>
          <w:lang w:val="en-US" w:eastAsia="zh-CN" w:bidi="ar-SA"/>
        </w:rPr>
        <w:t>个治疗量</w:t>
      </w:r>
      <w:r>
        <w:rPr>
          <w:rFonts w:hint="eastAsia" w:ascii="Times New Roman Regular" w:hAnsi="Times New Roman Regular" w:eastAsia="仿宋_GB2312" w:cs="Times New Roman Regular"/>
          <w:color w:val="auto"/>
          <w:kern w:val="2"/>
          <w:sz w:val="32"/>
          <w:szCs w:val="32"/>
          <w:highlight w:val="none"/>
          <w:lang w:val="en-US" w:eastAsia="zh-CN" w:bidi="ar-SA"/>
        </w:rPr>
        <w:t>，实现全市无偿献血人次与献血量双增长，但均未完成年初采血42000人次、采血量16吨的目标。采血人次完成率98.25%，采血量完成率94.50%，指标未完成原因为受社会环境变化、群众认知偏差等影响，街头献血人次断崖式下降，社会参与率极低。单一依赖单位团体及亲属互助的模式，无法支撑持续增长的临床用血需求。</w:t>
      </w:r>
    </w:p>
    <w:p w14:paraId="2FE343B7">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（2）血液供应：</w:t>
      </w:r>
      <w:r>
        <w:rPr>
          <w:rFonts w:hint="default" w:ascii="Times New Roman Regular" w:hAnsi="Times New Roman Regular" w:eastAsia="仿宋_GB2312" w:cs="Times New Roman Regular"/>
          <w:color w:val="auto"/>
          <w:kern w:val="2"/>
          <w:sz w:val="32"/>
          <w:szCs w:val="32"/>
          <w:highlight w:val="none"/>
          <w:lang w:val="en-US" w:eastAsia="zh-CN" w:bidi="ar-SA"/>
        </w:rPr>
        <w:t>202</w:t>
      </w:r>
      <w:r>
        <w:rPr>
          <w:rFonts w:hint="eastAsia" w:ascii="Times New Roman Regular" w:hAnsi="Times New Roman Regular" w:eastAsia="仿宋_GB2312" w:cs="Times New Roman Regular"/>
          <w:color w:val="auto"/>
          <w:kern w:val="2"/>
          <w:sz w:val="32"/>
          <w:szCs w:val="32"/>
          <w:highlight w:val="none"/>
          <w:lang w:val="en-US" w:eastAsia="zh-CN" w:bidi="ar-SA"/>
        </w:rPr>
        <w:t>5</w:t>
      </w:r>
      <w:r>
        <w:rPr>
          <w:rFonts w:hint="default" w:ascii="Times New Roman Regular" w:hAnsi="Times New Roman Regular" w:eastAsia="仿宋_GB2312" w:cs="Times New Roman Regular"/>
          <w:color w:val="auto"/>
          <w:kern w:val="2"/>
          <w:sz w:val="32"/>
          <w:szCs w:val="32"/>
          <w:highlight w:val="none"/>
          <w:lang w:val="en-US" w:eastAsia="zh-CN" w:bidi="ar-SA"/>
        </w:rPr>
        <w:t>年临床供血总量</w:t>
      </w:r>
      <w:r>
        <w:rPr>
          <w:rFonts w:hint="eastAsia" w:ascii="Times New Roman Regular" w:hAnsi="Times New Roman Regular" w:eastAsia="仿宋_GB2312" w:cs="Times New Roman Regular"/>
          <w:color w:val="auto"/>
          <w:kern w:val="2"/>
          <w:sz w:val="32"/>
          <w:szCs w:val="32"/>
          <w:highlight w:val="none"/>
          <w:lang w:val="en-US" w:eastAsia="zh-CN" w:bidi="ar-SA"/>
        </w:rPr>
        <w:t>28.74</w:t>
      </w:r>
      <w:r>
        <w:rPr>
          <w:rFonts w:hint="default" w:ascii="Times New Roman Regular" w:hAnsi="Times New Roman Regular" w:eastAsia="仿宋_GB2312" w:cs="Times New Roman Regular"/>
          <w:color w:val="auto"/>
          <w:kern w:val="2"/>
          <w:sz w:val="32"/>
          <w:szCs w:val="32"/>
          <w:highlight w:val="none"/>
          <w:lang w:val="en-US" w:eastAsia="zh-CN" w:bidi="ar-SA"/>
        </w:rPr>
        <w:t>吨</w:t>
      </w:r>
      <w:r>
        <w:rPr>
          <w:rFonts w:hint="eastAsia" w:ascii="Times New Roman Regular" w:hAnsi="Times New Roman Regular" w:eastAsia="仿宋_GB2312" w:cs="Times New Roman Regular"/>
          <w:color w:val="auto"/>
          <w:kern w:val="2"/>
          <w:sz w:val="32"/>
          <w:szCs w:val="32"/>
          <w:highlight w:val="none"/>
          <w:lang w:val="en-US" w:eastAsia="zh-CN" w:bidi="ar-SA"/>
        </w:rPr>
        <w:t>，保持采供血动态平衡，保障我市临床用血需要。</w:t>
      </w:r>
      <w:r>
        <w:rPr>
          <w:rFonts w:hint="default" w:ascii="Times New Roman Regular" w:hAnsi="Times New Roman Regular" w:eastAsia="仿宋_GB2312" w:cs="Times New Roman Regular"/>
          <w:color w:val="auto"/>
          <w:kern w:val="2"/>
          <w:sz w:val="32"/>
          <w:szCs w:val="32"/>
          <w:highlight w:val="none"/>
          <w:lang w:val="en-US" w:eastAsia="zh-CN" w:bidi="ar-SA"/>
        </w:rPr>
        <w:t>其中：红细胞类6</w:t>
      </w:r>
      <w:r>
        <w:rPr>
          <w:rFonts w:hint="eastAsia" w:ascii="Times New Roman Regular" w:hAnsi="Times New Roman Regular" w:eastAsia="仿宋_GB2312" w:cs="Times New Roman Regular"/>
          <w:color w:val="auto"/>
          <w:kern w:val="2"/>
          <w:sz w:val="32"/>
          <w:szCs w:val="32"/>
          <w:highlight w:val="none"/>
          <w:lang w:val="en-US" w:eastAsia="zh-CN" w:bidi="ar-SA"/>
        </w:rPr>
        <w:t>9311.50</w:t>
      </w:r>
      <w:r>
        <w:rPr>
          <w:rFonts w:hint="default" w:ascii="Times New Roman Regular" w:hAnsi="Times New Roman Regular" w:eastAsia="仿宋_GB2312" w:cs="Times New Roman Regular"/>
          <w:color w:val="auto"/>
          <w:kern w:val="2"/>
          <w:sz w:val="32"/>
          <w:szCs w:val="32"/>
          <w:highlight w:val="none"/>
          <w:lang w:val="en-US" w:eastAsia="zh-CN" w:bidi="ar-SA"/>
        </w:rPr>
        <w:t>U</w:t>
      </w:r>
      <w:r>
        <w:rPr>
          <w:rFonts w:hint="eastAsia" w:ascii="Times New Roman Regular" w:hAnsi="Times New Roman Regular" w:eastAsia="仿宋_GB2312" w:cs="Times New Roman Regular"/>
          <w:color w:val="auto"/>
          <w:kern w:val="2"/>
          <w:sz w:val="32"/>
          <w:szCs w:val="32"/>
          <w:highlight w:val="none"/>
          <w:lang w:val="en-US" w:eastAsia="zh-CN" w:bidi="ar-SA"/>
        </w:rPr>
        <w:t>；</w:t>
      </w:r>
      <w:r>
        <w:rPr>
          <w:rFonts w:hint="default" w:ascii="Times New Roman Regular" w:hAnsi="Times New Roman Regular" w:eastAsia="仿宋_GB2312" w:cs="Times New Roman Regular"/>
          <w:color w:val="auto"/>
          <w:kern w:val="2"/>
          <w:sz w:val="32"/>
          <w:szCs w:val="32"/>
          <w:highlight w:val="none"/>
          <w:lang w:val="en-US" w:eastAsia="zh-CN" w:bidi="ar-SA"/>
        </w:rPr>
        <w:t>血浆</w:t>
      </w:r>
      <w:r>
        <w:rPr>
          <w:rFonts w:hint="eastAsia" w:ascii="Times New Roman Regular" w:hAnsi="Times New Roman Regular" w:eastAsia="仿宋_GB2312" w:cs="Times New Roman Regular"/>
          <w:color w:val="auto"/>
          <w:kern w:val="2"/>
          <w:sz w:val="32"/>
          <w:szCs w:val="32"/>
          <w:highlight w:val="none"/>
          <w:lang w:val="en-US" w:eastAsia="zh-CN" w:bidi="ar-SA"/>
        </w:rPr>
        <w:t>49059.50</w:t>
      </w:r>
      <w:r>
        <w:rPr>
          <w:rFonts w:hint="default" w:ascii="Times New Roman Regular" w:hAnsi="Times New Roman Regular" w:eastAsia="仿宋_GB2312" w:cs="Times New Roman Regular"/>
          <w:color w:val="auto"/>
          <w:kern w:val="2"/>
          <w:sz w:val="32"/>
          <w:szCs w:val="32"/>
          <w:highlight w:val="none"/>
          <w:lang w:val="en-US" w:eastAsia="zh-CN" w:bidi="ar-SA"/>
        </w:rPr>
        <w:t>U</w:t>
      </w:r>
      <w:r>
        <w:rPr>
          <w:rFonts w:hint="eastAsia" w:ascii="Times New Roman Regular" w:hAnsi="Times New Roman Regular" w:eastAsia="仿宋_GB2312" w:cs="Times New Roman Regular"/>
          <w:color w:val="auto"/>
          <w:kern w:val="2"/>
          <w:sz w:val="32"/>
          <w:szCs w:val="32"/>
          <w:highlight w:val="none"/>
          <w:lang w:val="en-US" w:eastAsia="zh-CN" w:bidi="ar-SA"/>
        </w:rPr>
        <w:t>；</w:t>
      </w:r>
      <w:r>
        <w:rPr>
          <w:rFonts w:hint="default" w:ascii="Times New Roman Regular" w:hAnsi="Times New Roman Regular" w:eastAsia="仿宋_GB2312" w:cs="Times New Roman Regular"/>
          <w:color w:val="auto"/>
          <w:kern w:val="2"/>
          <w:sz w:val="32"/>
          <w:szCs w:val="32"/>
          <w:highlight w:val="none"/>
          <w:lang w:val="en-US" w:eastAsia="zh-CN" w:bidi="ar-SA"/>
        </w:rPr>
        <w:t>冷沉淀</w:t>
      </w:r>
      <w:r>
        <w:rPr>
          <w:rFonts w:hint="eastAsia" w:ascii="Times New Roman Regular" w:hAnsi="Times New Roman Regular" w:eastAsia="仿宋_GB2312" w:cs="Times New Roman Regular"/>
          <w:color w:val="auto"/>
          <w:kern w:val="2"/>
          <w:sz w:val="32"/>
          <w:szCs w:val="32"/>
          <w:highlight w:val="none"/>
          <w:lang w:val="en-US" w:eastAsia="zh-CN" w:bidi="ar-SA"/>
        </w:rPr>
        <w:t>凝血因子21800</w:t>
      </w:r>
      <w:r>
        <w:rPr>
          <w:rFonts w:hint="default" w:ascii="Times New Roman Regular" w:hAnsi="Times New Roman Regular" w:eastAsia="仿宋_GB2312" w:cs="Times New Roman Regular"/>
          <w:color w:val="auto"/>
          <w:kern w:val="2"/>
          <w:sz w:val="32"/>
          <w:szCs w:val="32"/>
          <w:highlight w:val="none"/>
          <w:lang w:val="en-US" w:eastAsia="zh-CN" w:bidi="ar-SA"/>
        </w:rPr>
        <w:t>U</w:t>
      </w:r>
      <w:r>
        <w:rPr>
          <w:rFonts w:hint="eastAsia" w:ascii="Times New Roman Regular" w:hAnsi="Times New Roman Regular" w:eastAsia="仿宋_GB2312" w:cs="Times New Roman Regular"/>
          <w:color w:val="auto"/>
          <w:kern w:val="2"/>
          <w:sz w:val="32"/>
          <w:szCs w:val="32"/>
          <w:highlight w:val="none"/>
          <w:lang w:val="en-US" w:eastAsia="zh-CN" w:bidi="ar-SA"/>
        </w:rPr>
        <w:t>；单采</w:t>
      </w:r>
      <w:r>
        <w:rPr>
          <w:rFonts w:hint="default" w:ascii="Times New Roman Regular" w:hAnsi="Times New Roman Regular" w:eastAsia="仿宋_GB2312" w:cs="Times New Roman Regular"/>
          <w:color w:val="auto"/>
          <w:kern w:val="2"/>
          <w:sz w:val="32"/>
          <w:szCs w:val="32"/>
          <w:highlight w:val="none"/>
          <w:lang w:val="en-US" w:eastAsia="zh-CN" w:bidi="ar-SA"/>
        </w:rPr>
        <w:t>血小板3</w:t>
      </w:r>
      <w:r>
        <w:rPr>
          <w:rFonts w:hint="eastAsia" w:ascii="Times New Roman Regular" w:hAnsi="Times New Roman Regular" w:eastAsia="仿宋_GB2312" w:cs="Times New Roman Regular"/>
          <w:color w:val="auto"/>
          <w:kern w:val="2"/>
          <w:sz w:val="32"/>
          <w:szCs w:val="32"/>
          <w:highlight w:val="none"/>
          <w:lang w:val="en-US" w:eastAsia="zh-CN" w:bidi="ar-SA"/>
        </w:rPr>
        <w:t>521</w:t>
      </w:r>
      <w:r>
        <w:rPr>
          <w:rFonts w:hint="default" w:ascii="Times New Roman Regular" w:hAnsi="Times New Roman Regular" w:eastAsia="仿宋_GB2312" w:cs="Times New Roman Regular"/>
          <w:color w:val="auto"/>
          <w:kern w:val="2"/>
          <w:sz w:val="32"/>
          <w:szCs w:val="32"/>
          <w:highlight w:val="none"/>
          <w:lang w:val="en-US" w:eastAsia="zh-CN" w:bidi="ar-SA"/>
        </w:rPr>
        <w:t>治疗量。</w:t>
      </w:r>
      <w:r>
        <w:rPr>
          <w:rFonts w:hint="eastAsia" w:ascii="Times New Roman Regular" w:hAnsi="Times New Roman Regular" w:eastAsia="仿宋_GB2312" w:cs="Times New Roman Regular"/>
          <w:color w:val="auto"/>
          <w:kern w:val="2"/>
          <w:sz w:val="32"/>
          <w:szCs w:val="32"/>
          <w:highlight w:val="none"/>
          <w:lang w:val="en-US" w:eastAsia="zh-CN" w:bidi="ar-SA"/>
        </w:rPr>
        <w:t>出库血液合格率100%，成分血使用率100%。</w:t>
      </w:r>
    </w:p>
    <w:p w14:paraId="1255707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w:t>
      </w:r>
      <w:r>
        <w:rPr>
          <w:rFonts w:hint="default" w:ascii="Times New Roman Regular" w:hAnsi="Times New Roman Regular" w:eastAsia="仿宋_GB2312" w:cs="Times New Roman Regular"/>
          <w:color w:val="auto"/>
          <w:kern w:val="2"/>
          <w:sz w:val="32"/>
          <w:szCs w:val="32"/>
          <w:highlight w:val="none"/>
          <w:lang w:val="en-US" w:eastAsia="zh-CN" w:bidi="ar-SA"/>
        </w:rPr>
        <w:t>血液安全：检测项目全覆盖，</w:t>
      </w:r>
      <w:r>
        <w:rPr>
          <w:rFonts w:hint="eastAsia" w:ascii="Times New Roman Regular" w:hAnsi="Times New Roman Regular" w:eastAsia="仿宋_GB2312" w:cs="Times New Roman Regular"/>
          <w:color w:val="auto"/>
          <w:kern w:val="2"/>
          <w:sz w:val="32"/>
          <w:szCs w:val="32"/>
          <w:highlight w:val="none"/>
          <w:lang w:val="en-US" w:eastAsia="zh-CN" w:bidi="ar-SA"/>
        </w:rPr>
        <w:t>坚持两遍酶免一遍核酸检测，保证供应临床血液核酸检测率100%。实验室全年检测献血者标本41154份，合格率98.30%；检测核酸标本40471份，合格率99%；人类嗜T淋巴细胞病毒检测覆盖率100%；参加国家卫计委临床检验中心质评项目血型和采供血机构血液检验3次、血型2次、HTLV2次，湖南省临床检验中心质评2次，评价结果均为优秀，荣获临床检验室间质评“先进单位”称号。</w:t>
      </w:r>
      <w:r>
        <w:rPr>
          <w:rFonts w:hint="default" w:ascii="Times New Roman Regular" w:hAnsi="Times New Roman Regular" w:eastAsia="仿宋_GB2312" w:cs="Times New Roman Regular"/>
          <w:color w:val="auto"/>
          <w:kern w:val="2"/>
          <w:sz w:val="32"/>
          <w:szCs w:val="32"/>
          <w:highlight w:val="none"/>
          <w:lang w:val="en-US" w:eastAsia="zh-CN" w:bidi="ar-SA"/>
        </w:rPr>
        <w:t>经血传播疾病漏检率为0</w:t>
      </w:r>
      <w:r>
        <w:rPr>
          <w:rFonts w:hint="eastAsia" w:ascii="Times New Roman Regular" w:hAnsi="Times New Roman Regular" w:eastAsia="仿宋_GB2312" w:cs="Times New Roman Regular"/>
          <w:color w:val="auto"/>
          <w:kern w:val="2"/>
          <w:sz w:val="32"/>
          <w:szCs w:val="32"/>
          <w:highlight w:val="none"/>
          <w:lang w:val="en-US" w:eastAsia="zh-CN" w:bidi="ar-SA"/>
        </w:rPr>
        <w:t>，显著控制艾滋病等血液传染病经血液传播</w:t>
      </w:r>
      <w:r>
        <w:rPr>
          <w:rFonts w:hint="default" w:ascii="Times New Roman Regular" w:hAnsi="Times New Roman Regular" w:eastAsia="仿宋_GB2312" w:cs="Times New Roman Regular"/>
          <w:color w:val="auto"/>
          <w:kern w:val="2"/>
          <w:sz w:val="32"/>
          <w:szCs w:val="32"/>
          <w:highlight w:val="none"/>
          <w:lang w:val="en-US" w:eastAsia="zh-CN" w:bidi="ar-SA"/>
        </w:rPr>
        <w:t>。</w:t>
      </w:r>
    </w:p>
    <w:p w14:paraId="6BE47B1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（4）全流程质控：采取多种措施对采供血流程进行全程监控，未发生血液质量安全事故，采供血安全事故及时阻断并得到有效控制</w:t>
      </w:r>
      <w:r>
        <w:rPr>
          <w:rFonts w:hint="default" w:ascii="Times New Roman Regular" w:hAnsi="Times New Roman Regular" w:eastAsia="仿宋_GB2312" w:cs="Times New Roman Regular"/>
          <w:color w:val="auto"/>
          <w:kern w:val="2"/>
          <w:sz w:val="32"/>
          <w:szCs w:val="32"/>
          <w:highlight w:val="none"/>
          <w:lang w:val="en-US" w:eastAsia="zh-CN" w:bidi="ar-SA"/>
        </w:rPr>
        <w:t>。</w:t>
      </w:r>
      <w:r>
        <w:rPr>
          <w:rFonts w:hint="eastAsia" w:ascii="Times New Roman Regular" w:hAnsi="Times New Roman Regular" w:eastAsia="仿宋_GB2312" w:cs="Times New Roman Regular"/>
          <w:color w:val="auto"/>
          <w:kern w:val="2"/>
          <w:sz w:val="32"/>
          <w:szCs w:val="32"/>
          <w:highlight w:val="none"/>
          <w:lang w:val="en-US" w:eastAsia="zh-CN" w:bidi="ar-SA"/>
        </w:rPr>
        <w:t>定期抽检起始血液及成品库的血液及血液成分；每月对采供血流程进行工艺卫生监控；对每批次检测试剂及重要的原辅材料进行质量抽查。全年召开质量分析会12次，开展全站性的业务培训5次，日常环节和过程质量检查152次，参与质量体系张吉怀联合内审及我站管理评审1次，全方位筑牢血液质量安全防线，确保血液符合《全血及成分血质量要求》。</w:t>
      </w:r>
    </w:p>
    <w:p w14:paraId="7D9B1B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4.</w:t>
      </w:r>
      <w:r>
        <w:rPr>
          <w:rFonts w:hint="default" w:ascii="Times New Roman Regular" w:hAnsi="Times New Roman Regular" w:eastAsia="仿宋_GB2312" w:cs="Times New Roman Regular"/>
          <w:color w:val="auto"/>
          <w:kern w:val="2"/>
          <w:sz w:val="32"/>
          <w:szCs w:val="32"/>
          <w:highlight w:val="none"/>
          <w:lang w:val="en-US" w:eastAsia="zh-CN" w:bidi="ar-SA"/>
        </w:rPr>
        <w:t>社会效应：</w:t>
      </w:r>
    </w:p>
    <w:p w14:paraId="0AA5EC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积极推行单采血小板献血者积分兑换，积极落实无偿献血“三免政策”，为全市237位荣获全国无偿献血奉献奖终身荣誉奖等无偿献血者办理“爱心公交卡”，推动全市二级以上公立医院就诊免挂号费政策落实，切实把政策红利转化为献血者的实际权益。</w:t>
      </w:r>
    </w:p>
    <w:p w14:paraId="645331D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实施“无偿献血，优先用血”血液联动保障机制，在保障急危重症和孕产妇等重点人群用血前提下，进一步优化血费减免政策，将孙子女、祖父母、外祖父母、兄弟姐妹及配偶的父母、祖父母、外祖父母等亲属纳入血费减免对象，全面实现“一人献血、全家受益”。搭建了优先用血平台，微信公众号开通优先用血申请，为献血者亲属提供了快捷、方便的优先用血申请。全年审批4410人次，保障用血186.02万毫升，切实让献血者享受到“献血光荣、用血优先”的专属权益。</w:t>
      </w:r>
    </w:p>
    <w:p w14:paraId="1EF0054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（3）持续优化用血费用减免流程，让数据多跑路、群众少跑腿，献血者及其亲属在线上直报774人次，减免金额94.64万元，实现无偿献血者临床用血费用跨省异地报销，为无偿献血者提供高效便捷服务。</w:t>
      </w:r>
    </w:p>
    <w:p w14:paraId="0404D73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（4）</w:t>
      </w:r>
      <w:r>
        <w:rPr>
          <w:rFonts w:hint="default" w:ascii="Times New Roman Regular" w:hAnsi="Times New Roman Regular" w:eastAsia="仿宋_GB2312" w:cs="Times New Roman Regular"/>
          <w:color w:val="auto"/>
          <w:kern w:val="2"/>
          <w:sz w:val="32"/>
          <w:szCs w:val="32"/>
          <w:highlight w:val="none"/>
          <w:lang w:val="en-US" w:eastAsia="zh-CN" w:bidi="ar-SA"/>
        </w:rPr>
        <w:t>利用互联网创新献血服务模式，加快推进传统献血模式向“互联网+”献血模式的探索和延伸。启用了怀化市献血服务平台，通过血站公众号提前预约、自助填表，合理安排团采献血人数，现场打印无偿献血征询表，避免人员扎堆，为献血者提供更加优质、高效、个性化的服务。</w:t>
      </w:r>
    </w:p>
    <w:p w14:paraId="3A192C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5）输血督导和技术支持。开展或协助省临床用血质量控制中心对辖区医疗机构用血的调研和培训工作，有效提升了市临床用血质量控制中心成员发现问题、解决问题及指导基层的能力，进一步夯实用血单位医护人员输血安全意识，持续推进合理用血，保障临床用血安全和医疗质量。为辖区用血单位开展鉴定疑难血型80人次，配型筛查血液415袋，有效解决了患者输血难题。</w:t>
      </w:r>
    </w:p>
    <w:p w14:paraId="64D4EB7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5.</w:t>
      </w:r>
      <w:r>
        <w:rPr>
          <w:rFonts w:hint="default" w:ascii="Times New Roman Regular" w:hAnsi="Times New Roman Regular" w:eastAsia="仿宋_GB2312" w:cs="Times New Roman Regular"/>
          <w:color w:val="auto"/>
          <w:kern w:val="2"/>
          <w:sz w:val="32"/>
          <w:szCs w:val="32"/>
          <w:highlight w:val="none"/>
          <w:lang w:val="en-US" w:eastAsia="zh-CN" w:bidi="ar-SA"/>
        </w:rPr>
        <w:t>可持续发展能力：</w:t>
      </w:r>
    </w:p>
    <w:p w14:paraId="2C9BB950">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（1）建强专业队伍，夯实技术服务根基</w:t>
      </w:r>
      <w:r>
        <w:rPr>
          <w:rFonts w:hint="default" w:ascii="Times New Roman Regular" w:hAnsi="Times New Roman Regular" w:eastAsia="仿宋_GB2312" w:cs="Times New Roman Regular"/>
          <w:color w:val="auto"/>
          <w:kern w:val="2"/>
          <w:sz w:val="32"/>
          <w:szCs w:val="32"/>
          <w:highlight w:val="none"/>
          <w:lang w:val="en-US" w:eastAsia="zh-CN" w:bidi="ar-SA"/>
        </w:rPr>
        <w:t>。</w:t>
      </w:r>
      <w:r>
        <w:rPr>
          <w:rFonts w:hint="eastAsia" w:ascii="Times New Roman Regular" w:hAnsi="Times New Roman Regular" w:eastAsia="仿宋_GB2312" w:cs="Times New Roman Regular"/>
          <w:color w:val="auto"/>
          <w:kern w:val="2"/>
          <w:sz w:val="32"/>
          <w:szCs w:val="32"/>
          <w:highlight w:val="none"/>
          <w:lang w:val="en-US" w:eastAsia="zh-CN" w:bidi="ar-SA"/>
        </w:rPr>
        <w:t xml:space="preserve">一是出去学。选派骨干赴湘雅医院、上海血液中心等单位进修学习，全年组织外出学习培训81人次，重点提升疑难配血、血型参比、质量管控、应急处置、宣传招募等核心能力；二是内部训。通过站级全员业务培训、部门内部日常培训，强化日常培训学习，覆盖全站所有岗位，持续规范操作流程、提升全员业务素养。 </w:t>
      </w:r>
    </w:p>
    <w:p w14:paraId="34716DCE">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2025年，在省市媒体发表稿件100余篇，单位微信公众号发表宣传稿件225篇。持续创新宣传招募方式，开展富有创意的宣传招募活动，开展“3·15学习雷锋活动”、“6·14世界献血者日”纪念活动、“热血映国庆，福满暖怀化”国庆活动、“健康知识普及，我行动”主题宣讲高校行宣讲活动、高校无偿献血爱心活动等一系列丰富多样的主题活动10余场次。开展百次献血礼、60岁献血荣休仪式、走访慰问无偿献血者等活动。通过宣传发动、载体联动、活动拉动、典型带动，持续提升市民无偿献血意识。</w:t>
      </w:r>
    </w:p>
    <w:p w14:paraId="070E7552">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6.</w:t>
      </w:r>
      <w:r>
        <w:rPr>
          <w:rFonts w:hint="default" w:ascii="Times New Roman Regular" w:hAnsi="Times New Roman Regular" w:eastAsia="仿宋_GB2312" w:cs="Times New Roman Regular"/>
          <w:color w:val="auto"/>
          <w:kern w:val="2"/>
          <w:sz w:val="32"/>
          <w:szCs w:val="32"/>
          <w:highlight w:val="none"/>
          <w:lang w:val="en-US" w:eastAsia="zh-CN" w:bidi="ar-SA"/>
        </w:rPr>
        <w:t>服务对象满意度：</w:t>
      </w:r>
    </w:p>
    <w:p w14:paraId="45727486">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对全市19家用血单位进行满意度调查，用血单位满意率为100%。对献血者进行满意度调查，满意度调查为100%。</w:t>
      </w:r>
    </w:p>
    <w:p w14:paraId="125923D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5B06BA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主要反映各种预算支出执行偏离绩效目标的情况，并分析其原因。</w:t>
      </w:r>
    </w:p>
    <w:p w14:paraId="549D1FC9">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（一）预算精细化管理水平有待提升，动态统筹能力不足</w:t>
      </w:r>
    </w:p>
    <w:p w14:paraId="1219863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2025年整体预算执行规范，无违规使用资金情况，但预算精细化管理水平仍有提升空间。预算编制前瞻性不足，日常多依据往年数据和人员基数申报，对当年业务变化、设备更新、耗材价格波动等实际情况考虑不够全面，造成部分项目预算和实际支出存在小幅差距，年中需要进行内部调剂平衡</w:t>
      </w:r>
    </w:p>
    <w:p w14:paraId="4AAE3855">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（二）无偿献血招募工作存在短板，采血目标未完全达成</w:t>
      </w:r>
    </w:p>
    <w:p w14:paraId="48B991C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2025年全市无偿献血人次、采血量较上年实现稳步增长，无偿献血招募工作取得实质性成效，群众献血知晓度和参与度持续提升，但对比年初既定的年度工作目标，仍存在一定缺口，未完全达成预期指标。核心问题并非业务下滑，而是业务增速不及年度规划增速。主要原因：一是献血人群结构不够均衡，本年度业务增长高度依赖机关企事业单位团体集中献血、固定献血人群，社会化、常态化街头自发献血增长缓慢，青年流动群体、社区居民主动献血意愿激活不足，供血结构韧性较弱；二是宣传招募精准赋能不足，现有宣传模式偏常规化、节点化，日常常态化科普渗透不足，新媒体精准引流、年轻化宣传内容供给不足，难以持续撬动增量人群；三是年初目标制定基于行业高速发展预期，未充分考群众健康意识变化等客观因素，目标设定偏于激进，导致实际增速未达规划目标。</w:t>
      </w:r>
    </w:p>
    <w:p w14:paraId="2B9B9588">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（三）专项资金落地衔接不畅，项目推进存在滞后隐患</w:t>
      </w:r>
    </w:p>
    <w:p w14:paraId="78B7BF2A">
      <w:pPr>
        <w:pStyle w:val="6"/>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本年度中央重大传染病防控专项资金未按时解冻拨付，虽通过自有资金垫付保障工作落地，但存在资金统筹压力大、项目推进被动的问题。主要原因是上级专项资金统筹拨付流程周期较长，基层单位缺乏提前预判和对接机制，专项资金落地节奏与年度项目实施进度未能完全同步，一定程度上影响了专项工作常态化、规模化推进。</w:t>
      </w:r>
    </w:p>
    <w:p w14:paraId="34B6978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bookmarkStart w:id="0" w:name="_GoBack"/>
      <w:bookmarkEnd w:id="0"/>
    </w:p>
    <w:p w14:paraId="6AC6AE0D">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（一）抓实预算精细化管理，提升资金统筹预判能力</w:t>
      </w:r>
    </w:p>
    <w:p w14:paraId="77BF5C3A">
      <w:pPr>
        <w:pStyle w:val="6"/>
        <w:keepNext w:val="0"/>
        <w:keepLines w:val="0"/>
        <w:pageBreakBefore w:val="0"/>
        <w:widowControl/>
        <w:suppressLineNumbers w:val="0"/>
        <w:kinsoku/>
        <w:wordWrap/>
        <w:overflowPunct/>
        <w:topLinePunct w:val="0"/>
        <w:autoSpaceDE/>
        <w:autoSpaceDN/>
        <w:bidi w:val="0"/>
        <w:adjustRightInd/>
        <w:spacing w:beforeAutospacing="0" w:after="0" w:afterAutospacing="0" w:line="560" w:lineRule="exact"/>
        <w:ind w:firstLine="640" w:firstLineChars="200"/>
        <w:jc w:val="left"/>
        <w:textAlignment w:val="auto"/>
        <w:rPr>
          <w:rFonts w:hint="eastAsia" w:ascii="Times New Roman Regular" w:hAnsi="Times New Roman Regular" w:eastAsia="仿宋_GB2312" w:cs="Times New Roman Regular"/>
          <w:b w:val="0"/>
          <w:bCs w:val="0"/>
          <w:color w:val="auto"/>
          <w:kern w:val="2"/>
          <w:sz w:val="32"/>
          <w:szCs w:val="32"/>
          <w:highlight w:val="none"/>
          <w:lang w:val="en-US" w:eastAsia="zh-CN" w:bidi="ar-SA"/>
        </w:rPr>
      </w:pPr>
      <w:r>
        <w:rPr>
          <w:rFonts w:hint="eastAsia" w:ascii="Times New Roman Regular" w:hAnsi="Times New Roman Regular" w:eastAsia="仿宋_GB2312" w:cs="Times New Roman Regular"/>
          <w:b w:val="0"/>
          <w:bCs w:val="0"/>
          <w:color w:val="auto"/>
          <w:kern w:val="2"/>
          <w:sz w:val="32"/>
          <w:szCs w:val="32"/>
          <w:highlight w:val="none"/>
          <w:lang w:val="en-US" w:eastAsia="zh-CN" w:bidi="ar-SA"/>
        </w:rPr>
        <w:t>改进以往单纯依托往年数据编报预算的方式，强化预算编制前期调研，结合年度采供血业务量变化、设备更新需求、耗材价格浮动等实际情况，科学测算各项目预算额度，提高预算编制的科学性和前瞻性。强化预算日常动态管控，按期梳理各项目支出进度，及时预判收支偏差，提前做好资金统筹调度。加强财务部室与业务科室的日常对接，规范业务科室预算申报流程和标准，提高预算申报精准度，缩小预算与实际支出差距，有效减少年中预算调剂，全面提升预算精细化、规范化管理水平。</w:t>
      </w:r>
    </w:p>
    <w:p w14:paraId="56F4EEBE">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（二）优化无偿献血招募模式，科学推进采供血业务提质增量</w:t>
      </w:r>
    </w:p>
    <w:p w14:paraId="668436E8">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持续巩固现有团体献血、固定献血人群资源，重点补齐社会化献血短板，积极开展社区、商圈、高校常态化献血宣传招募，撬动街头自发献血增量，逐步优化献血人群结构，增强全市供血稳定性。丰富宣传推广方式，在做好节点性主题宣传的同时，常态化运用新媒体平台开展年轻化、通俗化献血科普，提升宣传精准度和覆盖面。结合人口流动、群众健康观念变化等客观实际，科学合理制定年度采血工作目标，杜绝目标设定脱离实际的问题，稳步提升采供血业务增速，确保逐步达成年度既定工作指标。</w:t>
      </w:r>
    </w:p>
    <w:p w14:paraId="2071D734">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（三）健全专项资金对接机制，保障专项工作平稳推进</w:t>
      </w:r>
    </w:p>
    <w:p w14:paraId="5E2AD51A">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建立专项资金常态化跟踪对接机制，安排专人主动对接财政、卫健主管部门，实时掌握专项资金拨付进度、统筹调度安排及政策动态，提前做好工作预判。针对专项资金拨付滞后问题，提前谋划、合理统筹自有资金兜底保障。</w:t>
      </w:r>
    </w:p>
    <w:p w14:paraId="7B4881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29B7D7D7">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（一）绩效自评结果拟应用情况</w:t>
      </w:r>
    </w:p>
    <w:p w14:paraId="1A060CB3">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1.问题整改：针对绩效自评中发现的问题，制定详细的整改措施，明确整改责任人和整改时限，确保问题得到及时有效整改。通过整改，进一步完善项目管理流程，提供项目实施质量和资金使用效益。</w:t>
      </w:r>
    </w:p>
    <w:p w14:paraId="6CE0C772">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预算调整：将绩效自评结果作为下一年度预算安排和调整的重要依据。对绩效评价结果分数高的项目，在预算安排上给与优先支持和适当切斜；对绩效评价结果分数低的项目，消减或暂停预算安排，督促项目改进管理。</w:t>
      </w:r>
    </w:p>
    <w:p w14:paraId="174959FD">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3.绩效自评结果公开情况</w:t>
      </w:r>
    </w:p>
    <w:p w14:paraId="33D73EBD">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在规定时间内，将此次绩效自评结果在怀化市卫生健康委员会门户网站上予以公布，向社会公开，广泛接受群众监督，增强财政资金使用的透明度。</w:t>
      </w:r>
    </w:p>
    <w:p w14:paraId="44FA7C3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7A5EF567">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整体支出报告需要以下附件：</w:t>
      </w:r>
    </w:p>
    <w:p w14:paraId="44404034">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1.部门整体支出绩效评价基础数据表</w:t>
      </w:r>
    </w:p>
    <w:p w14:paraId="316A38E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2.部门整体支出绩效自评表</w:t>
      </w:r>
    </w:p>
    <w:p w14:paraId="2C4F3A7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3.项目支出绩效自评表（每个一级项目支出一张表）</w:t>
      </w:r>
    </w:p>
    <w:p w14:paraId="0E6343BA">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如有政府性基金预算、国有资本经营预算和社会保险基金预算支出，还需对应提供以下附件：</w:t>
      </w:r>
    </w:p>
    <w:p w14:paraId="7373B0B0">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4.</w:t>
      </w:r>
      <w:r>
        <w:rPr>
          <w:rFonts w:hint="default" w:ascii="Times New Roman Regular" w:hAnsi="Times New Roman Regular" w:eastAsia="仿宋_GB2312" w:cs="Times New Roman Regular"/>
          <w:color w:val="auto"/>
          <w:kern w:val="2"/>
          <w:sz w:val="32"/>
          <w:szCs w:val="32"/>
          <w:highlight w:val="none"/>
          <w:lang w:val="en-US" w:eastAsia="zh-CN" w:bidi="ar-SA"/>
        </w:rPr>
        <w:t>政府性基金预算支出情况表</w:t>
      </w:r>
    </w:p>
    <w:p w14:paraId="2307DEA4">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5.</w:t>
      </w:r>
      <w:r>
        <w:rPr>
          <w:rFonts w:hint="default" w:ascii="Times New Roman Regular" w:hAnsi="Times New Roman Regular" w:eastAsia="仿宋_GB2312" w:cs="Times New Roman Regular"/>
          <w:color w:val="auto"/>
          <w:kern w:val="2"/>
          <w:sz w:val="32"/>
          <w:szCs w:val="32"/>
          <w:highlight w:val="none"/>
          <w:lang w:val="en-US" w:eastAsia="zh-CN" w:bidi="ar-SA"/>
        </w:rPr>
        <w:t>国有资本经营预算支出情况表</w:t>
      </w:r>
    </w:p>
    <w:p w14:paraId="0532D65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6.</w:t>
      </w:r>
      <w:r>
        <w:rPr>
          <w:rFonts w:hint="default" w:ascii="Times New Roman Regular" w:hAnsi="Times New Roman Regular" w:eastAsia="仿宋_GB2312" w:cs="Times New Roman Regular"/>
          <w:color w:val="auto"/>
          <w:kern w:val="2"/>
          <w:sz w:val="32"/>
          <w:szCs w:val="32"/>
          <w:highlight w:val="none"/>
          <w:lang w:val="en-US" w:eastAsia="zh-CN" w:bidi="ar-SA"/>
        </w:rPr>
        <w:t>社会保险基金预算支出情况表</w:t>
      </w:r>
    </w:p>
    <w:p w14:paraId="2D0BB20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294D0E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746D487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7E94EE51">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98AA603">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1798CB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B932D36">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64C7537">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22ECED4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p>
    <w:p w14:paraId="6B6F3B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p>
    <w:sectPr>
      <w:footerReference r:id="rId3" w:type="default"/>
      <w:pgSz w:w="11906" w:h="16838"/>
      <w:pgMar w:top="1871" w:right="1417" w:bottom="1871"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C2EBF5A-29CA-46F0-8A1F-A997A3F0283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embedRegular r:id="rId2" w:fontKey="{5924DF5A-55C7-4EC3-8372-C44032661D49}"/>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3" w:fontKey="{1523ADE2-2A7B-479B-B80C-A315FD9BA8F6}"/>
  </w:font>
  <w:font w:name="仿宋_GB2312">
    <w:panose1 w:val="02010609030101010101"/>
    <w:charset w:val="86"/>
    <w:family w:val="auto"/>
    <w:pitch w:val="default"/>
    <w:sig w:usb0="00000001" w:usb1="080E0000" w:usb2="00000000" w:usb3="00000000" w:csb0="00040000" w:csb1="00000000"/>
    <w:embedRegular r:id="rId4" w:fontKey="{1D8F5A21-C2F2-42F7-9AD1-BBC85806D5B2}"/>
  </w:font>
  <w:font w:name="仿宋">
    <w:panose1 w:val="02010609060101010101"/>
    <w:charset w:val="86"/>
    <w:family w:val="auto"/>
    <w:pitch w:val="default"/>
    <w:sig w:usb0="800002BF" w:usb1="38CF7CFA" w:usb2="00000016" w:usb3="00000000" w:csb0="00040001" w:csb1="00000000"/>
    <w:embedRegular r:id="rId5" w:fontKey="{B42DDD0D-F003-47ED-B3CB-C9A5D9C41CD1}"/>
  </w:font>
  <w:font w:name="方正黑体_GBK">
    <w:altName w:val="微软雅黑"/>
    <w:panose1 w:val="02000000000000000000"/>
    <w:charset w:val="86"/>
    <w:family w:val="auto"/>
    <w:pitch w:val="default"/>
    <w:sig w:usb0="00000000" w:usb1="00000000" w:usb2="00000000" w:usb3="00000000" w:csb0="00040000" w:csb1="00000000"/>
    <w:embedRegular r:id="rId6" w:fontKey="{2BD87642-49E0-4C3B-9CA2-43A140C7F5BF}"/>
  </w:font>
  <w:font w:name="Times New Roman Regular">
    <w:altName w:val="Times New Roman"/>
    <w:panose1 w:val="02020603050405020304"/>
    <w:charset w:val="00"/>
    <w:family w:val="auto"/>
    <w:pitch w:val="default"/>
    <w:sig w:usb0="00000000" w:usb1="00000000" w:usb2="00000009" w:usb3="00000000" w:csb0="400001FF" w:csb1="FFFF0000"/>
    <w:embedRegular r:id="rId7" w:fontKey="{85EF0334-CF1E-4BC9-90E5-BCAD47F4FA1C}"/>
  </w:font>
  <w:font w:name="方正仿宋_GB2312">
    <w:panose1 w:val="02000000000000000000"/>
    <w:charset w:val="86"/>
    <w:family w:val="auto"/>
    <w:pitch w:val="default"/>
    <w:sig w:usb0="A00002BF" w:usb1="184F6CFA" w:usb2="00000012" w:usb3="00000000" w:csb0="00040001" w:csb1="00000000"/>
    <w:embedRegular r:id="rId8" w:fontKey="{27FC5811-BB39-4B29-9176-6FE8066D8DD8}"/>
  </w:font>
  <w:font w:name="KSOF8080F95D">
    <w:panose1 w:val="020B0503020204020204"/>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E01D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25F52">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E25F52">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YjczOTQxZTJiODAzYjYyYzUzN2E0YmJhZTI4MWUifQ=="/>
    <w:docVar w:name="KSO_WPS_MARK_KEY" w:val="9920a277-c0c3-43b4-93d3-1636fe398e0b"/>
  </w:docVars>
  <w:rsids>
    <w:rsidRoot w:val="753C4E9B"/>
    <w:rsid w:val="000A47AD"/>
    <w:rsid w:val="00154C0B"/>
    <w:rsid w:val="001A029C"/>
    <w:rsid w:val="005758DD"/>
    <w:rsid w:val="010C4131"/>
    <w:rsid w:val="010D3379"/>
    <w:rsid w:val="01281213"/>
    <w:rsid w:val="01445144"/>
    <w:rsid w:val="01BB3952"/>
    <w:rsid w:val="01C47715"/>
    <w:rsid w:val="01EF572E"/>
    <w:rsid w:val="020379CE"/>
    <w:rsid w:val="020A533B"/>
    <w:rsid w:val="02165FAF"/>
    <w:rsid w:val="021F7DC1"/>
    <w:rsid w:val="022B0158"/>
    <w:rsid w:val="023F3F25"/>
    <w:rsid w:val="024C104C"/>
    <w:rsid w:val="027D172A"/>
    <w:rsid w:val="02DE0C76"/>
    <w:rsid w:val="02F65EA5"/>
    <w:rsid w:val="02FC1312"/>
    <w:rsid w:val="02FE1F7B"/>
    <w:rsid w:val="02FF17CC"/>
    <w:rsid w:val="032D331F"/>
    <w:rsid w:val="0332754E"/>
    <w:rsid w:val="036A681C"/>
    <w:rsid w:val="036E30C9"/>
    <w:rsid w:val="037936EC"/>
    <w:rsid w:val="03B86602"/>
    <w:rsid w:val="03C42540"/>
    <w:rsid w:val="041C427D"/>
    <w:rsid w:val="04366AF4"/>
    <w:rsid w:val="043D3538"/>
    <w:rsid w:val="04595087"/>
    <w:rsid w:val="045B1761"/>
    <w:rsid w:val="049C7E3A"/>
    <w:rsid w:val="04A14B9C"/>
    <w:rsid w:val="04B213C1"/>
    <w:rsid w:val="04C11BBF"/>
    <w:rsid w:val="04F73E4E"/>
    <w:rsid w:val="04FD6093"/>
    <w:rsid w:val="0500658B"/>
    <w:rsid w:val="051B6746"/>
    <w:rsid w:val="056A0FA1"/>
    <w:rsid w:val="05950818"/>
    <w:rsid w:val="05A221EF"/>
    <w:rsid w:val="05A75A44"/>
    <w:rsid w:val="05BE538A"/>
    <w:rsid w:val="05CC3A8E"/>
    <w:rsid w:val="05D67B88"/>
    <w:rsid w:val="05E95AA6"/>
    <w:rsid w:val="05FA2A1A"/>
    <w:rsid w:val="060077E8"/>
    <w:rsid w:val="06020B9C"/>
    <w:rsid w:val="060905E2"/>
    <w:rsid w:val="062F1835"/>
    <w:rsid w:val="06323C68"/>
    <w:rsid w:val="064202F5"/>
    <w:rsid w:val="06913A7D"/>
    <w:rsid w:val="06C851FE"/>
    <w:rsid w:val="07320557"/>
    <w:rsid w:val="07447F1A"/>
    <w:rsid w:val="074E4E7E"/>
    <w:rsid w:val="07563389"/>
    <w:rsid w:val="075975CE"/>
    <w:rsid w:val="07656E56"/>
    <w:rsid w:val="07A8286C"/>
    <w:rsid w:val="07AF43CA"/>
    <w:rsid w:val="07B74F40"/>
    <w:rsid w:val="07BC60B3"/>
    <w:rsid w:val="07D1251D"/>
    <w:rsid w:val="07D505B1"/>
    <w:rsid w:val="07E23C93"/>
    <w:rsid w:val="07F22D5C"/>
    <w:rsid w:val="08101139"/>
    <w:rsid w:val="081A31D6"/>
    <w:rsid w:val="081B727D"/>
    <w:rsid w:val="0851471E"/>
    <w:rsid w:val="08602C5E"/>
    <w:rsid w:val="087B28E6"/>
    <w:rsid w:val="08934557"/>
    <w:rsid w:val="08AF1043"/>
    <w:rsid w:val="08F6501C"/>
    <w:rsid w:val="0901547A"/>
    <w:rsid w:val="09142374"/>
    <w:rsid w:val="09234D5A"/>
    <w:rsid w:val="094170B8"/>
    <w:rsid w:val="095F7E7A"/>
    <w:rsid w:val="09626B66"/>
    <w:rsid w:val="097E472B"/>
    <w:rsid w:val="09865495"/>
    <w:rsid w:val="098D4402"/>
    <w:rsid w:val="09922C06"/>
    <w:rsid w:val="09B1188B"/>
    <w:rsid w:val="09FA0A35"/>
    <w:rsid w:val="0A115A1D"/>
    <w:rsid w:val="0A15589B"/>
    <w:rsid w:val="0A161583"/>
    <w:rsid w:val="0B02681E"/>
    <w:rsid w:val="0B0673E9"/>
    <w:rsid w:val="0B0D71EB"/>
    <w:rsid w:val="0B300F0F"/>
    <w:rsid w:val="0B364677"/>
    <w:rsid w:val="0B3D1B83"/>
    <w:rsid w:val="0B5D55FC"/>
    <w:rsid w:val="0B8D4DCB"/>
    <w:rsid w:val="0B9E1E32"/>
    <w:rsid w:val="0BC914E5"/>
    <w:rsid w:val="0BD923FA"/>
    <w:rsid w:val="0BE46EF4"/>
    <w:rsid w:val="0BED2CDE"/>
    <w:rsid w:val="0BF40F20"/>
    <w:rsid w:val="0C0F4CA9"/>
    <w:rsid w:val="0C140339"/>
    <w:rsid w:val="0C180A78"/>
    <w:rsid w:val="0C456D8B"/>
    <w:rsid w:val="0C4A01D3"/>
    <w:rsid w:val="0C9B3A6C"/>
    <w:rsid w:val="0CB32C96"/>
    <w:rsid w:val="0CC555AA"/>
    <w:rsid w:val="0CE95576"/>
    <w:rsid w:val="0D015A9B"/>
    <w:rsid w:val="0D276746"/>
    <w:rsid w:val="0D464D9C"/>
    <w:rsid w:val="0D654235"/>
    <w:rsid w:val="0D730D86"/>
    <w:rsid w:val="0D814D99"/>
    <w:rsid w:val="0D884402"/>
    <w:rsid w:val="0DD52794"/>
    <w:rsid w:val="0DE832E1"/>
    <w:rsid w:val="0E24462C"/>
    <w:rsid w:val="0E2551CB"/>
    <w:rsid w:val="0E613D6E"/>
    <w:rsid w:val="0E7517A4"/>
    <w:rsid w:val="0E8A257E"/>
    <w:rsid w:val="0E955DCA"/>
    <w:rsid w:val="0E956870"/>
    <w:rsid w:val="0E960DA4"/>
    <w:rsid w:val="0E962130"/>
    <w:rsid w:val="0EA81B0F"/>
    <w:rsid w:val="0F3967B6"/>
    <w:rsid w:val="0F47598F"/>
    <w:rsid w:val="0F7B0D6D"/>
    <w:rsid w:val="0F7F564C"/>
    <w:rsid w:val="0FAC0586"/>
    <w:rsid w:val="0FD42CD5"/>
    <w:rsid w:val="0FE465FF"/>
    <w:rsid w:val="0FE65715"/>
    <w:rsid w:val="10067155"/>
    <w:rsid w:val="100F5E76"/>
    <w:rsid w:val="10347146"/>
    <w:rsid w:val="10685C76"/>
    <w:rsid w:val="106B1D32"/>
    <w:rsid w:val="109A425F"/>
    <w:rsid w:val="109E78EF"/>
    <w:rsid w:val="10BA43DB"/>
    <w:rsid w:val="10C666A5"/>
    <w:rsid w:val="11212459"/>
    <w:rsid w:val="113C371A"/>
    <w:rsid w:val="114B1AD1"/>
    <w:rsid w:val="11A54779"/>
    <w:rsid w:val="11E044D7"/>
    <w:rsid w:val="11ED5EAE"/>
    <w:rsid w:val="11FF2D51"/>
    <w:rsid w:val="12163FE7"/>
    <w:rsid w:val="1223366A"/>
    <w:rsid w:val="12643E93"/>
    <w:rsid w:val="1274387E"/>
    <w:rsid w:val="1289059B"/>
    <w:rsid w:val="12893030"/>
    <w:rsid w:val="12CE31C0"/>
    <w:rsid w:val="12D16100"/>
    <w:rsid w:val="12D3242E"/>
    <w:rsid w:val="12DF03EC"/>
    <w:rsid w:val="12ED22D3"/>
    <w:rsid w:val="12F017D9"/>
    <w:rsid w:val="132077BC"/>
    <w:rsid w:val="13370C17"/>
    <w:rsid w:val="1383293B"/>
    <w:rsid w:val="13857CA0"/>
    <w:rsid w:val="13980163"/>
    <w:rsid w:val="13A27CDB"/>
    <w:rsid w:val="13B90CB9"/>
    <w:rsid w:val="13D555E0"/>
    <w:rsid w:val="13E40530"/>
    <w:rsid w:val="13F33480"/>
    <w:rsid w:val="14047A31"/>
    <w:rsid w:val="141259D8"/>
    <w:rsid w:val="14215943"/>
    <w:rsid w:val="142F00CE"/>
    <w:rsid w:val="14331CB2"/>
    <w:rsid w:val="143877FD"/>
    <w:rsid w:val="14553F41"/>
    <w:rsid w:val="1467040E"/>
    <w:rsid w:val="1475664A"/>
    <w:rsid w:val="14890F64"/>
    <w:rsid w:val="14A728DD"/>
    <w:rsid w:val="14A73819"/>
    <w:rsid w:val="14B23977"/>
    <w:rsid w:val="14B80712"/>
    <w:rsid w:val="14BB5F83"/>
    <w:rsid w:val="14BD76C0"/>
    <w:rsid w:val="15022121"/>
    <w:rsid w:val="1507677D"/>
    <w:rsid w:val="151612A0"/>
    <w:rsid w:val="15330159"/>
    <w:rsid w:val="156774B6"/>
    <w:rsid w:val="156D1119"/>
    <w:rsid w:val="15A1202C"/>
    <w:rsid w:val="15A50A7C"/>
    <w:rsid w:val="15A51762"/>
    <w:rsid w:val="15A861C9"/>
    <w:rsid w:val="15AA656E"/>
    <w:rsid w:val="15CE063D"/>
    <w:rsid w:val="15F90294"/>
    <w:rsid w:val="16072265"/>
    <w:rsid w:val="164E4CC1"/>
    <w:rsid w:val="165D1EF2"/>
    <w:rsid w:val="16A469D8"/>
    <w:rsid w:val="16B849F9"/>
    <w:rsid w:val="16CE50F1"/>
    <w:rsid w:val="16DD7E7C"/>
    <w:rsid w:val="173B5475"/>
    <w:rsid w:val="17547C85"/>
    <w:rsid w:val="176B0541"/>
    <w:rsid w:val="176C5425"/>
    <w:rsid w:val="17755872"/>
    <w:rsid w:val="17832749"/>
    <w:rsid w:val="17F130D5"/>
    <w:rsid w:val="17FCFFF6"/>
    <w:rsid w:val="18173F8C"/>
    <w:rsid w:val="18FA4C14"/>
    <w:rsid w:val="18FB66E5"/>
    <w:rsid w:val="193059E0"/>
    <w:rsid w:val="19697608"/>
    <w:rsid w:val="199F72DD"/>
    <w:rsid w:val="19A757E8"/>
    <w:rsid w:val="19C52A13"/>
    <w:rsid w:val="19E41F02"/>
    <w:rsid w:val="19E805B2"/>
    <w:rsid w:val="19F06971"/>
    <w:rsid w:val="1A2E2078"/>
    <w:rsid w:val="1A387A77"/>
    <w:rsid w:val="1A451613"/>
    <w:rsid w:val="1A5358A1"/>
    <w:rsid w:val="1A9F12D7"/>
    <w:rsid w:val="1AB5464E"/>
    <w:rsid w:val="1B4560C7"/>
    <w:rsid w:val="1B6A187F"/>
    <w:rsid w:val="1B9A4616"/>
    <w:rsid w:val="1BA527DA"/>
    <w:rsid w:val="1BD143CB"/>
    <w:rsid w:val="1BEE218B"/>
    <w:rsid w:val="1C002494"/>
    <w:rsid w:val="1C391B7E"/>
    <w:rsid w:val="1C3C3C95"/>
    <w:rsid w:val="1CA51528"/>
    <w:rsid w:val="1CBF872E"/>
    <w:rsid w:val="1CFA2720"/>
    <w:rsid w:val="1D0205B4"/>
    <w:rsid w:val="1D3C1D18"/>
    <w:rsid w:val="1D530E41"/>
    <w:rsid w:val="1D75476A"/>
    <w:rsid w:val="1DA04246"/>
    <w:rsid w:val="1DC6422A"/>
    <w:rsid w:val="1DD548E1"/>
    <w:rsid w:val="1DDD6F1D"/>
    <w:rsid w:val="1DFE71E1"/>
    <w:rsid w:val="1E000596"/>
    <w:rsid w:val="1E011134"/>
    <w:rsid w:val="1E3459FC"/>
    <w:rsid w:val="1E357891"/>
    <w:rsid w:val="1E4F7829"/>
    <w:rsid w:val="1EAB73C1"/>
    <w:rsid w:val="1EC61EA9"/>
    <w:rsid w:val="1ED657D3"/>
    <w:rsid w:val="1EDA08C2"/>
    <w:rsid w:val="1EED5392"/>
    <w:rsid w:val="1F0F0FD2"/>
    <w:rsid w:val="1F374D1F"/>
    <w:rsid w:val="1F4628A5"/>
    <w:rsid w:val="1F463805"/>
    <w:rsid w:val="1F5A1159"/>
    <w:rsid w:val="1F6C3E55"/>
    <w:rsid w:val="1F7638D9"/>
    <w:rsid w:val="1FB632D0"/>
    <w:rsid w:val="1FCD781E"/>
    <w:rsid w:val="200B13BD"/>
    <w:rsid w:val="20592164"/>
    <w:rsid w:val="20833120"/>
    <w:rsid w:val="209F38E1"/>
    <w:rsid w:val="20AC4ABE"/>
    <w:rsid w:val="20B34AA7"/>
    <w:rsid w:val="20DB23CB"/>
    <w:rsid w:val="20E25DE6"/>
    <w:rsid w:val="20EB78F6"/>
    <w:rsid w:val="20FE42D5"/>
    <w:rsid w:val="21143FF3"/>
    <w:rsid w:val="21224D81"/>
    <w:rsid w:val="21444969"/>
    <w:rsid w:val="215A4127"/>
    <w:rsid w:val="217A5B68"/>
    <w:rsid w:val="2180399D"/>
    <w:rsid w:val="21DE404F"/>
    <w:rsid w:val="221A34A8"/>
    <w:rsid w:val="221D6DEE"/>
    <w:rsid w:val="22244596"/>
    <w:rsid w:val="22450228"/>
    <w:rsid w:val="225936CC"/>
    <w:rsid w:val="22A5799C"/>
    <w:rsid w:val="22EE0851"/>
    <w:rsid w:val="22F1348C"/>
    <w:rsid w:val="22F455A3"/>
    <w:rsid w:val="22FE234B"/>
    <w:rsid w:val="232A5278"/>
    <w:rsid w:val="233A551A"/>
    <w:rsid w:val="238F72D7"/>
    <w:rsid w:val="23BC3AB0"/>
    <w:rsid w:val="23D25676"/>
    <w:rsid w:val="23E12CEF"/>
    <w:rsid w:val="23E136EE"/>
    <w:rsid w:val="240370EB"/>
    <w:rsid w:val="241E7A87"/>
    <w:rsid w:val="24316771"/>
    <w:rsid w:val="24616047"/>
    <w:rsid w:val="246710FD"/>
    <w:rsid w:val="24843748"/>
    <w:rsid w:val="24A17DCC"/>
    <w:rsid w:val="24F815FD"/>
    <w:rsid w:val="250D077C"/>
    <w:rsid w:val="252510A2"/>
    <w:rsid w:val="25262DC7"/>
    <w:rsid w:val="255969F2"/>
    <w:rsid w:val="255B41CD"/>
    <w:rsid w:val="25671E18"/>
    <w:rsid w:val="257C1EB5"/>
    <w:rsid w:val="259F344E"/>
    <w:rsid w:val="25B974F6"/>
    <w:rsid w:val="25C8271A"/>
    <w:rsid w:val="25E602E6"/>
    <w:rsid w:val="26247A14"/>
    <w:rsid w:val="262C7FEC"/>
    <w:rsid w:val="2640208A"/>
    <w:rsid w:val="266D794B"/>
    <w:rsid w:val="26C71533"/>
    <w:rsid w:val="26CD7238"/>
    <w:rsid w:val="26D365F5"/>
    <w:rsid w:val="26E477CD"/>
    <w:rsid w:val="26FC48F3"/>
    <w:rsid w:val="272A531B"/>
    <w:rsid w:val="27452D6D"/>
    <w:rsid w:val="275B16C7"/>
    <w:rsid w:val="27624129"/>
    <w:rsid w:val="277E6F02"/>
    <w:rsid w:val="27840D89"/>
    <w:rsid w:val="27CE6E7A"/>
    <w:rsid w:val="27DD1264"/>
    <w:rsid w:val="27E261BD"/>
    <w:rsid w:val="27E30014"/>
    <w:rsid w:val="27F3292F"/>
    <w:rsid w:val="2812669E"/>
    <w:rsid w:val="2820363B"/>
    <w:rsid w:val="28317CE1"/>
    <w:rsid w:val="283C7D2D"/>
    <w:rsid w:val="284B172A"/>
    <w:rsid w:val="28570E43"/>
    <w:rsid w:val="285A12A4"/>
    <w:rsid w:val="286701B3"/>
    <w:rsid w:val="28A661CE"/>
    <w:rsid w:val="28B26628"/>
    <w:rsid w:val="28F82606"/>
    <w:rsid w:val="291632FB"/>
    <w:rsid w:val="293D24FB"/>
    <w:rsid w:val="29496CCC"/>
    <w:rsid w:val="29684E4F"/>
    <w:rsid w:val="29990575"/>
    <w:rsid w:val="29E22BAB"/>
    <w:rsid w:val="29E50ADA"/>
    <w:rsid w:val="2A5D12BC"/>
    <w:rsid w:val="2A6423D0"/>
    <w:rsid w:val="2A8E0F03"/>
    <w:rsid w:val="2AA8604D"/>
    <w:rsid w:val="2AD46B5B"/>
    <w:rsid w:val="2ADF135E"/>
    <w:rsid w:val="2AE179DD"/>
    <w:rsid w:val="2AE232B1"/>
    <w:rsid w:val="2AF6742D"/>
    <w:rsid w:val="2B054B6B"/>
    <w:rsid w:val="2B0E36C7"/>
    <w:rsid w:val="2B285303"/>
    <w:rsid w:val="2B4761EA"/>
    <w:rsid w:val="2B4A75CB"/>
    <w:rsid w:val="2B5B4633"/>
    <w:rsid w:val="2B6F4D95"/>
    <w:rsid w:val="2B7D5189"/>
    <w:rsid w:val="2BD35279"/>
    <w:rsid w:val="2BDA2E28"/>
    <w:rsid w:val="2BF0264B"/>
    <w:rsid w:val="2BFA0FFC"/>
    <w:rsid w:val="2C0C0B99"/>
    <w:rsid w:val="2C112457"/>
    <w:rsid w:val="2C2940C8"/>
    <w:rsid w:val="2C343987"/>
    <w:rsid w:val="2C6F76C7"/>
    <w:rsid w:val="2CF27769"/>
    <w:rsid w:val="2CF9440B"/>
    <w:rsid w:val="2CFA5AED"/>
    <w:rsid w:val="2CFF3D99"/>
    <w:rsid w:val="2D0D34F2"/>
    <w:rsid w:val="2D3D3407"/>
    <w:rsid w:val="2D450775"/>
    <w:rsid w:val="2D4E3625"/>
    <w:rsid w:val="2D4F7152"/>
    <w:rsid w:val="2D671336"/>
    <w:rsid w:val="2D7B4415"/>
    <w:rsid w:val="2D8561EF"/>
    <w:rsid w:val="2DCD0A11"/>
    <w:rsid w:val="2DDC3961"/>
    <w:rsid w:val="2DF16206"/>
    <w:rsid w:val="2E0E05BC"/>
    <w:rsid w:val="2E10187A"/>
    <w:rsid w:val="2E187865"/>
    <w:rsid w:val="2E190DDE"/>
    <w:rsid w:val="2E1E446E"/>
    <w:rsid w:val="2E234DC0"/>
    <w:rsid w:val="2E237CC3"/>
    <w:rsid w:val="2E4D6B60"/>
    <w:rsid w:val="2E5B3256"/>
    <w:rsid w:val="2E637093"/>
    <w:rsid w:val="2E8B71C0"/>
    <w:rsid w:val="2E96672A"/>
    <w:rsid w:val="2EA81CB8"/>
    <w:rsid w:val="2EC35C05"/>
    <w:rsid w:val="2ECC65AF"/>
    <w:rsid w:val="2EFA6479"/>
    <w:rsid w:val="2F091204"/>
    <w:rsid w:val="2F141663"/>
    <w:rsid w:val="2F1D79A9"/>
    <w:rsid w:val="2F3276C7"/>
    <w:rsid w:val="2F424DBE"/>
    <w:rsid w:val="2F7C597C"/>
    <w:rsid w:val="2F833124"/>
    <w:rsid w:val="2F9C5AF8"/>
    <w:rsid w:val="2F9F2261"/>
    <w:rsid w:val="2FA86931"/>
    <w:rsid w:val="2FC1605B"/>
    <w:rsid w:val="2FC53494"/>
    <w:rsid w:val="2FE5320F"/>
    <w:rsid w:val="2FF11F73"/>
    <w:rsid w:val="2FFB3907"/>
    <w:rsid w:val="300E1349"/>
    <w:rsid w:val="30263342"/>
    <w:rsid w:val="304A524D"/>
    <w:rsid w:val="304F3784"/>
    <w:rsid w:val="306A5204"/>
    <w:rsid w:val="30881BCD"/>
    <w:rsid w:val="30942F58"/>
    <w:rsid w:val="30994BAB"/>
    <w:rsid w:val="30A901D0"/>
    <w:rsid w:val="30C71C5F"/>
    <w:rsid w:val="312A2265"/>
    <w:rsid w:val="314A1D01"/>
    <w:rsid w:val="31552452"/>
    <w:rsid w:val="318D73D7"/>
    <w:rsid w:val="319620CE"/>
    <w:rsid w:val="319B6BB5"/>
    <w:rsid w:val="31A734BC"/>
    <w:rsid w:val="31B048DD"/>
    <w:rsid w:val="31CB13C9"/>
    <w:rsid w:val="31E53D3B"/>
    <w:rsid w:val="32002C1D"/>
    <w:rsid w:val="323C4250"/>
    <w:rsid w:val="32673AB6"/>
    <w:rsid w:val="32676027"/>
    <w:rsid w:val="328E5C42"/>
    <w:rsid w:val="32A03E18"/>
    <w:rsid w:val="32AB73FE"/>
    <w:rsid w:val="32B22ACE"/>
    <w:rsid w:val="32E2523A"/>
    <w:rsid w:val="330E1609"/>
    <w:rsid w:val="331E35CE"/>
    <w:rsid w:val="33310A59"/>
    <w:rsid w:val="333F3E43"/>
    <w:rsid w:val="33515262"/>
    <w:rsid w:val="3361141F"/>
    <w:rsid w:val="33917406"/>
    <w:rsid w:val="339B3FBF"/>
    <w:rsid w:val="33AB6481"/>
    <w:rsid w:val="33BE24AE"/>
    <w:rsid w:val="33C7653D"/>
    <w:rsid w:val="33EC5021"/>
    <w:rsid w:val="340A1F71"/>
    <w:rsid w:val="340A38B3"/>
    <w:rsid w:val="34233CB4"/>
    <w:rsid w:val="34565015"/>
    <w:rsid w:val="34663AA5"/>
    <w:rsid w:val="346D2A0F"/>
    <w:rsid w:val="34D76ADF"/>
    <w:rsid w:val="34ED6C44"/>
    <w:rsid w:val="351738F4"/>
    <w:rsid w:val="3527199E"/>
    <w:rsid w:val="352B4654"/>
    <w:rsid w:val="35456B3F"/>
    <w:rsid w:val="35531BEF"/>
    <w:rsid w:val="357E2A76"/>
    <w:rsid w:val="35EF5040"/>
    <w:rsid w:val="363E6B4A"/>
    <w:rsid w:val="366F318F"/>
    <w:rsid w:val="367250E2"/>
    <w:rsid w:val="36824EEF"/>
    <w:rsid w:val="36D364E9"/>
    <w:rsid w:val="36D55D6B"/>
    <w:rsid w:val="36FC0F5D"/>
    <w:rsid w:val="370B5A40"/>
    <w:rsid w:val="372D6F71"/>
    <w:rsid w:val="37554894"/>
    <w:rsid w:val="375773F8"/>
    <w:rsid w:val="37604154"/>
    <w:rsid w:val="3774310E"/>
    <w:rsid w:val="37F9468A"/>
    <w:rsid w:val="381F0910"/>
    <w:rsid w:val="38607007"/>
    <w:rsid w:val="386859FD"/>
    <w:rsid w:val="38704532"/>
    <w:rsid w:val="387D5F09"/>
    <w:rsid w:val="38DE5455"/>
    <w:rsid w:val="38DF671D"/>
    <w:rsid w:val="393C288A"/>
    <w:rsid w:val="393E32BB"/>
    <w:rsid w:val="394A4DFF"/>
    <w:rsid w:val="39B80C7B"/>
    <w:rsid w:val="39BE1D8D"/>
    <w:rsid w:val="39DC6016"/>
    <w:rsid w:val="39EB7274"/>
    <w:rsid w:val="39FE246E"/>
    <w:rsid w:val="3A2C5392"/>
    <w:rsid w:val="3A7262AF"/>
    <w:rsid w:val="3A793CDA"/>
    <w:rsid w:val="3A7A47BA"/>
    <w:rsid w:val="3A854A54"/>
    <w:rsid w:val="3A8B1822"/>
    <w:rsid w:val="3A9F575A"/>
    <w:rsid w:val="3AAC1615"/>
    <w:rsid w:val="3AC15FE5"/>
    <w:rsid w:val="3AEB7631"/>
    <w:rsid w:val="3B6829DA"/>
    <w:rsid w:val="3B720758"/>
    <w:rsid w:val="3BB80F8A"/>
    <w:rsid w:val="3BBA40DC"/>
    <w:rsid w:val="3BE525AB"/>
    <w:rsid w:val="3BF1014F"/>
    <w:rsid w:val="3C067E6D"/>
    <w:rsid w:val="3C0A2960"/>
    <w:rsid w:val="3C223052"/>
    <w:rsid w:val="3C2A7909"/>
    <w:rsid w:val="3C49762F"/>
    <w:rsid w:val="3C6348C7"/>
    <w:rsid w:val="3C695C95"/>
    <w:rsid w:val="3C6A230E"/>
    <w:rsid w:val="3C855259"/>
    <w:rsid w:val="3CCA404E"/>
    <w:rsid w:val="3CD261C5"/>
    <w:rsid w:val="3CDE6FFD"/>
    <w:rsid w:val="3CFD11C9"/>
    <w:rsid w:val="3D112A47"/>
    <w:rsid w:val="3D3C3A57"/>
    <w:rsid w:val="3D3E59B6"/>
    <w:rsid w:val="3D6D517E"/>
    <w:rsid w:val="3D87344A"/>
    <w:rsid w:val="3D9D3CB5"/>
    <w:rsid w:val="3DAA497A"/>
    <w:rsid w:val="3DC25103"/>
    <w:rsid w:val="3DC56972"/>
    <w:rsid w:val="3DC7281A"/>
    <w:rsid w:val="3DDE30D7"/>
    <w:rsid w:val="3DE15BC8"/>
    <w:rsid w:val="3DF30AC4"/>
    <w:rsid w:val="3E124D83"/>
    <w:rsid w:val="3E380469"/>
    <w:rsid w:val="3E432A0F"/>
    <w:rsid w:val="3E452AB4"/>
    <w:rsid w:val="3E5C2C89"/>
    <w:rsid w:val="3E8808D8"/>
    <w:rsid w:val="3EA27573"/>
    <w:rsid w:val="3EAB1E08"/>
    <w:rsid w:val="3EBE05AD"/>
    <w:rsid w:val="3EC97E6D"/>
    <w:rsid w:val="3EF10F69"/>
    <w:rsid w:val="3EFDDE87"/>
    <w:rsid w:val="3F086863"/>
    <w:rsid w:val="3F1B484E"/>
    <w:rsid w:val="3F2969DF"/>
    <w:rsid w:val="3F2F35E8"/>
    <w:rsid w:val="3F3020E2"/>
    <w:rsid w:val="3F370D90"/>
    <w:rsid w:val="3F4425A2"/>
    <w:rsid w:val="3F453141"/>
    <w:rsid w:val="3F4E4BB7"/>
    <w:rsid w:val="3F5B4F7D"/>
    <w:rsid w:val="3F5E5ADB"/>
    <w:rsid w:val="3F8205BE"/>
    <w:rsid w:val="3FA0733E"/>
    <w:rsid w:val="3FA926CC"/>
    <w:rsid w:val="3FB66D1A"/>
    <w:rsid w:val="3FD9797E"/>
    <w:rsid w:val="3FFE3893"/>
    <w:rsid w:val="40036064"/>
    <w:rsid w:val="401C18F7"/>
    <w:rsid w:val="401F2097"/>
    <w:rsid w:val="402507DC"/>
    <w:rsid w:val="40307C5E"/>
    <w:rsid w:val="405E2404"/>
    <w:rsid w:val="406C47B6"/>
    <w:rsid w:val="4084438A"/>
    <w:rsid w:val="408465EB"/>
    <w:rsid w:val="408B33B9"/>
    <w:rsid w:val="409B040B"/>
    <w:rsid w:val="40CE2A45"/>
    <w:rsid w:val="40D062A9"/>
    <w:rsid w:val="41044576"/>
    <w:rsid w:val="41237074"/>
    <w:rsid w:val="415D182E"/>
    <w:rsid w:val="418652A2"/>
    <w:rsid w:val="41924A76"/>
    <w:rsid w:val="419813B3"/>
    <w:rsid w:val="419B2857"/>
    <w:rsid w:val="41D71DA8"/>
    <w:rsid w:val="41DE4E43"/>
    <w:rsid w:val="41EA5C7B"/>
    <w:rsid w:val="424F77F5"/>
    <w:rsid w:val="42CD5875"/>
    <w:rsid w:val="42F00D2B"/>
    <w:rsid w:val="43076E92"/>
    <w:rsid w:val="43227F23"/>
    <w:rsid w:val="433B1FB1"/>
    <w:rsid w:val="434444D3"/>
    <w:rsid w:val="435412DC"/>
    <w:rsid w:val="435F668D"/>
    <w:rsid w:val="436275FE"/>
    <w:rsid w:val="43650E5C"/>
    <w:rsid w:val="43724C09"/>
    <w:rsid w:val="43806A43"/>
    <w:rsid w:val="43947557"/>
    <w:rsid w:val="43B70A87"/>
    <w:rsid w:val="43CE5C64"/>
    <w:rsid w:val="43FA2F78"/>
    <w:rsid w:val="4410282B"/>
    <w:rsid w:val="44850357"/>
    <w:rsid w:val="44A950C3"/>
    <w:rsid w:val="44FC5D12"/>
    <w:rsid w:val="450F5D66"/>
    <w:rsid w:val="45112C97"/>
    <w:rsid w:val="453C7530"/>
    <w:rsid w:val="458E5EE1"/>
    <w:rsid w:val="45CB040A"/>
    <w:rsid w:val="45F60406"/>
    <w:rsid w:val="460D10DC"/>
    <w:rsid w:val="462F6CCC"/>
    <w:rsid w:val="4630260D"/>
    <w:rsid w:val="4639132E"/>
    <w:rsid w:val="464243DD"/>
    <w:rsid w:val="465D784B"/>
    <w:rsid w:val="4662762C"/>
    <w:rsid w:val="466C6EEB"/>
    <w:rsid w:val="46A70306"/>
    <w:rsid w:val="46C36D3C"/>
    <w:rsid w:val="46E60C47"/>
    <w:rsid w:val="47025732"/>
    <w:rsid w:val="471F2BF8"/>
    <w:rsid w:val="473070C1"/>
    <w:rsid w:val="474C39E8"/>
    <w:rsid w:val="475528CD"/>
    <w:rsid w:val="47623B9F"/>
    <w:rsid w:val="477E6B3F"/>
    <w:rsid w:val="477F13E1"/>
    <w:rsid w:val="47937B86"/>
    <w:rsid w:val="479B7020"/>
    <w:rsid w:val="47B63A3C"/>
    <w:rsid w:val="47E00AF1"/>
    <w:rsid w:val="47F24059"/>
    <w:rsid w:val="4806328E"/>
    <w:rsid w:val="48072389"/>
    <w:rsid w:val="4843177B"/>
    <w:rsid w:val="485E533F"/>
    <w:rsid w:val="48925A00"/>
    <w:rsid w:val="48926BE2"/>
    <w:rsid w:val="48D234F5"/>
    <w:rsid w:val="48DD51B6"/>
    <w:rsid w:val="48F520C8"/>
    <w:rsid w:val="49121A25"/>
    <w:rsid w:val="492B43F9"/>
    <w:rsid w:val="492E435B"/>
    <w:rsid w:val="498413E9"/>
    <w:rsid w:val="49861E81"/>
    <w:rsid w:val="499E09AD"/>
    <w:rsid w:val="49C128B7"/>
    <w:rsid w:val="49DC7859"/>
    <w:rsid w:val="4A2B014A"/>
    <w:rsid w:val="4A4A0D21"/>
    <w:rsid w:val="4B1223EE"/>
    <w:rsid w:val="4B596729"/>
    <w:rsid w:val="4B6B4193"/>
    <w:rsid w:val="4BBA5AD8"/>
    <w:rsid w:val="4BC13280"/>
    <w:rsid w:val="4BCC36DF"/>
    <w:rsid w:val="4C0D364D"/>
    <w:rsid w:val="4C402473"/>
    <w:rsid w:val="4C5F44E3"/>
    <w:rsid w:val="4C6611ED"/>
    <w:rsid w:val="4C6E1FFB"/>
    <w:rsid w:val="4CA63DE7"/>
    <w:rsid w:val="4CDF5D99"/>
    <w:rsid w:val="4CE600B8"/>
    <w:rsid w:val="4CF44A19"/>
    <w:rsid w:val="4D1E0EF4"/>
    <w:rsid w:val="4D261F37"/>
    <w:rsid w:val="4D4052E5"/>
    <w:rsid w:val="4D496D39"/>
    <w:rsid w:val="4D5D3BD3"/>
    <w:rsid w:val="4D720187"/>
    <w:rsid w:val="4D881E5D"/>
    <w:rsid w:val="4DA828EF"/>
    <w:rsid w:val="4DDC79D2"/>
    <w:rsid w:val="4DDF1CAE"/>
    <w:rsid w:val="4E2773C5"/>
    <w:rsid w:val="4EB7F892"/>
    <w:rsid w:val="4F052784"/>
    <w:rsid w:val="4F0E0EE6"/>
    <w:rsid w:val="4F2A2CA3"/>
    <w:rsid w:val="4F48088D"/>
    <w:rsid w:val="4FA25A10"/>
    <w:rsid w:val="4FC03A74"/>
    <w:rsid w:val="4FC24FED"/>
    <w:rsid w:val="4FDF1C24"/>
    <w:rsid w:val="4FE64355"/>
    <w:rsid w:val="500139E3"/>
    <w:rsid w:val="503C0FAB"/>
    <w:rsid w:val="508126D0"/>
    <w:rsid w:val="508F6013"/>
    <w:rsid w:val="50926B99"/>
    <w:rsid w:val="5112495F"/>
    <w:rsid w:val="51256477"/>
    <w:rsid w:val="513B2E22"/>
    <w:rsid w:val="51776B62"/>
    <w:rsid w:val="51802008"/>
    <w:rsid w:val="519E1E97"/>
    <w:rsid w:val="51A727CC"/>
    <w:rsid w:val="51E57C49"/>
    <w:rsid w:val="51EB2DE9"/>
    <w:rsid w:val="520C4CBB"/>
    <w:rsid w:val="52160AC6"/>
    <w:rsid w:val="522200EC"/>
    <w:rsid w:val="52374081"/>
    <w:rsid w:val="5239261F"/>
    <w:rsid w:val="52666F88"/>
    <w:rsid w:val="52906034"/>
    <w:rsid w:val="52D27B05"/>
    <w:rsid w:val="52E94FF6"/>
    <w:rsid w:val="52FE2EF1"/>
    <w:rsid w:val="531B420E"/>
    <w:rsid w:val="533717F6"/>
    <w:rsid w:val="536B6D64"/>
    <w:rsid w:val="5376698C"/>
    <w:rsid w:val="537F6A71"/>
    <w:rsid w:val="53E67D0C"/>
    <w:rsid w:val="53F21C60"/>
    <w:rsid w:val="542F3E97"/>
    <w:rsid w:val="549171C8"/>
    <w:rsid w:val="54B4145C"/>
    <w:rsid w:val="54B629D5"/>
    <w:rsid w:val="54CA6BBE"/>
    <w:rsid w:val="55183053"/>
    <w:rsid w:val="5519761B"/>
    <w:rsid w:val="552A0475"/>
    <w:rsid w:val="55567F3C"/>
    <w:rsid w:val="556A70BB"/>
    <w:rsid w:val="55B371D7"/>
    <w:rsid w:val="55CA33E4"/>
    <w:rsid w:val="55CB6607"/>
    <w:rsid w:val="55F36399"/>
    <w:rsid w:val="56066DC1"/>
    <w:rsid w:val="56321BBE"/>
    <w:rsid w:val="565667F1"/>
    <w:rsid w:val="5684637F"/>
    <w:rsid w:val="56CC6164"/>
    <w:rsid w:val="56ED054A"/>
    <w:rsid w:val="5756111B"/>
    <w:rsid w:val="57590D98"/>
    <w:rsid w:val="57627241"/>
    <w:rsid w:val="576E3115"/>
    <w:rsid w:val="577608BD"/>
    <w:rsid w:val="57853648"/>
    <w:rsid w:val="578D10CB"/>
    <w:rsid w:val="57C540DC"/>
    <w:rsid w:val="57E825BE"/>
    <w:rsid w:val="57EA63E9"/>
    <w:rsid w:val="581F4981"/>
    <w:rsid w:val="582D0E57"/>
    <w:rsid w:val="58312587"/>
    <w:rsid w:val="583D3584"/>
    <w:rsid w:val="584C5771"/>
    <w:rsid w:val="58790915"/>
    <w:rsid w:val="58814A6C"/>
    <w:rsid w:val="58AD766A"/>
    <w:rsid w:val="59183C8D"/>
    <w:rsid w:val="59264A99"/>
    <w:rsid w:val="595D68B2"/>
    <w:rsid w:val="597931D9"/>
    <w:rsid w:val="599D5E47"/>
    <w:rsid w:val="59A3044D"/>
    <w:rsid w:val="59C54EC8"/>
    <w:rsid w:val="59E9604F"/>
    <w:rsid w:val="59E9765A"/>
    <w:rsid w:val="5A2650C7"/>
    <w:rsid w:val="5A5915AC"/>
    <w:rsid w:val="5ABBC979"/>
    <w:rsid w:val="5AEF6D32"/>
    <w:rsid w:val="5AF545C8"/>
    <w:rsid w:val="5B3203DE"/>
    <w:rsid w:val="5B687515"/>
    <w:rsid w:val="5B993B5A"/>
    <w:rsid w:val="5BBD2F61"/>
    <w:rsid w:val="5BEA75B7"/>
    <w:rsid w:val="5BF100CF"/>
    <w:rsid w:val="5BFC47E3"/>
    <w:rsid w:val="5BFC7B3B"/>
    <w:rsid w:val="5BFD4FF9"/>
    <w:rsid w:val="5C4E5AB0"/>
    <w:rsid w:val="5C591079"/>
    <w:rsid w:val="5C94421A"/>
    <w:rsid w:val="5CB92650"/>
    <w:rsid w:val="5CBB1164"/>
    <w:rsid w:val="5D0F6B14"/>
    <w:rsid w:val="5D80482F"/>
    <w:rsid w:val="5DC436B8"/>
    <w:rsid w:val="5DD278D2"/>
    <w:rsid w:val="5DEB095A"/>
    <w:rsid w:val="5E0F35C8"/>
    <w:rsid w:val="5E150247"/>
    <w:rsid w:val="5E1A147B"/>
    <w:rsid w:val="5E4426FE"/>
    <w:rsid w:val="5E4745B8"/>
    <w:rsid w:val="5E485490"/>
    <w:rsid w:val="5E77C7C6"/>
    <w:rsid w:val="5E7F023D"/>
    <w:rsid w:val="5EAE1426"/>
    <w:rsid w:val="5ECE7F48"/>
    <w:rsid w:val="5F3105A7"/>
    <w:rsid w:val="5F7B1510"/>
    <w:rsid w:val="5FBC4017"/>
    <w:rsid w:val="5FC91CFE"/>
    <w:rsid w:val="5FD73AC0"/>
    <w:rsid w:val="5FE2255C"/>
    <w:rsid w:val="5FFFAAE0"/>
    <w:rsid w:val="60087A57"/>
    <w:rsid w:val="60233110"/>
    <w:rsid w:val="606A26FC"/>
    <w:rsid w:val="606E1DA0"/>
    <w:rsid w:val="60736193"/>
    <w:rsid w:val="607C44DA"/>
    <w:rsid w:val="60B36DAD"/>
    <w:rsid w:val="60C35FB8"/>
    <w:rsid w:val="60C4571F"/>
    <w:rsid w:val="60CC7399"/>
    <w:rsid w:val="60CF12EC"/>
    <w:rsid w:val="60D0204F"/>
    <w:rsid w:val="60DA174A"/>
    <w:rsid w:val="60EC6976"/>
    <w:rsid w:val="61210E7C"/>
    <w:rsid w:val="61284766"/>
    <w:rsid w:val="614A3DAA"/>
    <w:rsid w:val="614D174E"/>
    <w:rsid w:val="61554044"/>
    <w:rsid w:val="61932B55"/>
    <w:rsid w:val="619633F8"/>
    <w:rsid w:val="619B585B"/>
    <w:rsid w:val="61AC2E6E"/>
    <w:rsid w:val="61AE4534"/>
    <w:rsid w:val="61CC0D35"/>
    <w:rsid w:val="61CC228D"/>
    <w:rsid w:val="62137FEA"/>
    <w:rsid w:val="623206EE"/>
    <w:rsid w:val="623E7861"/>
    <w:rsid w:val="6271541F"/>
    <w:rsid w:val="628C0609"/>
    <w:rsid w:val="629765D4"/>
    <w:rsid w:val="62DE1002"/>
    <w:rsid w:val="62EE44E7"/>
    <w:rsid w:val="62F905DE"/>
    <w:rsid w:val="63016E98"/>
    <w:rsid w:val="631C14BF"/>
    <w:rsid w:val="63560C58"/>
    <w:rsid w:val="63A06495"/>
    <w:rsid w:val="63A53511"/>
    <w:rsid w:val="63B10735"/>
    <w:rsid w:val="63BB6384"/>
    <w:rsid w:val="63D556A7"/>
    <w:rsid w:val="63ED0C43"/>
    <w:rsid w:val="64126583"/>
    <w:rsid w:val="641C76D4"/>
    <w:rsid w:val="6424218B"/>
    <w:rsid w:val="647F035E"/>
    <w:rsid w:val="64BA4790"/>
    <w:rsid w:val="64C644FC"/>
    <w:rsid w:val="64D21C04"/>
    <w:rsid w:val="653A1489"/>
    <w:rsid w:val="653E2AE1"/>
    <w:rsid w:val="65762D34"/>
    <w:rsid w:val="657D13E8"/>
    <w:rsid w:val="659165F3"/>
    <w:rsid w:val="65963927"/>
    <w:rsid w:val="65AE6FB6"/>
    <w:rsid w:val="65D35307"/>
    <w:rsid w:val="661A0932"/>
    <w:rsid w:val="662C3B8C"/>
    <w:rsid w:val="66347B2F"/>
    <w:rsid w:val="665435B4"/>
    <w:rsid w:val="66676EF2"/>
    <w:rsid w:val="667FD72C"/>
    <w:rsid w:val="66821EED"/>
    <w:rsid w:val="66CD1DC5"/>
    <w:rsid w:val="66EB0348"/>
    <w:rsid w:val="66EE2460"/>
    <w:rsid w:val="66FA345D"/>
    <w:rsid w:val="672D101A"/>
    <w:rsid w:val="673A0E55"/>
    <w:rsid w:val="676430C5"/>
    <w:rsid w:val="678061B5"/>
    <w:rsid w:val="67965D0E"/>
    <w:rsid w:val="679F4A2F"/>
    <w:rsid w:val="67A45CF9"/>
    <w:rsid w:val="67AC6406"/>
    <w:rsid w:val="68364B21"/>
    <w:rsid w:val="684568BD"/>
    <w:rsid w:val="684C37A9"/>
    <w:rsid w:val="686D44C4"/>
    <w:rsid w:val="687B49C3"/>
    <w:rsid w:val="68CC22D3"/>
    <w:rsid w:val="68D0468F"/>
    <w:rsid w:val="68E44108"/>
    <w:rsid w:val="68F860F4"/>
    <w:rsid w:val="68FD6917"/>
    <w:rsid w:val="694C640B"/>
    <w:rsid w:val="696A17AE"/>
    <w:rsid w:val="69977A8C"/>
    <w:rsid w:val="69A41627"/>
    <w:rsid w:val="69C05D8A"/>
    <w:rsid w:val="69C83532"/>
    <w:rsid w:val="69DA12FC"/>
    <w:rsid w:val="6A0154E3"/>
    <w:rsid w:val="6A082AC6"/>
    <w:rsid w:val="6A1119AC"/>
    <w:rsid w:val="6A12486A"/>
    <w:rsid w:val="6A152BF7"/>
    <w:rsid w:val="6A1B7B8C"/>
    <w:rsid w:val="6A332502"/>
    <w:rsid w:val="6A646B46"/>
    <w:rsid w:val="6A6F6242"/>
    <w:rsid w:val="6AB623DF"/>
    <w:rsid w:val="6ABA0B2F"/>
    <w:rsid w:val="6ABE64BE"/>
    <w:rsid w:val="6AC726E2"/>
    <w:rsid w:val="6AEC28F9"/>
    <w:rsid w:val="6AF742A9"/>
    <w:rsid w:val="6B08773F"/>
    <w:rsid w:val="6B172A1D"/>
    <w:rsid w:val="6B40098D"/>
    <w:rsid w:val="6B5F16C5"/>
    <w:rsid w:val="6B7357E7"/>
    <w:rsid w:val="6B7E386E"/>
    <w:rsid w:val="6B8148C3"/>
    <w:rsid w:val="6B9570A0"/>
    <w:rsid w:val="6B985938"/>
    <w:rsid w:val="6BA74108"/>
    <w:rsid w:val="6BB8040C"/>
    <w:rsid w:val="6BBF6778"/>
    <w:rsid w:val="6BD02406"/>
    <w:rsid w:val="6BE51F5F"/>
    <w:rsid w:val="6C357F0E"/>
    <w:rsid w:val="6C3659BD"/>
    <w:rsid w:val="6C3D203B"/>
    <w:rsid w:val="6C5957B6"/>
    <w:rsid w:val="6C6F77A9"/>
    <w:rsid w:val="6C803C72"/>
    <w:rsid w:val="6C9C6D62"/>
    <w:rsid w:val="6CDC1854"/>
    <w:rsid w:val="6CE7101E"/>
    <w:rsid w:val="6CF3EA5A"/>
    <w:rsid w:val="6D077330"/>
    <w:rsid w:val="6D726375"/>
    <w:rsid w:val="6D853DB6"/>
    <w:rsid w:val="6D87328B"/>
    <w:rsid w:val="6DB6785C"/>
    <w:rsid w:val="6DBF657D"/>
    <w:rsid w:val="6DF83260"/>
    <w:rsid w:val="6DF9725A"/>
    <w:rsid w:val="6DFC1128"/>
    <w:rsid w:val="6E030604"/>
    <w:rsid w:val="6E095596"/>
    <w:rsid w:val="6E0D0088"/>
    <w:rsid w:val="6E1B2439"/>
    <w:rsid w:val="6E2949AF"/>
    <w:rsid w:val="6E526A33"/>
    <w:rsid w:val="6E647D14"/>
    <w:rsid w:val="6E8151DA"/>
    <w:rsid w:val="6E823275"/>
    <w:rsid w:val="6E8C40E8"/>
    <w:rsid w:val="6E914EC1"/>
    <w:rsid w:val="6EA3083F"/>
    <w:rsid w:val="6EA9054E"/>
    <w:rsid w:val="6EC03BD0"/>
    <w:rsid w:val="6EC4452A"/>
    <w:rsid w:val="6EE45C9F"/>
    <w:rsid w:val="6F1260C7"/>
    <w:rsid w:val="6F540CD9"/>
    <w:rsid w:val="6F6C08B9"/>
    <w:rsid w:val="6FAC7D2B"/>
    <w:rsid w:val="6FBE7937"/>
    <w:rsid w:val="6FD627F6"/>
    <w:rsid w:val="6FE372A6"/>
    <w:rsid w:val="6FF3138F"/>
    <w:rsid w:val="700D088C"/>
    <w:rsid w:val="705A7CEC"/>
    <w:rsid w:val="70BD1377"/>
    <w:rsid w:val="70E1438C"/>
    <w:rsid w:val="7112598D"/>
    <w:rsid w:val="71174225"/>
    <w:rsid w:val="71224684"/>
    <w:rsid w:val="7127521D"/>
    <w:rsid w:val="713D040C"/>
    <w:rsid w:val="714C3197"/>
    <w:rsid w:val="71562A57"/>
    <w:rsid w:val="71890614"/>
    <w:rsid w:val="718F4844"/>
    <w:rsid w:val="719277E7"/>
    <w:rsid w:val="71950A73"/>
    <w:rsid w:val="71D6553F"/>
    <w:rsid w:val="71DF79D6"/>
    <w:rsid w:val="721820BE"/>
    <w:rsid w:val="725C38FE"/>
    <w:rsid w:val="72713954"/>
    <w:rsid w:val="727809F2"/>
    <w:rsid w:val="72AC7DA8"/>
    <w:rsid w:val="72EA4146"/>
    <w:rsid w:val="73067E9B"/>
    <w:rsid w:val="7318110C"/>
    <w:rsid w:val="73523CC2"/>
    <w:rsid w:val="737733D7"/>
    <w:rsid w:val="73D83DA5"/>
    <w:rsid w:val="73EA779A"/>
    <w:rsid w:val="74065015"/>
    <w:rsid w:val="74081892"/>
    <w:rsid w:val="74206D53"/>
    <w:rsid w:val="745A318F"/>
    <w:rsid w:val="74B90999"/>
    <w:rsid w:val="74D33D47"/>
    <w:rsid w:val="75093A1C"/>
    <w:rsid w:val="75343293"/>
    <w:rsid w:val="753C4E9B"/>
    <w:rsid w:val="754B46EE"/>
    <w:rsid w:val="7553467E"/>
    <w:rsid w:val="75707197"/>
    <w:rsid w:val="75B763B9"/>
    <w:rsid w:val="75D9165A"/>
    <w:rsid w:val="760D0CD1"/>
    <w:rsid w:val="762E2F79"/>
    <w:rsid w:val="76382839"/>
    <w:rsid w:val="76547160"/>
    <w:rsid w:val="76547324"/>
    <w:rsid w:val="765F5283"/>
    <w:rsid w:val="769B7804"/>
    <w:rsid w:val="76AB2404"/>
    <w:rsid w:val="76AC48B6"/>
    <w:rsid w:val="76BA3A06"/>
    <w:rsid w:val="76C9109B"/>
    <w:rsid w:val="76FD35AD"/>
    <w:rsid w:val="770622CE"/>
    <w:rsid w:val="771F2A69"/>
    <w:rsid w:val="774937B5"/>
    <w:rsid w:val="77976AA4"/>
    <w:rsid w:val="779FCBF0"/>
    <w:rsid w:val="77EF5926"/>
    <w:rsid w:val="77F7E21B"/>
    <w:rsid w:val="78063C29"/>
    <w:rsid w:val="7807775C"/>
    <w:rsid w:val="781113A7"/>
    <w:rsid w:val="78571C40"/>
    <w:rsid w:val="786B0DBF"/>
    <w:rsid w:val="78704614"/>
    <w:rsid w:val="78E20BC8"/>
    <w:rsid w:val="78FE1FE6"/>
    <w:rsid w:val="79017442"/>
    <w:rsid w:val="791E6510"/>
    <w:rsid w:val="795D2923"/>
    <w:rsid w:val="79860A5D"/>
    <w:rsid w:val="7991107F"/>
    <w:rsid w:val="79CB3846"/>
    <w:rsid w:val="79E24ADD"/>
    <w:rsid w:val="79E2F975"/>
    <w:rsid w:val="7A460C22"/>
    <w:rsid w:val="7A59091D"/>
    <w:rsid w:val="7A8719DC"/>
    <w:rsid w:val="7A8B0BA1"/>
    <w:rsid w:val="7AA76D8E"/>
    <w:rsid w:val="7AB60418"/>
    <w:rsid w:val="7ACD16AF"/>
    <w:rsid w:val="7ACE224D"/>
    <w:rsid w:val="7B0C00A5"/>
    <w:rsid w:val="7B2C7682"/>
    <w:rsid w:val="7B2F1799"/>
    <w:rsid w:val="7B3BDBF2"/>
    <w:rsid w:val="7B3C053F"/>
    <w:rsid w:val="7B4C6C5F"/>
    <w:rsid w:val="7B845591"/>
    <w:rsid w:val="7B88353D"/>
    <w:rsid w:val="7BAB22FB"/>
    <w:rsid w:val="7BB812B7"/>
    <w:rsid w:val="7BBA037B"/>
    <w:rsid w:val="7BEB41C7"/>
    <w:rsid w:val="7C151F65"/>
    <w:rsid w:val="7C6064DA"/>
    <w:rsid w:val="7C661C91"/>
    <w:rsid w:val="7C8D4A41"/>
    <w:rsid w:val="7C956BEC"/>
    <w:rsid w:val="7CC43D31"/>
    <w:rsid w:val="7CF229CE"/>
    <w:rsid w:val="7CF33F26"/>
    <w:rsid w:val="7CF36423"/>
    <w:rsid w:val="7CF42B99"/>
    <w:rsid w:val="7CFA3BCB"/>
    <w:rsid w:val="7D1C4721"/>
    <w:rsid w:val="7D20704E"/>
    <w:rsid w:val="7D2428A3"/>
    <w:rsid w:val="7D2A03BA"/>
    <w:rsid w:val="7D49534C"/>
    <w:rsid w:val="7D5B587B"/>
    <w:rsid w:val="7D894AA5"/>
    <w:rsid w:val="7D9D3C24"/>
    <w:rsid w:val="7DC47C46"/>
    <w:rsid w:val="7DD07777"/>
    <w:rsid w:val="7E3379ED"/>
    <w:rsid w:val="7E3536EA"/>
    <w:rsid w:val="7E3A6EB0"/>
    <w:rsid w:val="7E430156"/>
    <w:rsid w:val="7E491E00"/>
    <w:rsid w:val="7EB55306"/>
    <w:rsid w:val="7EBDCBBF"/>
    <w:rsid w:val="7EC33B5B"/>
    <w:rsid w:val="7EC65C73"/>
    <w:rsid w:val="7EC74CC1"/>
    <w:rsid w:val="7ECB3848"/>
    <w:rsid w:val="7EE4203A"/>
    <w:rsid w:val="7EE6408F"/>
    <w:rsid w:val="7EEA6053"/>
    <w:rsid w:val="7F150158"/>
    <w:rsid w:val="7F253C46"/>
    <w:rsid w:val="7F3EB32E"/>
    <w:rsid w:val="7F5921DE"/>
    <w:rsid w:val="7F5F3F3B"/>
    <w:rsid w:val="7F5FE5E8"/>
    <w:rsid w:val="7F7FC8C5"/>
    <w:rsid w:val="7FA954E1"/>
    <w:rsid w:val="7FC12584"/>
    <w:rsid w:val="7FCE327F"/>
    <w:rsid w:val="7FD55677"/>
    <w:rsid w:val="7FD82B90"/>
    <w:rsid w:val="7FD87953"/>
    <w:rsid w:val="7FDA4837"/>
    <w:rsid w:val="7FEF0A2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99"/>
    <w:pPr>
      <w:ind w:firstLine="420" w:firstLineChars="100"/>
    </w:pPr>
  </w:style>
  <w:style w:type="paragraph" w:styleId="3">
    <w:name w:val="Body Text"/>
    <w:basedOn w:val="1"/>
    <w:qFormat/>
    <w:uiPriority w:val="0"/>
    <w:pPr>
      <w:spacing w:after="120"/>
    </w:pPr>
  </w:style>
  <w:style w:type="paragraph" w:styleId="4">
    <w:name w:val="Body Text Indent 3"/>
    <w:basedOn w:val="1"/>
    <w:qFormat/>
    <w:uiPriority w:val="0"/>
    <w:pPr>
      <w:spacing w:after="120"/>
      <w:ind w:left="420" w:leftChars="200"/>
    </w:pPr>
    <w:rPr>
      <w:sz w:val="16"/>
      <w:szCs w:val="16"/>
    </w:rPr>
  </w:style>
  <w:style w:type="paragraph" w:styleId="7">
    <w:name w:val="Body Text Indent"/>
    <w:basedOn w:val="1"/>
    <w:unhideWhenUsed/>
    <w:qFormat/>
    <w:uiPriority w:val="0"/>
    <w:pPr>
      <w:spacing w:beforeLines="0" w:afterLines="0"/>
      <w:ind w:firstLine="640" w:firstLineChars="200"/>
    </w:pPr>
    <w:rPr>
      <w:rFonts w:hint="default"/>
      <w:sz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unhideWhenUsed/>
    <w:qFormat/>
    <w:uiPriority w:val="99"/>
    <w:pPr>
      <w:spacing w:beforeLines="0" w:afterLines="0"/>
      <w:ind w:firstLine="420"/>
    </w:pPr>
    <w:rPr>
      <w:rFonts w:hint="default"/>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标题1"/>
    <w:basedOn w:val="5"/>
    <w:qFormat/>
    <w:uiPriority w:val="0"/>
    <w:rPr>
      <w:rFonts w:eastAsia="黑体"/>
    </w:rPr>
  </w:style>
  <w:style w:type="paragraph" w:customStyle="1" w:styleId="17">
    <w:name w:val="首行缩进"/>
    <w:basedOn w:val="1"/>
    <w:qFormat/>
    <w:uiPriority w:val="0"/>
    <w:pPr>
      <w:ind w:firstLine="480" w:firstLineChars="200"/>
    </w:pPr>
    <w:rPr>
      <w:lang w:val="zh-CN"/>
    </w:rPr>
  </w:style>
  <w:style w:type="table" w:customStyle="1" w:styleId="1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9033</Words>
  <Characters>9931</Characters>
  <Lines>0</Lines>
  <Paragraphs>0</Paragraphs>
  <TotalTime>17</TotalTime>
  <ScaleCrop>false</ScaleCrop>
  <LinksUpToDate>false</LinksUpToDate>
  <CharactersWithSpaces>10241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宽粉部落</cp:lastModifiedBy>
  <cp:lastPrinted>2026-06-28T08:53:00Z</cp:lastPrinted>
  <dcterms:modified xsi:type="dcterms:W3CDTF">2026-09-22T02:08:58Z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19BF60E379DD439B960D1CEEAD06A5E2_13</vt:lpwstr>
  </property>
  <property fmtid="{D5CDD505-2E9C-101B-9397-08002B2CF9AE}" pid="4" name="KSOTemplateDocerSaveRecord">
    <vt:lpwstr>eyJoZGlkIjoiM2JjZDM3ZGY3MzVmMzdiYWQ0NDI3NzJlNzg1NTk1OWEiLCJ1c2VySWQiOiIzMzM5NzExMjIifQ==</vt:lpwstr>
  </property>
</Properties>
</file>