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211DC">
      <w:pPr>
        <w:pStyle w:val="27"/>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5350011">
      <w:pPr>
        <w:pStyle w:val="27"/>
        <w:jc w:val="both"/>
        <w:rPr>
          <w:rFonts w:ascii="Times New Roman" w:hAnsi="Times New Roman" w:cs="Times New Roman"/>
          <w:sz w:val="84"/>
          <w:szCs w:val="84"/>
        </w:rPr>
      </w:pPr>
    </w:p>
    <w:p w14:paraId="56C9DDBD">
      <w:pPr>
        <w:pStyle w:val="27"/>
        <w:jc w:val="center"/>
        <w:rPr>
          <w:rFonts w:ascii="Times New Roman" w:hAnsi="Times New Roman" w:cs="Times New Roman"/>
          <w:sz w:val="84"/>
          <w:szCs w:val="84"/>
        </w:rPr>
      </w:pPr>
    </w:p>
    <w:p w14:paraId="6F5BEFF7">
      <w:pPr>
        <w:pStyle w:val="27"/>
        <w:jc w:val="center"/>
        <w:rPr>
          <w:rFonts w:hint="eastAsia" w:ascii="Times New Roman" w:hAnsi="Times New Roman" w:eastAsia="方正小标宋简体" w:cs="Times New Roman"/>
          <w:sz w:val="72"/>
          <w:szCs w:val="72"/>
          <w:lang w:val="en-US" w:eastAsia="zh-CN"/>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lang w:val="en-US" w:eastAsia="zh-CN"/>
        </w:rPr>
        <w:t>怀化市中心血站</w:t>
      </w:r>
    </w:p>
    <w:p w14:paraId="6A7C786E">
      <w:pPr>
        <w:pStyle w:val="27"/>
        <w:jc w:val="center"/>
        <w:rPr>
          <w:rFonts w:hint="default" w:ascii="Times New Roman" w:hAnsi="Times New Roman" w:eastAsia="方正小标宋简体" w:cs="Times New Roman"/>
          <w:sz w:val="72"/>
          <w:szCs w:val="72"/>
          <w:lang w:val="en-US" w:eastAsia="zh-CN"/>
        </w:rPr>
      </w:pPr>
      <w:r>
        <w:rPr>
          <w:rFonts w:ascii="Times New Roman" w:hAnsi="Times New Roman" w:eastAsia="方正小标宋简体" w:cs="Times New Roman"/>
          <w:sz w:val="72"/>
          <w:szCs w:val="72"/>
        </w:rPr>
        <w:t>部门决算</w:t>
      </w:r>
      <w:r>
        <w:rPr>
          <w:rFonts w:hint="eastAsia" w:ascii="Times New Roman" w:hAnsi="Times New Roman" w:eastAsia="方正小标宋简体" w:cs="Times New Roman"/>
          <w:sz w:val="72"/>
          <w:szCs w:val="72"/>
          <w:lang w:val="en-US" w:eastAsia="zh-CN"/>
        </w:rPr>
        <w:t>公开说明</w:t>
      </w:r>
    </w:p>
    <w:p w14:paraId="38FE86C4">
      <w:pPr>
        <w:pStyle w:val="27"/>
        <w:jc w:val="center"/>
        <w:rPr>
          <w:rFonts w:ascii="Times New Roman" w:hAnsi="Times New Roman" w:eastAsia="方正小标宋_GBK" w:cs="Times New Roman"/>
          <w:sz w:val="56"/>
          <w:szCs w:val="56"/>
        </w:rPr>
      </w:pPr>
    </w:p>
    <w:p w14:paraId="6C07C108">
      <w:pPr>
        <w:pStyle w:val="27"/>
        <w:jc w:val="center"/>
        <w:rPr>
          <w:rFonts w:ascii="Times New Roman" w:hAnsi="Times New Roman" w:cs="Times New Roman"/>
          <w:sz w:val="56"/>
          <w:szCs w:val="56"/>
        </w:rPr>
      </w:pPr>
    </w:p>
    <w:p w14:paraId="3AC5EC1D">
      <w:pPr>
        <w:pStyle w:val="27"/>
        <w:rPr>
          <w:rFonts w:ascii="Times New Roman" w:hAnsi="Times New Roman" w:cs="Times New Roman"/>
          <w:sz w:val="56"/>
          <w:szCs w:val="56"/>
        </w:rPr>
      </w:pPr>
    </w:p>
    <w:p w14:paraId="424042DB">
      <w:pPr>
        <w:pStyle w:val="27"/>
        <w:jc w:val="center"/>
        <w:rPr>
          <w:rFonts w:ascii="Times New Roman" w:hAnsi="Times New Roman" w:cs="Times New Roman"/>
          <w:sz w:val="32"/>
          <w:szCs w:val="32"/>
        </w:rPr>
      </w:pPr>
    </w:p>
    <w:p w14:paraId="7B054DBA">
      <w:pPr>
        <w:pStyle w:val="27"/>
        <w:jc w:val="center"/>
        <w:rPr>
          <w:rFonts w:ascii="Times New Roman" w:hAnsi="Times New Roman" w:cs="Times New Roman"/>
          <w:sz w:val="32"/>
          <w:szCs w:val="32"/>
        </w:rPr>
      </w:pPr>
    </w:p>
    <w:p w14:paraId="09471037">
      <w:pPr>
        <w:pStyle w:val="27"/>
        <w:jc w:val="center"/>
        <w:rPr>
          <w:rFonts w:ascii="Times New Roman" w:hAnsi="Times New Roman" w:cs="Times New Roman"/>
          <w:sz w:val="32"/>
          <w:szCs w:val="32"/>
        </w:rPr>
      </w:pPr>
    </w:p>
    <w:p w14:paraId="54ED9D1B">
      <w:pPr>
        <w:pStyle w:val="27"/>
        <w:jc w:val="center"/>
        <w:rPr>
          <w:rFonts w:ascii="Times New Roman" w:hAnsi="Times New Roman" w:cs="Times New Roman"/>
          <w:sz w:val="32"/>
          <w:szCs w:val="32"/>
        </w:rPr>
      </w:pPr>
    </w:p>
    <w:p w14:paraId="3EA44E70">
      <w:pPr>
        <w:pStyle w:val="27"/>
        <w:jc w:val="center"/>
        <w:rPr>
          <w:rFonts w:ascii="Times New Roman" w:hAnsi="Times New Roman" w:cs="Times New Roman"/>
          <w:sz w:val="32"/>
          <w:szCs w:val="32"/>
        </w:rPr>
      </w:pPr>
    </w:p>
    <w:p w14:paraId="2443548B">
      <w:pPr>
        <w:pStyle w:val="27"/>
        <w:jc w:val="center"/>
        <w:rPr>
          <w:rFonts w:ascii="Times New Roman" w:hAnsi="Times New Roman" w:cs="Times New Roman"/>
          <w:sz w:val="32"/>
          <w:szCs w:val="32"/>
        </w:rPr>
      </w:pPr>
    </w:p>
    <w:p w14:paraId="5E7D5E0F">
      <w:pPr>
        <w:pStyle w:val="27"/>
        <w:spacing w:line="540" w:lineRule="exact"/>
        <w:jc w:val="center"/>
        <w:rPr>
          <w:rFonts w:ascii="Times New Roman" w:hAnsi="Times New Roman" w:cs="Times New Roman"/>
          <w:sz w:val="56"/>
          <w:szCs w:val="56"/>
        </w:rPr>
      </w:pPr>
    </w:p>
    <w:p w14:paraId="5B6862DD">
      <w:pPr>
        <w:pStyle w:val="27"/>
        <w:spacing w:line="600" w:lineRule="exact"/>
        <w:jc w:val="both"/>
        <w:rPr>
          <w:rFonts w:ascii="Times New Roman" w:hAnsi="Times New Roman" w:cs="Times New Roman"/>
          <w:b/>
          <w:sz w:val="36"/>
          <w:szCs w:val="28"/>
        </w:rPr>
        <w:sectPr>
          <w:footerReference r:id="rId5" w:type="default"/>
          <w:pgSz w:w="11906" w:h="16838"/>
          <w:pgMar w:top="1417" w:right="1588" w:bottom="1417" w:left="1588" w:header="851" w:footer="992" w:gutter="0"/>
          <w:pgNumType w:start="1"/>
          <w:cols w:space="425" w:num="1"/>
          <w:docGrid w:type="lines" w:linePitch="312" w:charSpace="0"/>
        </w:sectPr>
      </w:pPr>
    </w:p>
    <w:p w14:paraId="439F3DE0">
      <w:pPr>
        <w:pStyle w:val="27"/>
        <w:keepNext w:val="0"/>
        <w:keepLines w:val="0"/>
        <w:pageBreakBefore w:val="0"/>
        <w:widowControl w:val="0"/>
        <w:kinsoku/>
        <w:wordWrap/>
        <w:overflowPunct/>
        <w:topLinePunct w:val="0"/>
        <w:bidi w:val="0"/>
        <w:snapToGrid/>
        <w:spacing w:line="600" w:lineRule="exact"/>
        <w:ind w:firstLine="3960" w:firstLineChars="1100"/>
        <w:jc w:val="both"/>
        <w:textAlignment w:val="auto"/>
        <w:rPr>
          <w:rFonts w:ascii="Times New Roman" w:hAnsi="Times New Roman" w:cs="Times New Roman"/>
          <w:b/>
          <w:sz w:val="36"/>
          <w:szCs w:val="28"/>
        </w:rPr>
      </w:pPr>
      <w:r>
        <w:rPr>
          <w:rFonts w:ascii="Times New Roman" w:hAnsi="Times New Roman" w:cs="Times New Roman"/>
          <w:bCs/>
          <w:sz w:val="36"/>
          <w:szCs w:val="28"/>
        </w:rPr>
        <w:t>目  录</w:t>
      </w:r>
    </w:p>
    <w:p w14:paraId="363B3905">
      <w:pPr>
        <w:pStyle w:val="27"/>
        <w:keepNext w:val="0"/>
        <w:keepLines w:val="0"/>
        <w:pageBreakBefore w:val="0"/>
        <w:widowControl w:val="0"/>
        <w:kinsoku/>
        <w:wordWrap/>
        <w:overflowPunct/>
        <w:topLinePunct w:val="0"/>
        <w:autoSpaceDE w:val="0"/>
        <w:autoSpaceDN w:val="0"/>
        <w:bidi w:val="0"/>
        <w:adjustRightInd w:val="0"/>
        <w:snapToGrid/>
        <w:spacing w:after="156" w:afterLines="50" w:line="440" w:lineRule="exact"/>
        <w:textAlignment w:val="auto"/>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怀化市中心血站</w:t>
      </w:r>
      <w:r>
        <w:rPr>
          <w:rFonts w:ascii="Times New Roman" w:hAnsi="Times New Roman" w:cs="Times New Roman"/>
          <w:bCs/>
          <w:sz w:val="32"/>
          <w:szCs w:val="32"/>
        </w:rPr>
        <w:t>概况</w:t>
      </w:r>
    </w:p>
    <w:p w14:paraId="2FAA32BE">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E6882DC">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962BF4D">
      <w:pPr>
        <w:pStyle w:val="27"/>
        <w:keepNext w:val="0"/>
        <w:keepLines w:val="0"/>
        <w:pageBreakBefore w:val="0"/>
        <w:widowControl w:val="0"/>
        <w:kinsoku/>
        <w:wordWrap/>
        <w:overflowPunct/>
        <w:topLinePunct w:val="0"/>
        <w:autoSpaceDE w:val="0"/>
        <w:autoSpaceDN w:val="0"/>
        <w:bidi w:val="0"/>
        <w:adjustRightInd w:val="0"/>
        <w:snapToGrid/>
        <w:spacing w:before="156" w:beforeLines="50" w:after="156" w:afterLines="50" w:line="440" w:lineRule="exact"/>
        <w:textAlignment w:val="auto"/>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B59774A">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41A51F8">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771F84B">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4054948">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6C006DE">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61C15B3">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FB8B9D">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DAA78E">
      <w:pPr>
        <w:pStyle w:val="27"/>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135A3AE">
      <w:pPr>
        <w:pStyle w:val="27"/>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BE4B9D6">
      <w:pPr>
        <w:pStyle w:val="27"/>
        <w:keepNext w:val="0"/>
        <w:keepLines w:val="0"/>
        <w:pageBreakBefore w:val="0"/>
        <w:widowControl w:val="0"/>
        <w:kinsoku/>
        <w:wordWrap/>
        <w:overflowPunct/>
        <w:topLinePunct w:val="0"/>
        <w:autoSpaceDE w:val="0"/>
        <w:autoSpaceDN w:val="0"/>
        <w:bidi w:val="0"/>
        <w:adjustRightInd w:val="0"/>
        <w:snapToGrid w:val="0"/>
        <w:spacing w:before="156" w:beforeLines="50" w:after="156" w:afterLines="50" w:line="440" w:lineRule="exact"/>
        <w:textAlignment w:val="auto"/>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84AC99B">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36213CE">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3E77B89">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503D030D">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78E78FFE">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五、一般公共预算财政拨款支出决算情况说明</w:t>
      </w:r>
    </w:p>
    <w:p w14:paraId="28A1B2DA">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六、一般公共预算财政拨款基本支出决算情况说明</w:t>
      </w:r>
    </w:p>
    <w:p w14:paraId="0857940C">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七、财政拨款“三公”经费支出决算情况说明</w:t>
      </w:r>
    </w:p>
    <w:p w14:paraId="3EF73E32">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八、政府性基金预算收入支出决算情况</w:t>
      </w:r>
    </w:p>
    <w:p w14:paraId="6A294DBD">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九、国有资本经营预算财政拨款收支决算情况</w:t>
      </w:r>
    </w:p>
    <w:p w14:paraId="794AF1F7">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十</w:t>
      </w:r>
      <w:r>
        <w:rPr>
          <w:rFonts w:ascii="Times New Roman" w:hAnsi="Times New Roman" w:eastAsia="仿宋_GB2312" w:cs="Times New Roman"/>
          <w:sz w:val="32"/>
          <w:szCs w:val="32"/>
        </w:rPr>
        <w:t>、关于机关运行经费支出说明</w:t>
      </w:r>
    </w:p>
    <w:p w14:paraId="19484FBA">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一</w:t>
      </w:r>
      <w:r>
        <w:rPr>
          <w:rFonts w:ascii="Times New Roman" w:hAnsi="Times New Roman" w:eastAsia="仿宋_GB2312" w:cs="Times New Roman"/>
          <w:sz w:val="32"/>
          <w:szCs w:val="32"/>
        </w:rPr>
        <w:t>、一般性支出情况说明</w:t>
      </w:r>
    </w:p>
    <w:p w14:paraId="622A2742">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二</w:t>
      </w:r>
      <w:r>
        <w:rPr>
          <w:rFonts w:ascii="Times New Roman" w:hAnsi="Times New Roman" w:eastAsia="仿宋_GB2312" w:cs="Times New Roman"/>
          <w:sz w:val="32"/>
          <w:szCs w:val="32"/>
        </w:rPr>
        <w:t>、关于政府采购支出说明</w:t>
      </w:r>
    </w:p>
    <w:p w14:paraId="593EA073">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0980C5F9">
      <w:pPr>
        <w:pStyle w:val="27"/>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3B842EE">
      <w:pPr>
        <w:pStyle w:val="27"/>
        <w:keepNext w:val="0"/>
        <w:keepLines w:val="0"/>
        <w:pageBreakBefore w:val="0"/>
        <w:widowControl w:val="0"/>
        <w:kinsoku/>
        <w:wordWrap/>
        <w:overflowPunct/>
        <w:topLinePunct w:val="0"/>
        <w:autoSpaceDE w:val="0"/>
        <w:autoSpaceDN w:val="0"/>
        <w:bidi w:val="0"/>
        <w:adjustRightInd w:val="0"/>
        <w:snapToGrid w:val="0"/>
        <w:spacing w:before="156" w:beforeLines="50" w:after="156" w:afterLines="50" w:line="440" w:lineRule="exact"/>
        <w:textAlignment w:val="auto"/>
        <w:rPr>
          <w:rFonts w:ascii="Times New Roman" w:hAnsi="Times New Roman" w:cs="Times New Roman"/>
          <w:bCs/>
          <w:sz w:val="32"/>
          <w:szCs w:val="32"/>
        </w:rPr>
      </w:pPr>
      <w:r>
        <w:rPr>
          <w:rFonts w:ascii="Times New Roman" w:hAnsi="Times New Roman" w:cs="Times New Roman"/>
          <w:bCs/>
          <w:sz w:val="32"/>
          <w:szCs w:val="32"/>
        </w:rPr>
        <w:t>第四部分 名词解释</w:t>
      </w:r>
    </w:p>
    <w:p w14:paraId="4826F404">
      <w:pPr>
        <w:pStyle w:val="27"/>
        <w:keepNext w:val="0"/>
        <w:keepLines w:val="0"/>
        <w:pageBreakBefore w:val="0"/>
        <w:widowControl w:val="0"/>
        <w:kinsoku/>
        <w:wordWrap/>
        <w:overflowPunct/>
        <w:topLinePunct w:val="0"/>
        <w:autoSpaceDE w:val="0"/>
        <w:autoSpaceDN w:val="0"/>
        <w:bidi w:val="0"/>
        <w:adjustRightInd w:val="0"/>
        <w:snapToGrid w:val="0"/>
        <w:spacing w:before="156" w:beforeLines="50" w:after="156" w:afterLines="50" w:line="440" w:lineRule="exact"/>
        <w:textAlignment w:val="auto"/>
        <w:rPr>
          <w:rFonts w:ascii="Times New Roman" w:hAnsi="Times New Roman" w:eastAsia="仿宋_GB2312" w:cs="Times New Roman"/>
          <w:sz w:val="32"/>
          <w:szCs w:val="32"/>
        </w:rPr>
        <w:sectPr>
          <w:footerReference r:id="rId6" w:type="default"/>
          <w:pgSz w:w="11906" w:h="16838"/>
          <w:pgMar w:top="1417" w:right="1588" w:bottom="1417" w:left="1588" w:header="851" w:footer="992" w:gutter="0"/>
          <w:pgNumType w:start="1"/>
          <w:cols w:space="425" w:num="1"/>
          <w:docGrid w:type="lines" w:linePitch="312" w:charSpace="0"/>
        </w:sectPr>
      </w:pPr>
      <w:r>
        <w:rPr>
          <w:rFonts w:ascii="Times New Roman" w:hAnsi="Times New Roman" w:cs="Times New Roman"/>
          <w:bCs/>
          <w:sz w:val="32"/>
          <w:szCs w:val="32"/>
        </w:rPr>
        <w:t>第五部分 附件</w:t>
      </w:r>
    </w:p>
    <w:p w14:paraId="35BC357E">
      <w:pPr>
        <w:pStyle w:val="24"/>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eastAsia="黑体"/>
          <w:b w:val="0"/>
          <w:bCs/>
          <w:sz w:val="32"/>
          <w:szCs w:val="32"/>
        </w:rPr>
      </w:pPr>
      <w:r>
        <w:rPr>
          <w:rFonts w:hint="eastAsia" w:cs="黑体"/>
          <w:b w:val="0"/>
          <w:bCs/>
          <w:sz w:val="32"/>
          <w:szCs w:val="32"/>
          <w:lang w:eastAsia="zh-CN"/>
        </w:rPr>
        <w:t>第一章</w:t>
      </w:r>
      <w:r>
        <w:rPr>
          <w:rFonts w:hint="eastAsia" w:ascii="仿宋" w:hAnsi="仿宋" w:eastAsia="仿宋" w:cs="仿宋"/>
          <w:b w:val="0"/>
          <w:bCs/>
          <w:spacing w:val="-6"/>
          <w:kern w:val="44"/>
          <w:sz w:val="32"/>
          <w:szCs w:val="32"/>
          <w:lang w:val="en-US" w:eastAsia="zh-CN" w:bidi="ar-SA"/>
        </w:rPr>
        <w:t xml:space="preserve">  </w:t>
      </w:r>
      <w:r>
        <w:rPr>
          <w:rFonts w:ascii="黑体" w:hAnsi="黑体" w:eastAsia="黑体" w:cs="黑体"/>
          <w:b w:val="0"/>
          <w:bCs/>
          <w:sz w:val="32"/>
          <w:szCs w:val="32"/>
        </w:rPr>
        <w:t>怀化市中心血站概况</w:t>
      </w:r>
    </w:p>
    <w:p w14:paraId="56A4C46E">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cs="黑体"/>
          <w:b w:val="0"/>
          <w:bCs w:val="0"/>
          <w:sz w:val="32"/>
          <w:szCs w:val="32"/>
          <w:lang w:eastAsia="zh-CN"/>
        </w:rPr>
      </w:pPr>
    </w:p>
    <w:p w14:paraId="5022C49D">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一、</w:t>
      </w:r>
      <w:r>
        <w:rPr>
          <w:rFonts w:ascii="黑体" w:hAnsi="黑体" w:eastAsia="黑体" w:cs="黑体"/>
          <w:b w:val="0"/>
          <w:bCs w:val="0"/>
          <w:sz w:val="32"/>
          <w:szCs w:val="32"/>
        </w:rPr>
        <w:t>部门职责</w:t>
      </w:r>
    </w:p>
    <w:p w14:paraId="41B9D240">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怀化市中心血站为怀化市卫生健康委员会下属公益一类事业单位，主要职责：全面承担怀化市 13 个县市区无偿献血者招募、血液采集、检测、制备、临床用血供应以及医疗用血业务指导；承担辖区血液储存质量控制及辖区中心血库质量管控管理，保障全市各医疗机构临床用血安全与供应；落实献血者权益保障、献血者用血费用报销等相关服务工作。</w:t>
      </w:r>
    </w:p>
    <w:p w14:paraId="2D95CEF6">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二、</w:t>
      </w:r>
      <w:r>
        <w:rPr>
          <w:rFonts w:ascii="黑体" w:hAnsi="黑体" w:eastAsia="黑体" w:cs="黑体"/>
          <w:b w:val="0"/>
          <w:bCs w:val="0"/>
          <w:sz w:val="32"/>
          <w:szCs w:val="32"/>
        </w:rPr>
        <w:t>机构设置及决算单位构成</w:t>
      </w:r>
    </w:p>
    <w:p w14:paraId="01ABA628">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Style w:val="25"/>
        </w:rPr>
        <w:t>（一）内设机构设置</w:t>
      </w:r>
      <w:r>
        <w:rPr>
          <w:rFonts w:ascii="Times New Roman" w:hAnsi="Times New Roman" w:eastAsia="仿宋_GB2312" w:cs="仿宋_GB2312"/>
          <w:b w:val="0"/>
          <w:bCs w:val="0"/>
          <w:sz w:val="32"/>
          <w:szCs w:val="32"/>
        </w:rPr>
        <w:t>。怀化市中心血站内设机构包括：办公室、人力资源部、财务部、后勤保障部、业务综合部、献血服务一部、献血服务二部、血液制备部、血液供应部、血液检验部、质量管理部，共 11 个内设机构。</w:t>
      </w:r>
    </w:p>
    <w:p w14:paraId="7C06D2EA">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 xml:space="preserve"> （二）决算单位构成。怀化市中心血站 2025 年部门决算汇总公开单位构成为怀化市中心血站本级，无下属二级决算单位。</w:t>
      </w:r>
    </w:p>
    <w:p w14:paraId="2B626652">
      <w:pPr>
        <w:keepNext w:val="0"/>
        <w:keepLines w:val="0"/>
        <w:pageBreakBefore w:val="0"/>
        <w:widowControl w:val="0"/>
        <w:suppressLineNumbers w:val="0"/>
        <w:kinsoku/>
        <w:wordWrap/>
        <w:overflowPunct/>
        <w:topLinePunct w:val="0"/>
        <w:autoSpaceDE/>
        <w:autoSpaceDN/>
        <w:bidi w:val="0"/>
        <w:adjustRightInd/>
        <w:snapToGrid/>
        <w:textAlignment w:val="auto"/>
      </w:pPr>
    </w:p>
    <w:p w14:paraId="5E48D34D">
      <w:pPr>
        <w:pStyle w:val="24"/>
        <w:keepNext w:val="0"/>
        <w:keepLines w:val="0"/>
        <w:pageBreakBefore w:val="0"/>
        <w:widowControl w:val="0"/>
        <w:numPr>
          <w:numId w:val="0"/>
        </w:numPr>
        <w:kinsoku/>
        <w:wordWrap/>
        <w:overflowPunct/>
        <w:topLinePunct w:val="0"/>
        <w:autoSpaceDE/>
        <w:autoSpaceDN/>
        <w:bidi w:val="0"/>
        <w:adjustRightInd/>
        <w:snapToGrid/>
        <w:jc w:val="center"/>
        <w:textAlignment w:val="auto"/>
        <w:rPr>
          <w:rFonts w:ascii="黑体" w:hAnsi="黑体" w:eastAsia="黑体" w:cs="黑体"/>
          <w:b w:val="0"/>
          <w:bCs/>
          <w:sz w:val="32"/>
          <w:szCs w:val="32"/>
        </w:rPr>
      </w:pPr>
      <w:r>
        <w:rPr>
          <w:rFonts w:hint="eastAsia" w:cs="黑体"/>
          <w:b w:val="0"/>
          <w:bCs/>
          <w:sz w:val="32"/>
          <w:szCs w:val="32"/>
          <w:lang w:val="en-US" w:eastAsia="zh-CN"/>
        </w:rPr>
        <w:t xml:space="preserve">第二章  </w:t>
      </w:r>
      <w:r>
        <w:rPr>
          <w:rFonts w:ascii="黑体" w:hAnsi="黑体" w:eastAsia="黑体" w:cs="黑体"/>
          <w:b w:val="0"/>
          <w:bCs/>
          <w:sz w:val="32"/>
          <w:szCs w:val="32"/>
        </w:rPr>
        <w:t>部门决算表</w:t>
      </w:r>
    </w:p>
    <w:p w14:paraId="333FB4EB">
      <w:pPr>
        <w:keepNext w:val="0"/>
        <w:keepLines w:val="0"/>
        <w:pageBreakBefore w:val="0"/>
        <w:widowControl/>
        <w:numPr>
          <w:ilvl w:val="0"/>
          <w:numId w:val="0"/>
        </w:numPr>
        <w:kinsoku/>
        <w:wordWrap/>
        <w:overflowPunct/>
        <w:topLinePunct w:val="0"/>
        <w:autoSpaceDE/>
        <w:autoSpaceDN/>
        <w:bidi w:val="0"/>
        <w:adjustRightInd/>
        <w:snapToGrid/>
        <w:ind w:firstLine="616" w:firstLineChars="200"/>
        <w:jc w:val="left"/>
        <w:textAlignment w:val="auto"/>
        <w:rPr>
          <w:rFonts w:hint="eastAsia" w:ascii="Times New Roman" w:hAnsi="Times New Roman" w:eastAsia="仿宋_GB2312" w:cs="仿宋_GB2312"/>
          <w:b w:val="0"/>
          <w:bCs w:val="0"/>
          <w:spacing w:val="-6"/>
          <w:sz w:val="32"/>
          <w:szCs w:val="32"/>
          <w:lang w:val="en-US" w:eastAsia="zh-CN"/>
        </w:rPr>
      </w:pPr>
    </w:p>
    <w:p w14:paraId="7BF771E9">
      <w:pPr>
        <w:keepNext w:val="0"/>
        <w:keepLines w:val="0"/>
        <w:pageBreakBefore w:val="0"/>
        <w:widowControl/>
        <w:numPr>
          <w:ilvl w:val="0"/>
          <w:numId w:val="0"/>
        </w:numPr>
        <w:kinsoku/>
        <w:wordWrap/>
        <w:overflowPunct/>
        <w:topLinePunct w:val="0"/>
        <w:autoSpaceDE/>
        <w:autoSpaceDN/>
        <w:bidi w:val="0"/>
        <w:adjustRightInd/>
        <w:snapToGrid/>
        <w:ind w:firstLine="616" w:firstLineChars="200"/>
        <w:jc w:val="left"/>
        <w:textAlignment w:val="auto"/>
        <w:rPr>
          <w:rFonts w:hint="default" w:eastAsiaTheme="minorEastAsia"/>
          <w:lang w:val="en-US" w:eastAsia="zh-CN"/>
        </w:rPr>
      </w:pPr>
      <w:r>
        <w:rPr>
          <w:rFonts w:hint="eastAsia" w:ascii="Times New Roman" w:hAnsi="Times New Roman" w:eastAsia="仿宋_GB2312" w:cs="仿宋_GB2312"/>
          <w:b w:val="0"/>
          <w:bCs w:val="0"/>
          <w:spacing w:val="-6"/>
          <w:sz w:val="32"/>
          <w:szCs w:val="32"/>
          <w:lang w:val="en-US" w:eastAsia="zh-CN"/>
        </w:rPr>
        <w:t>详见附表</w:t>
      </w:r>
    </w:p>
    <w:p w14:paraId="0AF20A02">
      <w:pPr>
        <w:pStyle w:val="2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黑体"/>
          <w:b w:val="0"/>
          <w:bCs/>
          <w:sz w:val="32"/>
          <w:szCs w:val="32"/>
          <w:lang w:eastAsia="zh-CN"/>
        </w:rPr>
      </w:pPr>
    </w:p>
    <w:p w14:paraId="174C9BA5">
      <w:pPr>
        <w:pStyle w:val="2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eastAsia="黑体"/>
          <w:b w:val="0"/>
          <w:bCs/>
          <w:sz w:val="32"/>
          <w:szCs w:val="32"/>
        </w:rPr>
      </w:pPr>
      <w:r>
        <w:rPr>
          <w:rFonts w:hint="eastAsia" w:cs="黑体"/>
          <w:b w:val="0"/>
          <w:bCs/>
          <w:sz w:val="32"/>
          <w:szCs w:val="32"/>
          <w:lang w:eastAsia="zh-CN"/>
        </w:rPr>
        <w:t>第三章</w:t>
      </w:r>
      <w:r>
        <w:rPr>
          <w:rFonts w:hint="eastAsia" w:ascii="仿宋" w:hAnsi="仿宋" w:eastAsia="仿宋" w:cs="仿宋"/>
          <w:b w:val="0"/>
          <w:bCs/>
          <w:spacing w:val="-6"/>
          <w:kern w:val="44"/>
          <w:sz w:val="32"/>
          <w:szCs w:val="32"/>
          <w:lang w:val="en-US" w:eastAsia="zh-CN" w:bidi="ar-SA"/>
        </w:rPr>
        <w:t xml:space="preserve">  </w:t>
      </w:r>
      <w:r>
        <w:rPr>
          <w:rFonts w:ascii="黑体" w:hAnsi="黑体" w:eastAsia="黑体" w:cs="黑体"/>
          <w:b w:val="0"/>
          <w:bCs/>
          <w:sz w:val="32"/>
          <w:szCs w:val="32"/>
        </w:rPr>
        <w:t>部门决算情况说明</w:t>
      </w:r>
    </w:p>
    <w:p w14:paraId="1F6B5F6E">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cs="黑体"/>
          <w:b w:val="0"/>
          <w:bCs w:val="0"/>
          <w:sz w:val="32"/>
          <w:szCs w:val="32"/>
          <w:lang w:eastAsia="zh-CN"/>
        </w:rPr>
      </w:pPr>
    </w:p>
    <w:p w14:paraId="57FF1965">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一、</w:t>
      </w:r>
      <w:r>
        <w:rPr>
          <w:rFonts w:ascii="黑体" w:hAnsi="黑体" w:eastAsia="黑体" w:cs="黑体"/>
          <w:b w:val="0"/>
          <w:bCs w:val="0"/>
          <w:sz w:val="32"/>
          <w:szCs w:val="32"/>
        </w:rPr>
        <w:t>收入支出决算总体情况说明</w:t>
      </w:r>
    </w:p>
    <w:p w14:paraId="3527C326">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2025年度收、支总计</w:t>
      </w:r>
      <w:r>
        <w:rPr>
          <w:rStyle w:val="22"/>
          <w:rFonts w:ascii="Times New Roman" w:hAnsi="Times New Roman" w:eastAsia="仿宋_GB2312" w:cs="仿宋_GB2312"/>
          <w:b w:val="0"/>
          <w:bCs w:val="0"/>
          <w:sz w:val="32"/>
          <w:szCs w:val="32"/>
        </w:rPr>
        <w:t>4540.92</w:t>
      </w:r>
      <w:r>
        <w:rPr>
          <w:rFonts w:ascii="Times New Roman" w:hAnsi="Times New Roman" w:eastAsia="仿宋_GB2312" w:cs="仿宋_GB2312"/>
          <w:b w:val="0"/>
          <w:bCs w:val="0"/>
          <w:sz w:val="32"/>
          <w:szCs w:val="32"/>
        </w:rPr>
        <w:t>万元。与上年3081.50万元相比，增加</w:t>
      </w:r>
      <w:r>
        <w:rPr>
          <w:rStyle w:val="22"/>
          <w:rFonts w:ascii="Times New Roman" w:hAnsi="Times New Roman" w:eastAsia="仿宋_GB2312" w:cs="仿宋_GB2312"/>
          <w:b w:val="0"/>
          <w:bCs w:val="0"/>
          <w:sz w:val="32"/>
          <w:szCs w:val="32"/>
        </w:rPr>
        <w:t>1459.42</w:t>
      </w:r>
      <w:r>
        <w:rPr>
          <w:rFonts w:ascii="Times New Roman" w:hAnsi="Times New Roman" w:eastAsia="仿宋_GB2312" w:cs="仿宋_GB2312"/>
          <w:b w:val="0"/>
          <w:bCs w:val="0"/>
          <w:sz w:val="32"/>
          <w:szCs w:val="32"/>
        </w:rPr>
        <w:t>万元，增长</w:t>
      </w:r>
      <w:r>
        <w:rPr>
          <w:rStyle w:val="22"/>
          <w:rFonts w:ascii="Times New Roman" w:hAnsi="Times New Roman" w:eastAsia="仿宋_GB2312" w:cs="仿宋_GB2312"/>
          <w:b w:val="0"/>
          <w:bCs w:val="0"/>
          <w:sz w:val="32"/>
          <w:szCs w:val="32"/>
        </w:rPr>
        <w:t>47.36％</w:t>
      </w:r>
      <w:r>
        <w:rPr>
          <w:rFonts w:ascii="Times New Roman" w:hAnsi="Times New Roman" w:eastAsia="仿宋_GB2312" w:cs="仿宋_GB2312"/>
          <w:b w:val="0"/>
          <w:bCs w:val="0"/>
          <w:sz w:val="32"/>
          <w:szCs w:val="32"/>
        </w:rPr>
        <w:t>，主要是因为财政加大对采供血</w:t>
      </w:r>
      <w:r>
        <w:rPr>
          <w:rFonts w:hint="eastAsia" w:cs="仿宋_GB2312"/>
          <w:b w:val="0"/>
          <w:bCs w:val="0"/>
          <w:sz w:val="32"/>
          <w:szCs w:val="32"/>
          <w:lang w:val="en-US" w:eastAsia="zh-CN"/>
        </w:rPr>
        <w:t>基础设施建设</w:t>
      </w:r>
      <w:r>
        <w:rPr>
          <w:rFonts w:ascii="Times New Roman" w:hAnsi="Times New Roman" w:eastAsia="仿宋_GB2312" w:cs="仿宋_GB2312"/>
          <w:b w:val="0"/>
          <w:bCs w:val="0"/>
          <w:sz w:val="32"/>
          <w:szCs w:val="32"/>
        </w:rPr>
        <w:t>投入，</w:t>
      </w:r>
      <w:r>
        <w:rPr>
          <w:rFonts w:hint="eastAsia" w:cs="仿宋_GB2312"/>
          <w:b w:val="0"/>
          <w:bCs w:val="0"/>
          <w:sz w:val="32"/>
          <w:szCs w:val="32"/>
          <w:lang w:val="en-US" w:eastAsia="zh-CN"/>
        </w:rPr>
        <w:t>本年市本级财政拨入公共卫生中心二期建设项目（怀化市中心血站）土地款1321.12万元，用于购买血站建设用土地</w:t>
      </w:r>
      <w:r>
        <w:rPr>
          <w:rFonts w:ascii="Times New Roman" w:hAnsi="Times New Roman" w:eastAsia="仿宋_GB2312" w:cs="仿宋_GB2312"/>
          <w:b w:val="0"/>
          <w:bCs w:val="0"/>
          <w:sz w:val="32"/>
          <w:szCs w:val="32"/>
        </w:rPr>
        <w:t>。</w:t>
      </w:r>
    </w:p>
    <w:p w14:paraId="516E0699">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贯彻落实党政机关坚持过紧日子有关要求，厉行节约办一切事业，严控一般性支出，进一步优化支出结构，持续压降 “三公” 经费、办公经费、会议培训等行政开支。同时坚持有保有压，优化支出结构，提高资金使用效率，合理保障</w:t>
      </w:r>
      <w:r>
        <w:rPr>
          <w:rStyle w:val="22"/>
          <w:rFonts w:ascii="Times New Roman" w:hAnsi="Times New Roman" w:eastAsia="仿宋_GB2312" w:cs="仿宋_GB2312"/>
          <w:b w:val="0"/>
          <w:bCs w:val="0"/>
          <w:sz w:val="32"/>
          <w:szCs w:val="32"/>
        </w:rPr>
        <w:t>无偿献血招募、血液采集制备检测、临床供血保障、设备更新维护</w:t>
      </w:r>
      <w:r>
        <w:rPr>
          <w:rFonts w:ascii="Times New Roman" w:hAnsi="Times New Roman" w:eastAsia="仿宋_GB2312" w:cs="仿宋_GB2312"/>
          <w:b w:val="0"/>
          <w:bCs w:val="0"/>
          <w:sz w:val="32"/>
          <w:szCs w:val="32"/>
        </w:rPr>
        <w:t>等重点支出，体现在有关支出科目中。</w:t>
      </w:r>
    </w:p>
    <w:p w14:paraId="55ED3CD2">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二、</w:t>
      </w:r>
      <w:r>
        <w:rPr>
          <w:rFonts w:ascii="黑体" w:hAnsi="黑体" w:eastAsia="黑体" w:cs="黑体"/>
          <w:b w:val="0"/>
          <w:bCs w:val="0"/>
          <w:sz w:val="32"/>
          <w:szCs w:val="32"/>
        </w:rPr>
        <w:t>收入决算情况说明</w:t>
      </w:r>
    </w:p>
    <w:p w14:paraId="4194C6A2">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2025年度收入合计</w:t>
      </w:r>
      <w:r>
        <w:rPr>
          <w:rStyle w:val="22"/>
          <w:rFonts w:ascii="Times New Roman" w:hAnsi="Times New Roman" w:eastAsia="仿宋_GB2312" w:cs="仿宋_GB2312"/>
          <w:b w:val="0"/>
          <w:bCs w:val="0"/>
          <w:sz w:val="32"/>
          <w:szCs w:val="32"/>
        </w:rPr>
        <w:t>4540.92</w:t>
      </w:r>
      <w:r>
        <w:rPr>
          <w:rFonts w:ascii="Times New Roman" w:hAnsi="Times New Roman" w:eastAsia="仿宋_GB2312" w:cs="仿宋_GB2312"/>
          <w:b w:val="0"/>
          <w:bCs w:val="0"/>
          <w:sz w:val="32"/>
          <w:szCs w:val="32"/>
        </w:rPr>
        <w:t>万元，其中：财政拨款收入</w:t>
      </w:r>
      <w:r>
        <w:rPr>
          <w:rStyle w:val="22"/>
          <w:rFonts w:ascii="Times New Roman" w:hAnsi="Times New Roman" w:eastAsia="仿宋_GB2312" w:cs="仿宋_GB2312"/>
          <w:b w:val="0"/>
          <w:bCs w:val="0"/>
          <w:sz w:val="32"/>
          <w:szCs w:val="32"/>
        </w:rPr>
        <w:t>2580.52</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56.83％</w:t>
      </w:r>
      <w:r>
        <w:rPr>
          <w:rFonts w:ascii="Times New Roman" w:hAnsi="Times New Roman" w:eastAsia="仿宋_GB2312" w:cs="仿宋_GB2312"/>
          <w:b w:val="0"/>
          <w:bCs w:val="0"/>
          <w:sz w:val="32"/>
          <w:szCs w:val="32"/>
        </w:rPr>
        <w:t>；上级补助收入</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0％</w:t>
      </w:r>
      <w:r>
        <w:rPr>
          <w:rFonts w:ascii="Times New Roman" w:hAnsi="Times New Roman" w:eastAsia="仿宋_GB2312" w:cs="仿宋_GB2312"/>
          <w:b w:val="0"/>
          <w:bCs w:val="0"/>
          <w:sz w:val="32"/>
          <w:szCs w:val="32"/>
        </w:rPr>
        <w:t>；事业收入</w:t>
      </w:r>
      <w:r>
        <w:rPr>
          <w:rStyle w:val="22"/>
          <w:rFonts w:ascii="Times New Roman" w:hAnsi="Times New Roman" w:eastAsia="仿宋_GB2312" w:cs="仿宋_GB2312"/>
          <w:b w:val="0"/>
          <w:bCs w:val="0"/>
          <w:sz w:val="32"/>
          <w:szCs w:val="32"/>
        </w:rPr>
        <w:t>1957.50</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43.11％</w:t>
      </w:r>
      <w:r>
        <w:rPr>
          <w:rFonts w:ascii="Times New Roman" w:hAnsi="Times New Roman" w:eastAsia="仿宋_GB2312" w:cs="仿宋_GB2312"/>
          <w:b w:val="0"/>
          <w:bCs w:val="0"/>
          <w:sz w:val="32"/>
          <w:szCs w:val="32"/>
        </w:rPr>
        <w:t>；经营收入</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0％</w:t>
      </w:r>
      <w:r>
        <w:rPr>
          <w:rFonts w:ascii="Times New Roman" w:hAnsi="Times New Roman" w:eastAsia="仿宋_GB2312" w:cs="仿宋_GB2312"/>
          <w:b w:val="0"/>
          <w:bCs w:val="0"/>
          <w:sz w:val="32"/>
          <w:szCs w:val="32"/>
        </w:rPr>
        <w:t>；附属单位上缴收入</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0％</w:t>
      </w:r>
      <w:r>
        <w:rPr>
          <w:rFonts w:ascii="Times New Roman" w:hAnsi="Times New Roman" w:eastAsia="仿宋_GB2312" w:cs="仿宋_GB2312"/>
          <w:b w:val="0"/>
          <w:bCs w:val="0"/>
          <w:sz w:val="32"/>
          <w:szCs w:val="32"/>
        </w:rPr>
        <w:t>；其他收入</w:t>
      </w:r>
      <w:r>
        <w:rPr>
          <w:rStyle w:val="22"/>
          <w:rFonts w:ascii="Times New Roman" w:hAnsi="Times New Roman" w:eastAsia="仿宋_GB2312" w:cs="仿宋_GB2312"/>
          <w:b w:val="0"/>
          <w:bCs w:val="0"/>
          <w:sz w:val="32"/>
          <w:szCs w:val="32"/>
        </w:rPr>
        <w:t>2.91</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0.06％</w:t>
      </w:r>
      <w:r>
        <w:rPr>
          <w:rFonts w:ascii="Times New Roman" w:hAnsi="Times New Roman" w:eastAsia="仿宋_GB2312" w:cs="仿宋_GB2312"/>
          <w:b w:val="0"/>
          <w:bCs w:val="0"/>
          <w:sz w:val="32"/>
          <w:szCs w:val="32"/>
        </w:rPr>
        <w:t>。</w:t>
      </w:r>
    </w:p>
    <w:p w14:paraId="16259FAB">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三、</w:t>
      </w:r>
      <w:r>
        <w:rPr>
          <w:rFonts w:ascii="黑体" w:hAnsi="黑体" w:eastAsia="黑体" w:cs="黑体"/>
          <w:b w:val="0"/>
          <w:bCs w:val="0"/>
          <w:sz w:val="32"/>
          <w:szCs w:val="32"/>
        </w:rPr>
        <w:t>支出决算情况说明</w:t>
      </w:r>
    </w:p>
    <w:p w14:paraId="60DD7677">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2025年度支出合计</w:t>
      </w:r>
      <w:r>
        <w:rPr>
          <w:rStyle w:val="22"/>
          <w:rFonts w:ascii="Times New Roman" w:hAnsi="Times New Roman" w:eastAsia="仿宋_GB2312" w:cs="仿宋_GB2312"/>
          <w:b w:val="0"/>
          <w:bCs w:val="0"/>
          <w:sz w:val="32"/>
          <w:szCs w:val="32"/>
        </w:rPr>
        <w:t>4540.92</w:t>
      </w:r>
      <w:r>
        <w:rPr>
          <w:rFonts w:ascii="Times New Roman" w:hAnsi="Times New Roman" w:eastAsia="仿宋_GB2312" w:cs="仿宋_GB2312"/>
          <w:b w:val="0"/>
          <w:bCs w:val="0"/>
          <w:sz w:val="32"/>
          <w:szCs w:val="32"/>
        </w:rPr>
        <w:t>万元，其中：基本支出</w:t>
      </w:r>
      <w:r>
        <w:rPr>
          <w:rStyle w:val="22"/>
          <w:rFonts w:ascii="Times New Roman" w:hAnsi="Times New Roman" w:eastAsia="仿宋_GB2312" w:cs="仿宋_GB2312"/>
          <w:b w:val="0"/>
          <w:bCs w:val="0"/>
          <w:sz w:val="32"/>
          <w:szCs w:val="32"/>
        </w:rPr>
        <w:t>1591.48</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35.05％</w:t>
      </w:r>
      <w:r>
        <w:rPr>
          <w:rFonts w:ascii="Times New Roman" w:hAnsi="Times New Roman" w:eastAsia="仿宋_GB2312" w:cs="仿宋_GB2312"/>
          <w:b w:val="0"/>
          <w:bCs w:val="0"/>
          <w:sz w:val="32"/>
          <w:szCs w:val="32"/>
        </w:rPr>
        <w:t>；项目支出</w:t>
      </w:r>
      <w:r>
        <w:rPr>
          <w:rStyle w:val="22"/>
          <w:rFonts w:ascii="Times New Roman" w:hAnsi="Times New Roman" w:eastAsia="仿宋_GB2312" w:cs="仿宋_GB2312"/>
          <w:b w:val="0"/>
          <w:bCs w:val="0"/>
          <w:sz w:val="32"/>
          <w:szCs w:val="32"/>
        </w:rPr>
        <w:t>2949.45</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64.95％</w:t>
      </w:r>
      <w:r>
        <w:rPr>
          <w:rFonts w:ascii="Times New Roman" w:hAnsi="Times New Roman" w:eastAsia="仿宋_GB2312" w:cs="仿宋_GB2312"/>
          <w:b w:val="0"/>
          <w:bCs w:val="0"/>
          <w:sz w:val="32"/>
          <w:szCs w:val="32"/>
        </w:rPr>
        <w:t>；上缴上级支出</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0％</w:t>
      </w:r>
      <w:r>
        <w:rPr>
          <w:rFonts w:ascii="Times New Roman" w:hAnsi="Times New Roman" w:eastAsia="仿宋_GB2312" w:cs="仿宋_GB2312"/>
          <w:b w:val="0"/>
          <w:bCs w:val="0"/>
          <w:sz w:val="32"/>
          <w:szCs w:val="32"/>
        </w:rPr>
        <w:t>；经营支出</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0％</w:t>
      </w:r>
      <w:r>
        <w:rPr>
          <w:rFonts w:ascii="Times New Roman" w:hAnsi="Times New Roman" w:eastAsia="仿宋_GB2312" w:cs="仿宋_GB2312"/>
          <w:b w:val="0"/>
          <w:bCs w:val="0"/>
          <w:sz w:val="32"/>
          <w:szCs w:val="32"/>
        </w:rPr>
        <w:t>；对附属单位补助支出</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0％</w:t>
      </w:r>
      <w:r>
        <w:rPr>
          <w:rFonts w:ascii="Times New Roman" w:hAnsi="Times New Roman" w:eastAsia="仿宋_GB2312" w:cs="仿宋_GB2312"/>
          <w:b w:val="0"/>
          <w:bCs w:val="0"/>
          <w:sz w:val="32"/>
          <w:szCs w:val="32"/>
        </w:rPr>
        <w:t>。</w:t>
      </w:r>
    </w:p>
    <w:p w14:paraId="1AD65CBE">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四、</w:t>
      </w:r>
      <w:r>
        <w:rPr>
          <w:rFonts w:ascii="黑体" w:hAnsi="黑体" w:eastAsia="黑体" w:cs="黑体"/>
          <w:b w:val="0"/>
          <w:bCs w:val="0"/>
          <w:sz w:val="32"/>
          <w:szCs w:val="32"/>
        </w:rPr>
        <w:t>财政拨款收入支出决算总体情况说明</w:t>
      </w:r>
    </w:p>
    <w:p w14:paraId="633224F5">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2025年度财政拨款收、支总计</w:t>
      </w:r>
      <w:r>
        <w:rPr>
          <w:rStyle w:val="22"/>
          <w:rFonts w:ascii="Times New Roman" w:hAnsi="Times New Roman" w:eastAsia="仿宋_GB2312" w:cs="仿宋_GB2312"/>
          <w:b w:val="0"/>
          <w:bCs w:val="0"/>
          <w:sz w:val="32"/>
          <w:szCs w:val="32"/>
        </w:rPr>
        <w:t>2580.52</w:t>
      </w:r>
      <w:r>
        <w:rPr>
          <w:rFonts w:ascii="Times New Roman" w:hAnsi="Times New Roman" w:eastAsia="仿宋_GB2312" w:cs="仿宋_GB2312"/>
          <w:b w:val="0"/>
          <w:bCs w:val="0"/>
          <w:sz w:val="32"/>
          <w:szCs w:val="32"/>
        </w:rPr>
        <w:t>万元，与上年1315.50 万元相比，增加</w:t>
      </w:r>
      <w:r>
        <w:rPr>
          <w:rStyle w:val="22"/>
          <w:rFonts w:ascii="Times New Roman" w:hAnsi="Times New Roman" w:eastAsia="仿宋_GB2312" w:cs="仿宋_GB2312"/>
          <w:b w:val="0"/>
          <w:bCs w:val="0"/>
          <w:sz w:val="32"/>
          <w:szCs w:val="32"/>
        </w:rPr>
        <w:t>1265.02</w:t>
      </w:r>
      <w:r>
        <w:rPr>
          <w:rFonts w:ascii="Times New Roman" w:hAnsi="Times New Roman" w:eastAsia="仿宋_GB2312" w:cs="仿宋_GB2312"/>
          <w:b w:val="0"/>
          <w:bCs w:val="0"/>
          <w:sz w:val="32"/>
          <w:szCs w:val="32"/>
        </w:rPr>
        <w:t>万元，增长</w:t>
      </w:r>
      <w:r>
        <w:rPr>
          <w:rStyle w:val="22"/>
          <w:rFonts w:ascii="Times New Roman" w:hAnsi="Times New Roman" w:eastAsia="仿宋_GB2312" w:cs="仿宋_GB2312"/>
          <w:b w:val="0"/>
          <w:bCs w:val="0"/>
          <w:sz w:val="32"/>
          <w:szCs w:val="32"/>
        </w:rPr>
        <w:t>96.16％</w:t>
      </w:r>
      <w:r>
        <w:rPr>
          <w:rFonts w:ascii="Times New Roman" w:hAnsi="Times New Roman" w:eastAsia="仿宋_GB2312" w:cs="仿宋_GB2312"/>
          <w:b w:val="0"/>
          <w:bCs w:val="0"/>
          <w:sz w:val="32"/>
          <w:szCs w:val="32"/>
        </w:rPr>
        <w:t>，主要原因：因为财政加大对采供血</w:t>
      </w:r>
      <w:r>
        <w:rPr>
          <w:rFonts w:hint="eastAsia" w:cs="仿宋_GB2312"/>
          <w:b w:val="0"/>
          <w:bCs w:val="0"/>
          <w:sz w:val="32"/>
          <w:szCs w:val="32"/>
          <w:lang w:val="en-US" w:eastAsia="zh-CN"/>
        </w:rPr>
        <w:t>基础设施建设</w:t>
      </w:r>
      <w:r>
        <w:rPr>
          <w:rFonts w:ascii="Times New Roman" w:hAnsi="Times New Roman" w:eastAsia="仿宋_GB2312" w:cs="仿宋_GB2312"/>
          <w:b w:val="0"/>
          <w:bCs w:val="0"/>
          <w:sz w:val="32"/>
          <w:szCs w:val="32"/>
        </w:rPr>
        <w:t>投入，</w:t>
      </w:r>
      <w:r>
        <w:rPr>
          <w:rFonts w:hint="eastAsia" w:cs="仿宋_GB2312"/>
          <w:b w:val="0"/>
          <w:bCs w:val="0"/>
          <w:sz w:val="32"/>
          <w:szCs w:val="32"/>
          <w:lang w:val="en-US" w:eastAsia="zh-CN"/>
        </w:rPr>
        <w:t>本年市本级财政拨入公共卫生中心二期建设项目（怀化市中心血站）土地款1321.12万元，用于购买血站建设用土地</w:t>
      </w:r>
      <w:r>
        <w:rPr>
          <w:rFonts w:ascii="Times New Roman" w:hAnsi="Times New Roman" w:eastAsia="仿宋_GB2312" w:cs="仿宋_GB2312"/>
          <w:b w:val="0"/>
          <w:bCs w:val="0"/>
          <w:sz w:val="32"/>
          <w:szCs w:val="32"/>
        </w:rPr>
        <w:t>。</w:t>
      </w:r>
    </w:p>
    <w:p w14:paraId="675ED555">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五、</w:t>
      </w:r>
      <w:r>
        <w:rPr>
          <w:rFonts w:ascii="黑体" w:hAnsi="黑体" w:eastAsia="黑体" w:cs="黑体"/>
          <w:b w:val="0"/>
          <w:bCs w:val="0"/>
          <w:sz w:val="32"/>
          <w:szCs w:val="32"/>
        </w:rPr>
        <w:t>一般公共预算财政拨款支出决算情况说明</w:t>
      </w:r>
    </w:p>
    <w:p w14:paraId="1BB8E74C">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2"/>
          <w:szCs w:val="32"/>
        </w:rPr>
      </w:pPr>
      <w:r>
        <w:rPr>
          <w:rFonts w:hint="eastAsia" w:cs="楷体_GB2312"/>
          <w:b w:val="0"/>
          <w:bCs w:val="0"/>
          <w:sz w:val="32"/>
          <w:szCs w:val="32"/>
          <w:lang w:eastAsia="zh-CN"/>
        </w:rPr>
        <w:t>（一）</w:t>
      </w:r>
      <w:r>
        <w:rPr>
          <w:rFonts w:ascii="Times New Roman" w:hAnsi="Times New Roman" w:eastAsia="楷体_GB2312" w:cs="楷体_GB2312"/>
          <w:b w:val="0"/>
          <w:bCs w:val="0"/>
          <w:sz w:val="32"/>
          <w:szCs w:val="32"/>
        </w:rPr>
        <w:t>一般公共预算财政拨款支出决算总体情况</w:t>
      </w:r>
    </w:p>
    <w:p w14:paraId="3428186C">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2025年度财政拨款支出</w:t>
      </w:r>
      <w:r>
        <w:rPr>
          <w:rStyle w:val="22"/>
          <w:rFonts w:ascii="Times New Roman" w:hAnsi="Times New Roman" w:eastAsia="仿宋_GB2312" w:cs="仿宋_GB2312"/>
          <w:b w:val="0"/>
          <w:bCs w:val="0"/>
          <w:sz w:val="32"/>
          <w:szCs w:val="32"/>
        </w:rPr>
        <w:t>2580.52</w:t>
      </w:r>
      <w:r>
        <w:rPr>
          <w:rFonts w:ascii="Times New Roman" w:hAnsi="Times New Roman" w:eastAsia="仿宋_GB2312" w:cs="仿宋_GB2312"/>
          <w:b w:val="0"/>
          <w:bCs w:val="0"/>
          <w:sz w:val="32"/>
          <w:szCs w:val="32"/>
        </w:rPr>
        <w:t>万元，占本年支出合计的</w:t>
      </w:r>
      <w:r>
        <w:rPr>
          <w:rStyle w:val="22"/>
          <w:rFonts w:ascii="Times New Roman" w:hAnsi="Times New Roman" w:eastAsia="仿宋_GB2312" w:cs="仿宋_GB2312"/>
          <w:b w:val="0"/>
          <w:bCs w:val="0"/>
          <w:sz w:val="32"/>
          <w:szCs w:val="32"/>
        </w:rPr>
        <w:t>56.83％</w:t>
      </w:r>
      <w:r>
        <w:rPr>
          <w:rStyle w:val="22"/>
          <w:rFonts w:hint="eastAsia" w:cs="仿宋_GB2312"/>
          <w:b w:val="0"/>
          <w:bCs w:val="0"/>
          <w:sz w:val="32"/>
          <w:szCs w:val="32"/>
          <w:lang w:eastAsia="zh-CN"/>
        </w:rPr>
        <w:t>，</w:t>
      </w:r>
      <w:r>
        <w:rPr>
          <w:rFonts w:ascii="Times New Roman" w:hAnsi="Times New Roman" w:eastAsia="仿宋_GB2312" w:cs="仿宋_GB2312"/>
          <w:b w:val="0"/>
          <w:bCs w:val="0"/>
          <w:sz w:val="32"/>
          <w:szCs w:val="32"/>
        </w:rPr>
        <w:t>与上年财政拨款支出1315.50万元相比，增加1265.02万元，增长96.16％，主要是因为财政加大对采供血</w:t>
      </w:r>
      <w:r>
        <w:rPr>
          <w:rFonts w:hint="eastAsia" w:cs="仿宋_GB2312"/>
          <w:b w:val="0"/>
          <w:bCs w:val="0"/>
          <w:sz w:val="32"/>
          <w:szCs w:val="32"/>
          <w:lang w:val="en-US" w:eastAsia="zh-CN"/>
        </w:rPr>
        <w:t>基础设施建设</w:t>
      </w:r>
      <w:r>
        <w:rPr>
          <w:rFonts w:ascii="Times New Roman" w:hAnsi="Times New Roman" w:eastAsia="仿宋_GB2312" w:cs="仿宋_GB2312"/>
          <w:b w:val="0"/>
          <w:bCs w:val="0"/>
          <w:sz w:val="32"/>
          <w:szCs w:val="32"/>
        </w:rPr>
        <w:t>投入，</w:t>
      </w:r>
      <w:r>
        <w:rPr>
          <w:rFonts w:hint="eastAsia" w:cs="仿宋_GB2312"/>
          <w:b w:val="0"/>
          <w:bCs w:val="0"/>
          <w:sz w:val="32"/>
          <w:szCs w:val="32"/>
          <w:lang w:val="en-US" w:eastAsia="zh-CN"/>
        </w:rPr>
        <w:t>本年市本级财政拨入公共卫生中心二期建设项目（怀化市中心血站）土地款1321.12万元，用于购买血站建设用土地</w:t>
      </w:r>
      <w:r>
        <w:rPr>
          <w:rFonts w:ascii="Times New Roman" w:hAnsi="Times New Roman" w:eastAsia="仿宋_GB2312" w:cs="仿宋_GB2312"/>
          <w:b w:val="0"/>
          <w:bCs w:val="0"/>
          <w:sz w:val="32"/>
          <w:szCs w:val="32"/>
        </w:rPr>
        <w:t>。</w:t>
      </w:r>
    </w:p>
    <w:p w14:paraId="1C107B08">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2"/>
          <w:szCs w:val="32"/>
        </w:rPr>
      </w:pPr>
      <w:r>
        <w:rPr>
          <w:rFonts w:hint="eastAsia" w:cs="楷体_GB2312"/>
          <w:b w:val="0"/>
          <w:bCs w:val="0"/>
          <w:sz w:val="32"/>
          <w:szCs w:val="32"/>
          <w:lang w:eastAsia="zh-CN"/>
        </w:rPr>
        <w:t>（二）</w:t>
      </w:r>
      <w:r>
        <w:rPr>
          <w:rFonts w:ascii="Times New Roman" w:hAnsi="Times New Roman" w:eastAsia="楷体_GB2312" w:cs="楷体_GB2312"/>
          <w:b w:val="0"/>
          <w:bCs w:val="0"/>
          <w:sz w:val="32"/>
          <w:szCs w:val="32"/>
        </w:rPr>
        <w:t>一般公共预算财政拨款支出决算结构情况</w:t>
      </w:r>
    </w:p>
    <w:p w14:paraId="492EA839">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2025年度财政拨款支出2580.52万元，主要用于以下方面： </w:t>
      </w:r>
    </w:p>
    <w:p w14:paraId="3A177979">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sz w:val="32"/>
          <w:szCs w:val="32"/>
        </w:rPr>
        <w:t>社会保障和</w:t>
      </w:r>
      <w:r>
        <w:rPr>
          <w:rFonts w:ascii="Times New Roman" w:hAnsi="Times New Roman" w:eastAsia="仿宋_GB2312" w:cs="仿宋_GB2312"/>
          <w:b w:val="0"/>
          <w:bCs w:val="0"/>
          <w:sz w:val="32"/>
          <w:szCs w:val="32"/>
        </w:rPr>
        <w:t>就业（类）支出</w:t>
      </w:r>
      <w:r>
        <w:rPr>
          <w:rStyle w:val="22"/>
          <w:rFonts w:ascii="Times New Roman" w:hAnsi="Times New Roman" w:eastAsia="仿宋_GB2312" w:cs="仿宋_GB2312"/>
          <w:b w:val="0"/>
          <w:bCs w:val="0"/>
          <w:sz w:val="32"/>
          <w:szCs w:val="32"/>
        </w:rPr>
        <w:t>117.86</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4.57％</w:t>
      </w:r>
      <w:r>
        <w:rPr>
          <w:rFonts w:ascii="Times New Roman" w:hAnsi="Times New Roman" w:eastAsia="仿宋_GB2312" w:cs="仿宋_GB2312"/>
          <w:b w:val="0"/>
          <w:bCs w:val="0"/>
          <w:sz w:val="32"/>
          <w:szCs w:val="32"/>
        </w:rPr>
        <w:t xml:space="preserve">； </w:t>
      </w:r>
    </w:p>
    <w:p w14:paraId="7EC3EAA4">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卫生健康（类）支出</w:t>
      </w:r>
      <w:r>
        <w:rPr>
          <w:rStyle w:val="22"/>
          <w:rFonts w:ascii="Times New Roman" w:hAnsi="Times New Roman" w:eastAsia="仿宋_GB2312" w:cs="仿宋_GB2312"/>
          <w:b w:val="0"/>
          <w:bCs w:val="0"/>
          <w:sz w:val="32"/>
          <w:szCs w:val="32"/>
        </w:rPr>
        <w:t>2372.41</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91.94％</w:t>
      </w:r>
      <w:r>
        <w:rPr>
          <w:rFonts w:ascii="Times New Roman" w:hAnsi="Times New Roman" w:eastAsia="仿宋_GB2312" w:cs="仿宋_GB2312"/>
          <w:b w:val="0"/>
          <w:bCs w:val="0"/>
          <w:sz w:val="32"/>
          <w:szCs w:val="32"/>
        </w:rPr>
        <w:t>；</w:t>
      </w:r>
    </w:p>
    <w:p w14:paraId="4F44EB83">
      <w:pPr>
        <w:pStyle w:val="14"/>
        <w:keepNext w:val="0"/>
        <w:keepLines w:val="0"/>
        <w:pageBreakBefore w:val="0"/>
        <w:widowControl w:val="0"/>
        <w:kinsoku/>
        <w:wordWrap/>
        <w:overflowPunct/>
        <w:topLinePunct w:val="0"/>
        <w:autoSpaceDE/>
        <w:autoSpaceDN/>
        <w:bidi w:val="0"/>
        <w:adjustRightInd/>
        <w:snapToGrid/>
        <w:ind w:left="0" w:leftChars="0" w:firstLine="616" w:firstLineChars="200"/>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住房保障（类）支出</w:t>
      </w:r>
      <w:r>
        <w:rPr>
          <w:rStyle w:val="22"/>
          <w:rFonts w:ascii="Times New Roman" w:hAnsi="Times New Roman" w:eastAsia="仿宋_GB2312" w:cs="仿宋_GB2312"/>
          <w:b w:val="0"/>
          <w:bCs w:val="0"/>
          <w:sz w:val="32"/>
          <w:szCs w:val="32"/>
        </w:rPr>
        <w:t>90.25</w:t>
      </w:r>
      <w:r>
        <w:rPr>
          <w:rFonts w:ascii="Times New Roman" w:hAnsi="Times New Roman" w:eastAsia="仿宋_GB2312" w:cs="仿宋_GB2312"/>
          <w:b w:val="0"/>
          <w:bCs w:val="0"/>
          <w:sz w:val="32"/>
          <w:szCs w:val="32"/>
        </w:rPr>
        <w:t>万元，占</w:t>
      </w:r>
      <w:r>
        <w:rPr>
          <w:rStyle w:val="22"/>
          <w:rFonts w:ascii="Times New Roman" w:hAnsi="Times New Roman" w:eastAsia="仿宋_GB2312" w:cs="仿宋_GB2312"/>
          <w:b w:val="0"/>
          <w:bCs w:val="0"/>
          <w:sz w:val="32"/>
          <w:szCs w:val="32"/>
        </w:rPr>
        <w:t>3.49％</w:t>
      </w:r>
      <w:r>
        <w:rPr>
          <w:rFonts w:ascii="Times New Roman" w:hAnsi="Times New Roman" w:eastAsia="仿宋_GB2312" w:cs="仿宋_GB2312"/>
          <w:b w:val="0"/>
          <w:bCs w:val="0"/>
          <w:sz w:val="32"/>
          <w:szCs w:val="32"/>
        </w:rPr>
        <w:t>。</w:t>
      </w:r>
    </w:p>
    <w:p w14:paraId="04F6E676">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2"/>
          <w:szCs w:val="32"/>
        </w:rPr>
      </w:pPr>
      <w:r>
        <w:rPr>
          <w:rFonts w:hint="eastAsia" w:cs="楷体_GB2312"/>
          <w:b w:val="0"/>
          <w:bCs w:val="0"/>
          <w:sz w:val="32"/>
          <w:szCs w:val="32"/>
          <w:lang w:eastAsia="zh-CN"/>
        </w:rPr>
        <w:t>（三）</w:t>
      </w:r>
      <w:r>
        <w:rPr>
          <w:rFonts w:ascii="Times New Roman" w:hAnsi="Times New Roman" w:eastAsia="楷体_GB2312" w:cs="楷体_GB2312"/>
          <w:b w:val="0"/>
          <w:bCs w:val="0"/>
          <w:sz w:val="32"/>
          <w:szCs w:val="32"/>
        </w:rPr>
        <w:t>一般公共预算财政拨款支出决算具体情况</w:t>
      </w:r>
    </w:p>
    <w:p w14:paraId="375DCBFF">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2025年度一般公共预算财政拨款年初预算数</w:t>
      </w:r>
      <w:r>
        <w:rPr>
          <w:rStyle w:val="22"/>
          <w:rFonts w:ascii="Times New Roman" w:hAnsi="Times New Roman" w:eastAsia="仿宋_GB2312" w:cs="仿宋_GB2312"/>
          <w:b w:val="0"/>
          <w:bCs w:val="0"/>
          <w:sz w:val="32"/>
          <w:szCs w:val="32"/>
        </w:rPr>
        <w:t>1193.12</w:t>
      </w:r>
      <w:r>
        <w:rPr>
          <w:rFonts w:ascii="Times New Roman" w:hAnsi="Times New Roman" w:eastAsia="仿宋_GB2312" w:cs="仿宋_GB2312"/>
          <w:b w:val="0"/>
          <w:bCs w:val="0"/>
          <w:sz w:val="32"/>
          <w:szCs w:val="32"/>
        </w:rPr>
        <w:t>万元，支出决算数为</w:t>
      </w:r>
      <w:r>
        <w:rPr>
          <w:rStyle w:val="22"/>
          <w:rFonts w:ascii="Times New Roman" w:hAnsi="Times New Roman" w:eastAsia="仿宋_GB2312" w:cs="仿宋_GB2312"/>
          <w:b w:val="0"/>
          <w:bCs w:val="0"/>
          <w:sz w:val="32"/>
          <w:szCs w:val="32"/>
        </w:rPr>
        <w:t>2580.52</w:t>
      </w:r>
      <w:r>
        <w:rPr>
          <w:rFonts w:ascii="Times New Roman" w:hAnsi="Times New Roman" w:eastAsia="仿宋_GB2312" w:cs="仿宋_GB2312"/>
          <w:b w:val="0"/>
          <w:bCs w:val="0"/>
          <w:sz w:val="32"/>
          <w:szCs w:val="32"/>
        </w:rPr>
        <w:t>万元，</w:t>
      </w:r>
      <w:r>
        <w:rPr>
          <w:rFonts w:hint="eastAsia" w:cs="仿宋_GB2312"/>
          <w:b w:val="0"/>
          <w:bCs w:val="0"/>
          <w:sz w:val="32"/>
          <w:szCs w:val="32"/>
          <w:lang w:val="en-US" w:eastAsia="zh-CN"/>
        </w:rPr>
        <w:t>完成年初预算的216.28%</w:t>
      </w:r>
      <w:r>
        <w:rPr>
          <w:rFonts w:ascii="Times New Roman" w:hAnsi="Times New Roman" w:eastAsia="仿宋_GB2312" w:cs="仿宋_GB2312"/>
          <w:b w:val="0"/>
          <w:bCs w:val="0"/>
          <w:sz w:val="32"/>
          <w:szCs w:val="32"/>
        </w:rPr>
        <w:t>，主要因为财政加大对采供血</w:t>
      </w:r>
      <w:r>
        <w:rPr>
          <w:rFonts w:hint="eastAsia" w:cs="仿宋_GB2312"/>
          <w:b w:val="0"/>
          <w:bCs w:val="0"/>
          <w:sz w:val="32"/>
          <w:szCs w:val="32"/>
          <w:lang w:val="en-US" w:eastAsia="zh-CN"/>
        </w:rPr>
        <w:t>基础设施建设</w:t>
      </w:r>
      <w:r>
        <w:rPr>
          <w:rFonts w:ascii="Times New Roman" w:hAnsi="Times New Roman" w:eastAsia="仿宋_GB2312" w:cs="仿宋_GB2312"/>
          <w:b w:val="0"/>
          <w:bCs w:val="0"/>
          <w:sz w:val="32"/>
          <w:szCs w:val="32"/>
        </w:rPr>
        <w:t>投入，</w:t>
      </w:r>
      <w:r>
        <w:rPr>
          <w:rFonts w:hint="eastAsia" w:cs="仿宋_GB2312"/>
          <w:b w:val="0"/>
          <w:bCs w:val="0"/>
          <w:sz w:val="32"/>
          <w:szCs w:val="32"/>
          <w:lang w:val="en-US" w:eastAsia="zh-CN"/>
        </w:rPr>
        <w:t>本年市本级财政拨入公共卫生中心二期建设项目（怀化市中心血站）土地款1321.12万元，用于购买血站建设用土地</w:t>
      </w:r>
      <w:r>
        <w:rPr>
          <w:rFonts w:ascii="Times New Roman" w:hAnsi="Times New Roman" w:eastAsia="仿宋_GB2312" w:cs="仿宋_GB2312"/>
          <w:b w:val="0"/>
          <w:bCs w:val="0"/>
          <w:sz w:val="32"/>
          <w:szCs w:val="32"/>
        </w:rPr>
        <w:t>。</w:t>
      </w:r>
    </w:p>
    <w:p w14:paraId="4E89E77C">
      <w:pPr>
        <w:pStyle w:val="14"/>
        <w:keepNext w:val="0"/>
        <w:keepLines w:val="0"/>
        <w:pageBreakBefore w:val="0"/>
        <w:widowControl w:val="0"/>
        <w:kinsoku/>
        <w:wordWrap/>
        <w:overflowPunct/>
        <w:topLinePunct w:val="0"/>
        <w:autoSpaceDE/>
        <w:autoSpaceDN/>
        <w:bidi w:val="0"/>
        <w:adjustRightInd/>
        <w:snapToGrid/>
        <w:ind w:left="0" w:leftChars="0" w:firstLine="616" w:firstLineChars="200"/>
        <w:textAlignment w:val="auto"/>
      </w:pPr>
      <w:r>
        <w:rPr>
          <w:rFonts w:ascii="Times New Roman" w:hAnsi="Times New Roman" w:eastAsia="仿宋_GB2312" w:cs="仿宋_GB2312"/>
          <w:sz w:val="32"/>
          <w:szCs w:val="32"/>
        </w:rPr>
        <w:t>其中：</w:t>
      </w:r>
      <w:r>
        <w:rPr>
          <w:rFonts w:ascii="仿宋_GB2312" w:hAnsi="仿宋_GB2312" w:eastAsia="仿宋_GB2312"/>
          <w:b w:val="0"/>
          <w:color w:val="000000"/>
          <w:sz w:val="32"/>
        </w:rPr>
        <w:t>1</w:t>
      </w:r>
      <w:r>
        <w:rPr>
          <w:rFonts w:hint="eastAsia" w:ascii="仿宋_GB2312" w:hAnsi="仿宋_GB2312"/>
          <w:b w:val="0"/>
          <w:color w:val="000000"/>
          <w:sz w:val="32"/>
          <w:lang w:val="en-US" w:eastAsia="zh-CN"/>
        </w:rPr>
        <w:t>.</w:t>
      </w:r>
      <w:r>
        <w:rPr>
          <w:rFonts w:ascii="仿宋_GB2312" w:hAnsi="仿宋_GB2312" w:eastAsia="仿宋_GB2312"/>
          <w:b w:val="0"/>
          <w:color w:val="000000"/>
          <w:sz w:val="32"/>
        </w:rPr>
        <w:t>社会保障和就业支出（类）行政事业单位养老支出（款）事业单位离退休（项）。</w:t>
      </w:r>
    </w:p>
    <w:p w14:paraId="45674DA8">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年初预算为20.84万元，支出决算为20.84万元，完成年初预算的100%。</w:t>
      </w:r>
    </w:p>
    <w:p w14:paraId="7163C505">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2</w:t>
      </w:r>
      <w:r>
        <w:rPr>
          <w:rFonts w:hint="eastAsia" w:ascii="仿宋_GB2312" w:hAnsi="仿宋_GB2312" w:eastAsia="仿宋_GB2312"/>
          <w:b w:val="0"/>
          <w:color w:val="000000"/>
          <w:sz w:val="32"/>
          <w:lang w:val="en-US" w:eastAsia="zh-CN"/>
        </w:rPr>
        <w:t>.</w:t>
      </w:r>
      <w:r>
        <w:rPr>
          <w:rFonts w:ascii="仿宋_GB2312" w:hAnsi="仿宋_GB2312" w:eastAsia="仿宋_GB2312"/>
          <w:b w:val="0"/>
          <w:color w:val="000000"/>
          <w:sz w:val="32"/>
        </w:rPr>
        <w:t>社会保障和就业支出（类）行政事业单位养老支出（款）机关事业单位基本养老保险缴费支出（项）。</w:t>
      </w:r>
    </w:p>
    <w:p w14:paraId="12B834EA">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年初预算为99.38万元，支出决算为97.02万元，完成年初预算的97.63%，决算数小于年初预算数的主要原因是：实际缴费人数及缴费基数较年初预算编制时略有变动，机关事业单位基本养老保险缴费支出相应减少。</w:t>
      </w:r>
    </w:p>
    <w:p w14:paraId="3F631BFF">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3</w:t>
      </w:r>
      <w:r>
        <w:rPr>
          <w:rFonts w:hint="eastAsia" w:ascii="仿宋_GB2312" w:hAnsi="仿宋_GB2312" w:eastAsia="仿宋_GB2312"/>
          <w:b w:val="0"/>
          <w:color w:val="000000"/>
          <w:sz w:val="32"/>
          <w:lang w:val="en-US" w:eastAsia="zh-CN"/>
        </w:rPr>
        <w:t>.</w:t>
      </w:r>
      <w:r>
        <w:rPr>
          <w:rFonts w:ascii="仿宋_GB2312" w:hAnsi="仿宋_GB2312" w:eastAsia="仿宋_GB2312"/>
          <w:b w:val="0"/>
          <w:color w:val="000000"/>
          <w:sz w:val="32"/>
        </w:rPr>
        <w:t>卫生健康支出（类）公共卫生（款）采供血机构（项）。</w:t>
      </w:r>
    </w:p>
    <w:p w14:paraId="076DB35B">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年初预算为951.01万元，支出决算为1010.72万元，完成年初预算的106.28%，决算数大于年初预算数的主要原因是：</w:t>
      </w:r>
      <w:r>
        <w:rPr>
          <w:rFonts w:hint="eastAsia" w:ascii="仿宋_GB2312" w:hAnsi="仿宋_GB2312" w:eastAsia="仿宋_GB2312"/>
          <w:b w:val="0"/>
          <w:color w:val="000000"/>
          <w:sz w:val="32"/>
          <w:lang w:val="en-US" w:eastAsia="zh-CN"/>
        </w:rPr>
        <w:t>一是上年5月</w:t>
      </w:r>
      <w:r>
        <w:rPr>
          <w:rFonts w:ascii="仿宋_GB2312" w:hAnsi="仿宋_GB2312" w:eastAsia="仿宋_GB2312"/>
          <w:b w:val="0"/>
          <w:color w:val="000000"/>
          <w:sz w:val="32"/>
        </w:rPr>
        <w:t>新进在编人员，</w:t>
      </w:r>
      <w:r>
        <w:rPr>
          <w:rFonts w:hint="eastAsia" w:ascii="仿宋_GB2312" w:hAnsi="仿宋_GB2312" w:eastAsia="仿宋_GB2312"/>
          <w:b w:val="0"/>
          <w:color w:val="000000"/>
          <w:sz w:val="32"/>
          <w:lang w:val="en-US" w:eastAsia="zh-CN"/>
        </w:rPr>
        <w:t>二是</w:t>
      </w:r>
      <w:r>
        <w:rPr>
          <w:rFonts w:ascii="仿宋_GB2312" w:hAnsi="仿宋_GB2312" w:eastAsia="仿宋_GB2312"/>
          <w:b w:val="0"/>
          <w:color w:val="000000"/>
          <w:sz w:val="32"/>
        </w:rPr>
        <w:t>工资调标和职称晋升，财政保障的人员经费和公用经费相应增加。</w:t>
      </w:r>
    </w:p>
    <w:p w14:paraId="0D17E254">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4</w:t>
      </w:r>
      <w:r>
        <w:rPr>
          <w:rFonts w:hint="eastAsia" w:ascii="仿宋_GB2312" w:hAnsi="仿宋_GB2312" w:eastAsia="仿宋_GB2312"/>
          <w:b w:val="0"/>
          <w:color w:val="000000"/>
          <w:sz w:val="32"/>
          <w:lang w:val="en-US" w:eastAsia="zh-CN"/>
        </w:rPr>
        <w:t>.</w:t>
      </w:r>
      <w:r>
        <w:rPr>
          <w:rFonts w:ascii="仿宋_GB2312" w:hAnsi="仿宋_GB2312" w:eastAsia="仿宋_GB2312"/>
          <w:b w:val="0"/>
          <w:color w:val="000000"/>
          <w:sz w:val="32"/>
        </w:rPr>
        <w:t>卫生健康支出（类）行政事业单位医疗（款）事业单位医疗（项）。</w:t>
      </w:r>
    </w:p>
    <w:p w14:paraId="168FD85B">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年初预算为38.96万元，支出决算为40.58万元，完成年初预算的104.16%，决算数大于年初预算数的主要原因是：</w:t>
      </w:r>
      <w:r>
        <w:rPr>
          <w:rFonts w:hint="eastAsia" w:ascii="仿宋_GB2312" w:hAnsi="仿宋_GB2312" w:eastAsia="仿宋_GB2312"/>
          <w:b w:val="0"/>
          <w:color w:val="000000"/>
          <w:sz w:val="32"/>
          <w:lang w:val="en-US" w:eastAsia="zh-CN"/>
        </w:rPr>
        <w:t>一是上年5月</w:t>
      </w:r>
      <w:r>
        <w:rPr>
          <w:rFonts w:ascii="仿宋_GB2312" w:hAnsi="仿宋_GB2312" w:eastAsia="仿宋_GB2312"/>
          <w:b w:val="0"/>
          <w:color w:val="000000"/>
          <w:sz w:val="32"/>
        </w:rPr>
        <w:t>新进在编人员</w:t>
      </w:r>
      <w:r>
        <w:rPr>
          <w:rFonts w:hint="eastAsia" w:ascii="仿宋_GB2312" w:hAnsi="仿宋_GB2312" w:eastAsia="仿宋_GB2312"/>
          <w:b w:val="0"/>
          <w:color w:val="000000"/>
          <w:sz w:val="32"/>
          <w:lang w:val="en-US" w:eastAsia="zh-CN"/>
        </w:rPr>
        <w:t>医保仅缴纳8个月</w:t>
      </w:r>
      <w:r>
        <w:rPr>
          <w:rFonts w:hint="eastAsia" w:ascii="仿宋_GB2312" w:hAnsi="仿宋_GB2312" w:eastAsia="仿宋_GB2312"/>
          <w:b w:val="0"/>
          <w:color w:val="000000"/>
          <w:sz w:val="32"/>
          <w:lang w:eastAsia="zh-CN"/>
        </w:rPr>
        <w:t>，</w:t>
      </w:r>
      <w:r>
        <w:rPr>
          <w:rFonts w:hint="eastAsia" w:ascii="仿宋_GB2312" w:hAnsi="仿宋_GB2312" w:eastAsia="仿宋_GB2312"/>
          <w:b w:val="0"/>
          <w:color w:val="000000"/>
          <w:sz w:val="32"/>
          <w:lang w:val="en-US" w:eastAsia="zh-CN"/>
        </w:rPr>
        <w:t>而本年缴纳全年；二是</w:t>
      </w:r>
      <w:r>
        <w:rPr>
          <w:rFonts w:ascii="仿宋_GB2312" w:hAnsi="仿宋_GB2312" w:eastAsia="仿宋_GB2312"/>
          <w:b w:val="0"/>
          <w:color w:val="000000"/>
          <w:sz w:val="32"/>
        </w:rPr>
        <w:t>缴费基数调整，职工基本医疗保险缴费相应增加。</w:t>
      </w:r>
    </w:p>
    <w:p w14:paraId="154BCDD8">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5</w:t>
      </w:r>
      <w:r>
        <w:rPr>
          <w:rFonts w:hint="eastAsia" w:ascii="仿宋_GB2312" w:hAnsi="仿宋_GB2312" w:eastAsia="仿宋_GB2312"/>
          <w:b w:val="0"/>
          <w:color w:val="000000"/>
          <w:sz w:val="32"/>
          <w:lang w:val="en-US" w:eastAsia="zh-CN"/>
        </w:rPr>
        <w:t>.</w:t>
      </w:r>
      <w:r>
        <w:rPr>
          <w:rFonts w:ascii="仿宋_GB2312" w:hAnsi="仿宋_GB2312" w:eastAsia="仿宋_GB2312"/>
          <w:b w:val="0"/>
          <w:color w:val="000000"/>
          <w:sz w:val="32"/>
        </w:rPr>
        <w:t>卫生健康支出（类）其他卫生健康支出（款）其他卫生健康支出（项）。</w:t>
      </w:r>
    </w:p>
    <w:p w14:paraId="5907E323">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年初预算为0万元，支出决算为1321.12万元，决算数大于年初预算数的主要原因是：本年财政根据采供血业务发展需要，年中追加下达采供血运行成本、采供血设备购置等项目专项资金，年初未纳入部门预算。</w:t>
      </w:r>
    </w:p>
    <w:p w14:paraId="064819EB">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6</w:t>
      </w:r>
      <w:r>
        <w:rPr>
          <w:rFonts w:hint="eastAsia" w:ascii="仿宋_GB2312" w:hAnsi="仿宋_GB2312" w:eastAsia="仿宋_GB2312"/>
          <w:b w:val="0"/>
          <w:color w:val="000000"/>
          <w:sz w:val="32"/>
          <w:lang w:val="en-US" w:eastAsia="zh-CN"/>
        </w:rPr>
        <w:t>.</w:t>
      </w:r>
      <w:r>
        <w:rPr>
          <w:rFonts w:ascii="仿宋_GB2312" w:hAnsi="仿宋_GB2312" w:eastAsia="仿宋_GB2312"/>
          <w:b w:val="0"/>
          <w:color w:val="000000"/>
          <w:sz w:val="32"/>
        </w:rPr>
        <w:t>住房保障支出（类）住房改革支出（款）住房公积金（项）。</w:t>
      </w:r>
    </w:p>
    <w:p w14:paraId="3B717D9E">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ascii="仿宋_GB2312" w:hAnsi="仿宋_GB2312" w:eastAsia="仿宋_GB2312"/>
          <w:b w:val="0"/>
          <w:color w:val="000000"/>
          <w:sz w:val="32"/>
        </w:rPr>
        <w:t>年初预算为82.93万元，支出决算为90.25万元，完成年初预算的108.83%，决算数大于年初预算数的主要原因是：本年新进在编人员及缴存基数调整，住房公积金单位缴存部分相应增加。</w:t>
      </w:r>
    </w:p>
    <w:p w14:paraId="59EFF064">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Style w:val="22"/>
          <w:rFonts w:hint="default" w:cs="仿宋_GB2312"/>
          <w:sz w:val="32"/>
          <w:szCs w:val="32"/>
          <w:lang w:val="en-US" w:eastAsia="zh-CN"/>
        </w:rPr>
      </w:pPr>
      <w:r>
        <w:rPr>
          <w:rFonts w:ascii="仿宋_GB2312" w:hAnsi="仿宋_GB2312" w:eastAsia="仿宋_GB2312"/>
          <w:b w:val="0"/>
          <w:color w:val="000000"/>
          <w:sz w:val="32"/>
        </w:rPr>
        <w:t>按照支出功能分类，卫生健康支出方面的支出规模较大，占一般公共预算财政拨款支出总额的91.94%，主要是采供血机构支出1010.72万元（含人员经费、公用经费及</w:t>
      </w:r>
      <w:r>
        <w:rPr>
          <w:rFonts w:hint="eastAsia" w:ascii="仿宋_GB2312" w:hAnsi="仿宋_GB2312" w:eastAsia="仿宋_GB2312"/>
          <w:b w:val="0"/>
          <w:color w:val="000000"/>
          <w:sz w:val="32"/>
          <w:lang w:val="en-US" w:eastAsia="zh-CN"/>
        </w:rPr>
        <w:t>中央重大传染病防治项目支出</w:t>
      </w:r>
      <w:r>
        <w:rPr>
          <w:rFonts w:ascii="仿宋_GB2312" w:hAnsi="仿宋_GB2312" w:eastAsia="仿宋_GB2312"/>
          <w:b w:val="0"/>
          <w:color w:val="000000"/>
          <w:sz w:val="32"/>
        </w:rPr>
        <w:t>）、其他卫生健康支出1321.12万元（</w:t>
      </w:r>
      <w:r>
        <w:rPr>
          <w:rFonts w:hint="eastAsia" w:ascii="仿宋_GB2312" w:hAnsi="仿宋_GB2312" w:eastAsia="仿宋_GB2312"/>
          <w:b w:val="0"/>
          <w:color w:val="000000"/>
          <w:sz w:val="32"/>
          <w:lang w:val="en-US" w:eastAsia="zh-CN"/>
        </w:rPr>
        <w:t>土地款</w:t>
      </w:r>
      <w:r>
        <w:rPr>
          <w:rFonts w:ascii="仿宋_GB2312" w:hAnsi="仿宋_GB2312" w:eastAsia="仿宋_GB2312"/>
          <w:b w:val="0"/>
          <w:color w:val="000000"/>
          <w:sz w:val="32"/>
        </w:rPr>
        <w:t>）。</w:t>
      </w:r>
    </w:p>
    <w:p w14:paraId="54071105">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六、</w:t>
      </w:r>
      <w:r>
        <w:rPr>
          <w:rFonts w:ascii="黑体" w:hAnsi="黑体" w:eastAsia="黑体" w:cs="黑体"/>
          <w:b w:val="0"/>
          <w:bCs w:val="0"/>
          <w:sz w:val="32"/>
          <w:szCs w:val="32"/>
        </w:rPr>
        <w:t>一般公共预算财政拨款基本支出决算情况说明</w:t>
      </w:r>
    </w:p>
    <w:p w14:paraId="481E78A1">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2025年度一般公共预算财政拨款基本支出</w:t>
      </w:r>
      <w:r>
        <w:rPr>
          <w:rStyle w:val="22"/>
          <w:rFonts w:ascii="Times New Roman" w:hAnsi="Times New Roman" w:eastAsia="仿宋_GB2312" w:cs="仿宋_GB2312"/>
          <w:b w:val="0"/>
          <w:bCs w:val="0"/>
          <w:sz w:val="32"/>
          <w:szCs w:val="32"/>
        </w:rPr>
        <w:t>1164.10</w:t>
      </w:r>
      <w:r>
        <w:rPr>
          <w:rFonts w:ascii="Times New Roman" w:hAnsi="Times New Roman" w:eastAsia="仿宋_GB2312" w:cs="仿宋_GB2312"/>
          <w:b w:val="0"/>
          <w:bCs w:val="0"/>
          <w:sz w:val="32"/>
          <w:szCs w:val="32"/>
        </w:rPr>
        <w:t xml:space="preserve">万元，其中： </w:t>
      </w:r>
    </w:p>
    <w:p w14:paraId="62488D27">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人员经费</w:t>
      </w:r>
      <w:r>
        <w:rPr>
          <w:rStyle w:val="22"/>
          <w:rFonts w:ascii="Times New Roman" w:hAnsi="Times New Roman" w:eastAsia="仿宋_GB2312" w:cs="仿宋_GB2312"/>
          <w:b w:val="0"/>
          <w:bCs w:val="0"/>
          <w:sz w:val="32"/>
          <w:szCs w:val="32"/>
        </w:rPr>
        <w:t>1057.03</w:t>
      </w:r>
      <w:r>
        <w:rPr>
          <w:rFonts w:ascii="Times New Roman" w:hAnsi="Times New Roman" w:eastAsia="仿宋_GB2312" w:cs="仿宋_GB2312"/>
          <w:b w:val="0"/>
          <w:bCs w:val="0"/>
          <w:sz w:val="32"/>
          <w:szCs w:val="32"/>
        </w:rPr>
        <w:t>万元，占基本支出的</w:t>
      </w:r>
      <w:r>
        <w:rPr>
          <w:rStyle w:val="22"/>
          <w:rFonts w:ascii="Times New Roman" w:hAnsi="Times New Roman" w:eastAsia="仿宋_GB2312" w:cs="仿宋_GB2312"/>
          <w:b w:val="0"/>
          <w:bCs w:val="0"/>
          <w:sz w:val="32"/>
          <w:szCs w:val="32"/>
        </w:rPr>
        <w:t>90.80％</w:t>
      </w:r>
      <w:r>
        <w:rPr>
          <w:rFonts w:ascii="Times New Roman" w:hAnsi="Times New Roman" w:eastAsia="仿宋_GB2312" w:cs="仿宋_GB2312"/>
          <w:b w:val="0"/>
          <w:bCs w:val="0"/>
          <w:sz w:val="32"/>
          <w:szCs w:val="32"/>
        </w:rPr>
        <w:t>，主要包括基本工资354.52万元、津贴补贴1.69万元、奖金253.83万元、绩效工资198.31万元、机关事业单位基本养老保险缴费 97.02 万元、职工基本医疗保险缴费 40.58 万元、住房公积金 90.25 万元、对个人和家庭补助（退休人员生活补助</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20.84万元。</w:t>
      </w:r>
    </w:p>
    <w:p w14:paraId="753700E2">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公用经费</w:t>
      </w:r>
      <w:r>
        <w:rPr>
          <w:rStyle w:val="22"/>
          <w:rFonts w:ascii="Times New Roman" w:hAnsi="Times New Roman" w:eastAsia="仿宋_GB2312" w:cs="仿宋_GB2312"/>
          <w:b w:val="0"/>
          <w:bCs w:val="0"/>
          <w:sz w:val="32"/>
          <w:szCs w:val="32"/>
        </w:rPr>
        <w:t>107.06</w:t>
      </w:r>
      <w:r>
        <w:rPr>
          <w:rFonts w:ascii="Times New Roman" w:hAnsi="Times New Roman" w:eastAsia="仿宋_GB2312" w:cs="仿宋_GB2312"/>
          <w:b w:val="0"/>
          <w:bCs w:val="0"/>
          <w:sz w:val="32"/>
          <w:szCs w:val="32"/>
        </w:rPr>
        <w:t>万元，占基本支出的</w:t>
      </w:r>
      <w:r>
        <w:rPr>
          <w:rStyle w:val="22"/>
          <w:rFonts w:ascii="Times New Roman" w:hAnsi="Times New Roman" w:eastAsia="仿宋_GB2312" w:cs="仿宋_GB2312"/>
          <w:b w:val="0"/>
          <w:bCs w:val="0"/>
          <w:sz w:val="32"/>
          <w:szCs w:val="32"/>
        </w:rPr>
        <w:t>9.20％</w:t>
      </w:r>
      <w:r>
        <w:rPr>
          <w:rFonts w:ascii="Times New Roman" w:hAnsi="Times New Roman" w:eastAsia="仿宋_GB2312" w:cs="仿宋_GB2312"/>
          <w:b w:val="0"/>
          <w:bCs w:val="0"/>
          <w:sz w:val="32"/>
          <w:szCs w:val="32"/>
        </w:rPr>
        <w:t>，主要包括办公费11.98万元、租赁费3.66万元、会议费1.17万元、培训费4.22万元、公务接待费0.15万元、劳务费5.03万元、工会经费49.99万元、福利费15.17万元、其他商品和服务支出15.70万元。</w:t>
      </w:r>
    </w:p>
    <w:p w14:paraId="76F5A5DE">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七、</w:t>
      </w:r>
      <w:r>
        <w:rPr>
          <w:rFonts w:ascii="黑体" w:hAnsi="黑体" w:eastAsia="黑体" w:cs="黑体"/>
          <w:b w:val="0"/>
          <w:bCs w:val="0"/>
          <w:sz w:val="32"/>
          <w:szCs w:val="32"/>
        </w:rPr>
        <w:t>财政拨款 “三公” 经费支出决算情况说明</w:t>
      </w:r>
    </w:p>
    <w:p w14:paraId="50A0E9A3">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楷体_GB2312"/>
          <w:b w:val="0"/>
          <w:bCs w:val="0"/>
          <w:sz w:val="32"/>
          <w:szCs w:val="32"/>
        </w:rPr>
      </w:pPr>
      <w:r>
        <w:rPr>
          <w:rFonts w:hint="eastAsia" w:cs="楷体_GB2312"/>
          <w:b w:val="0"/>
          <w:bCs w:val="0"/>
          <w:sz w:val="32"/>
          <w:szCs w:val="32"/>
          <w:lang w:eastAsia="zh-CN"/>
        </w:rPr>
        <w:t>（一）</w:t>
      </w:r>
      <w:r>
        <w:rPr>
          <w:rFonts w:ascii="Times New Roman" w:hAnsi="Times New Roman" w:eastAsia="楷体_GB2312" w:cs="楷体_GB2312"/>
          <w:b w:val="0"/>
          <w:bCs w:val="0"/>
          <w:sz w:val="32"/>
          <w:szCs w:val="32"/>
        </w:rPr>
        <w:t>“三公” 经费财政拨款支出决算总体情况说明</w:t>
      </w:r>
    </w:p>
    <w:p w14:paraId="2D805270">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2"/>
          <w:szCs w:val="32"/>
        </w:rPr>
      </w:pPr>
      <w:r>
        <w:rPr>
          <w:rFonts w:ascii="Times New Roman" w:hAnsi="Times New Roman" w:eastAsia="仿宋_GB2312" w:cs="仿宋_GB2312"/>
          <w:b w:val="0"/>
          <w:bCs w:val="0"/>
          <w:sz w:val="32"/>
          <w:szCs w:val="32"/>
        </w:rPr>
        <w:t>2025年度 “三公” 经费财政拨款支出预算为</w:t>
      </w:r>
      <w:r>
        <w:rPr>
          <w:rStyle w:val="22"/>
          <w:rFonts w:ascii="Times New Roman" w:hAnsi="Times New Roman" w:eastAsia="仿宋_GB2312" w:cs="仿宋_GB2312"/>
          <w:b w:val="0"/>
          <w:bCs w:val="0"/>
          <w:sz w:val="32"/>
          <w:szCs w:val="32"/>
        </w:rPr>
        <w:t>2.00</w:t>
      </w:r>
      <w:r>
        <w:rPr>
          <w:rFonts w:ascii="Times New Roman" w:hAnsi="Times New Roman" w:eastAsia="仿宋_GB2312" w:cs="仿宋_GB2312"/>
          <w:b w:val="0"/>
          <w:bCs w:val="0"/>
          <w:sz w:val="32"/>
          <w:szCs w:val="32"/>
        </w:rPr>
        <w:t>万元，支出决算为</w:t>
      </w:r>
      <w:r>
        <w:rPr>
          <w:rStyle w:val="22"/>
          <w:rFonts w:ascii="Times New Roman" w:hAnsi="Times New Roman" w:eastAsia="仿宋_GB2312" w:cs="仿宋_GB2312"/>
          <w:b w:val="0"/>
          <w:bCs w:val="0"/>
          <w:sz w:val="32"/>
          <w:szCs w:val="32"/>
        </w:rPr>
        <w:t>0.15</w:t>
      </w:r>
      <w:r>
        <w:rPr>
          <w:rFonts w:ascii="Times New Roman" w:hAnsi="Times New Roman" w:eastAsia="仿宋_GB2312" w:cs="仿宋_GB2312"/>
          <w:b w:val="0"/>
          <w:bCs w:val="0"/>
          <w:sz w:val="32"/>
          <w:szCs w:val="32"/>
        </w:rPr>
        <w:t>万元，完成预算的</w:t>
      </w:r>
      <w:r>
        <w:rPr>
          <w:rStyle w:val="22"/>
          <w:rFonts w:ascii="Times New Roman" w:hAnsi="Times New Roman" w:eastAsia="仿宋_GB2312" w:cs="仿宋_GB2312"/>
          <w:b w:val="0"/>
          <w:bCs w:val="0"/>
          <w:sz w:val="32"/>
          <w:szCs w:val="32"/>
        </w:rPr>
        <w:t>7.50％</w:t>
      </w:r>
      <w:r>
        <w:rPr>
          <w:rFonts w:ascii="Times New Roman" w:hAnsi="Times New Roman" w:eastAsia="仿宋_GB2312" w:cs="仿宋_GB2312"/>
          <w:b w:val="0"/>
          <w:bCs w:val="0"/>
          <w:sz w:val="32"/>
          <w:szCs w:val="32"/>
        </w:rPr>
        <w:t>；与上年决算0.</w:t>
      </w:r>
      <w:r>
        <w:rPr>
          <w:rFonts w:hint="eastAsia" w:cs="仿宋_GB2312"/>
          <w:b w:val="0"/>
          <w:bCs w:val="0"/>
          <w:sz w:val="32"/>
          <w:szCs w:val="32"/>
          <w:lang w:val="en-US" w:eastAsia="zh-CN"/>
        </w:rPr>
        <w:t>87</w:t>
      </w:r>
      <w:r>
        <w:rPr>
          <w:rFonts w:ascii="Times New Roman" w:hAnsi="Times New Roman" w:eastAsia="仿宋_GB2312" w:cs="仿宋_GB2312"/>
          <w:b w:val="0"/>
          <w:bCs w:val="0"/>
          <w:sz w:val="32"/>
          <w:szCs w:val="32"/>
        </w:rPr>
        <w:t>万元相比，减少0.</w:t>
      </w:r>
      <w:r>
        <w:rPr>
          <w:rFonts w:hint="eastAsia" w:cs="仿宋_GB2312"/>
          <w:b w:val="0"/>
          <w:bCs w:val="0"/>
          <w:sz w:val="32"/>
          <w:szCs w:val="32"/>
          <w:lang w:val="en-US" w:eastAsia="zh-CN"/>
        </w:rPr>
        <w:t>72</w:t>
      </w:r>
      <w:r>
        <w:rPr>
          <w:rFonts w:ascii="Times New Roman" w:hAnsi="Times New Roman" w:eastAsia="仿宋_GB2312" w:cs="仿宋_GB2312"/>
          <w:b w:val="0"/>
          <w:bCs w:val="0"/>
          <w:sz w:val="32"/>
          <w:szCs w:val="32"/>
        </w:rPr>
        <w:t>万元，下降</w:t>
      </w:r>
      <w:r>
        <w:rPr>
          <w:rFonts w:hint="eastAsia" w:cs="仿宋_GB2312"/>
          <w:b w:val="0"/>
          <w:bCs w:val="0"/>
          <w:sz w:val="32"/>
          <w:szCs w:val="32"/>
          <w:lang w:val="en-US" w:eastAsia="zh-CN"/>
        </w:rPr>
        <w:t>82.76</w:t>
      </w:r>
      <w:r>
        <w:rPr>
          <w:rFonts w:ascii="Times New Roman" w:hAnsi="Times New Roman" w:eastAsia="仿宋_GB2312" w:cs="仿宋_GB2312"/>
          <w:b w:val="0"/>
          <w:bCs w:val="0"/>
          <w:sz w:val="32"/>
          <w:szCs w:val="32"/>
        </w:rPr>
        <w:t>％。决算数小于预算数</w:t>
      </w:r>
      <w:r>
        <w:rPr>
          <w:rFonts w:ascii="Times New Roman" w:hAnsi="Times New Roman" w:eastAsia="仿宋_GB2312" w:cs="仿宋_GB2312"/>
          <w:sz w:val="32"/>
          <w:szCs w:val="32"/>
        </w:rPr>
        <w:t>、较上年下降主要原因：严格落实党政机关过紧日子要求，严格执行公务接待管理规定，从严控制公务接待频次、规模与接待标准。</w:t>
      </w:r>
    </w:p>
    <w:p w14:paraId="055EDA52">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楷体_GB2312"/>
          <w:b w:val="0"/>
          <w:bCs w:val="0"/>
          <w:sz w:val="32"/>
          <w:szCs w:val="32"/>
        </w:rPr>
      </w:pPr>
      <w:r>
        <w:rPr>
          <w:rFonts w:hint="eastAsia" w:cs="楷体_GB2312"/>
          <w:b w:val="0"/>
          <w:bCs w:val="0"/>
          <w:sz w:val="32"/>
          <w:szCs w:val="32"/>
          <w:lang w:eastAsia="zh-CN"/>
        </w:rPr>
        <w:t>（二）</w:t>
      </w:r>
      <w:r>
        <w:rPr>
          <w:rFonts w:ascii="Times New Roman" w:hAnsi="Times New Roman" w:eastAsia="楷体_GB2312" w:cs="楷体_GB2312"/>
          <w:b w:val="0"/>
          <w:bCs w:val="0"/>
          <w:sz w:val="32"/>
          <w:szCs w:val="32"/>
        </w:rPr>
        <w:t>“三公” 经费财政拨款支出决算具体情况说明</w:t>
      </w:r>
    </w:p>
    <w:p w14:paraId="434E1020">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sz w:val="32"/>
          <w:szCs w:val="32"/>
        </w:rPr>
      </w:pPr>
      <w:r>
        <w:rPr>
          <w:rFonts w:hint="eastAsia" w:cs="仿宋_GB2312"/>
          <w:sz w:val="32"/>
          <w:szCs w:val="32"/>
          <w:lang w:eastAsia="zh-CN"/>
        </w:rPr>
        <w:t>1.</w:t>
      </w:r>
      <w:r>
        <w:rPr>
          <w:rFonts w:ascii="Times New Roman" w:hAnsi="Times New Roman" w:eastAsia="仿宋_GB2312" w:cs="仿宋_GB2312"/>
          <w:sz w:val="32"/>
          <w:szCs w:val="32"/>
        </w:rPr>
        <w:t>因公出国（境</w:t>
      </w:r>
      <w:r>
        <w:rPr>
          <w:rFonts w:ascii="Times New Roman" w:hAnsi="Times New Roman" w:eastAsia="仿宋_GB2312" w:cs="仿宋_GB2312"/>
          <w:b w:val="0"/>
          <w:bCs w:val="0"/>
          <w:sz w:val="32"/>
          <w:szCs w:val="32"/>
        </w:rPr>
        <w:t>）费支出预算为</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万元，支出决算为</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万元，完成预算的 0％；2025年度本单位未安排因公出国（境）团组，无出国出境人次及相关支出。</w:t>
      </w:r>
    </w:p>
    <w:p w14:paraId="3F6FF1B7">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sz w:val="32"/>
          <w:szCs w:val="32"/>
        </w:rPr>
      </w:pPr>
      <w:r>
        <w:rPr>
          <w:rFonts w:hint="eastAsia" w:cs="仿宋_GB2312"/>
          <w:b w:val="0"/>
          <w:bCs w:val="0"/>
          <w:sz w:val="32"/>
          <w:szCs w:val="32"/>
          <w:lang w:eastAsia="zh-CN"/>
        </w:rPr>
        <w:t>2.</w:t>
      </w:r>
      <w:r>
        <w:rPr>
          <w:rFonts w:ascii="Times New Roman" w:hAnsi="Times New Roman" w:eastAsia="仿宋_GB2312" w:cs="仿宋_GB2312"/>
          <w:b w:val="0"/>
          <w:bCs w:val="0"/>
          <w:sz w:val="32"/>
          <w:szCs w:val="32"/>
        </w:rPr>
        <w:t>公务用车购置费及运行维护费支出预算为</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万元，支出决算为</w:t>
      </w:r>
      <w:r>
        <w:rPr>
          <w:rStyle w:val="22"/>
          <w:rFonts w:ascii="Times New Roman" w:hAnsi="Times New Roman" w:eastAsia="仿宋_GB2312" w:cs="仿宋_GB2312"/>
          <w:b w:val="0"/>
          <w:bCs w:val="0"/>
          <w:sz w:val="32"/>
          <w:szCs w:val="32"/>
        </w:rPr>
        <w:t>0.00</w:t>
      </w:r>
      <w:r>
        <w:rPr>
          <w:rFonts w:ascii="Times New Roman" w:hAnsi="Times New Roman" w:eastAsia="仿宋_GB2312" w:cs="仿宋_GB2312"/>
          <w:b w:val="0"/>
          <w:bCs w:val="0"/>
          <w:sz w:val="32"/>
          <w:szCs w:val="32"/>
        </w:rPr>
        <w:t>万元。其中：公务用车购置费0万元；公务用车运行维护费0万元。截止 2025年12月31日，本单位财政拨款保障公务用车0辆。本单位采血、送血业务车辆经费在事业收入中安排，不在财政拨款 “三公” 经费口径核算。</w:t>
      </w:r>
    </w:p>
    <w:p w14:paraId="100928C3">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default" w:eastAsia="仿宋_GB2312"/>
          <w:b w:val="0"/>
          <w:sz w:val="32"/>
          <w:szCs w:val="32"/>
          <w:highlight w:val="yellow"/>
          <w:lang w:val="en-US" w:eastAsia="zh-CN"/>
        </w:rPr>
      </w:pPr>
      <w:r>
        <w:rPr>
          <w:rFonts w:hint="eastAsia" w:cs="仿宋_GB2312"/>
          <w:b w:val="0"/>
          <w:bCs w:val="0"/>
          <w:sz w:val="32"/>
          <w:szCs w:val="32"/>
          <w:lang w:eastAsia="zh-CN"/>
        </w:rPr>
        <w:t>3.</w:t>
      </w:r>
      <w:r>
        <w:rPr>
          <w:rFonts w:ascii="Times New Roman" w:hAnsi="Times New Roman" w:eastAsia="仿宋_GB2312" w:cs="仿宋_GB2312"/>
          <w:b w:val="0"/>
          <w:bCs w:val="0"/>
          <w:sz w:val="32"/>
          <w:szCs w:val="32"/>
        </w:rPr>
        <w:t>公务接待费支出预算为</w:t>
      </w:r>
      <w:r>
        <w:rPr>
          <w:rStyle w:val="22"/>
          <w:rFonts w:ascii="Times New Roman" w:hAnsi="Times New Roman" w:eastAsia="仿宋_GB2312" w:cs="仿宋_GB2312"/>
          <w:b w:val="0"/>
          <w:bCs w:val="0"/>
          <w:sz w:val="32"/>
          <w:szCs w:val="32"/>
        </w:rPr>
        <w:t>2.00</w:t>
      </w:r>
      <w:r>
        <w:rPr>
          <w:rFonts w:ascii="Times New Roman" w:hAnsi="Times New Roman" w:eastAsia="仿宋_GB2312" w:cs="仿宋_GB2312"/>
          <w:b w:val="0"/>
          <w:bCs w:val="0"/>
          <w:sz w:val="32"/>
          <w:szCs w:val="32"/>
        </w:rPr>
        <w:t>万元，支出决算为</w:t>
      </w:r>
      <w:r>
        <w:rPr>
          <w:rStyle w:val="22"/>
          <w:rFonts w:ascii="Times New Roman" w:hAnsi="Times New Roman" w:eastAsia="仿宋_GB2312" w:cs="仿宋_GB2312"/>
          <w:b w:val="0"/>
          <w:bCs w:val="0"/>
          <w:sz w:val="32"/>
          <w:szCs w:val="32"/>
        </w:rPr>
        <w:t>0.15</w:t>
      </w:r>
      <w:r>
        <w:rPr>
          <w:rFonts w:ascii="Times New Roman" w:hAnsi="Times New Roman" w:eastAsia="仿宋_GB2312" w:cs="仿宋_GB2312"/>
          <w:b w:val="0"/>
          <w:bCs w:val="0"/>
          <w:sz w:val="32"/>
          <w:szCs w:val="32"/>
        </w:rPr>
        <w:t>万元，完成预算的</w:t>
      </w:r>
      <w:r>
        <w:rPr>
          <w:rStyle w:val="22"/>
          <w:rFonts w:ascii="Times New Roman" w:hAnsi="Times New Roman" w:eastAsia="仿宋_GB2312" w:cs="仿宋_GB2312"/>
          <w:b w:val="0"/>
          <w:bCs w:val="0"/>
          <w:sz w:val="32"/>
          <w:szCs w:val="32"/>
        </w:rPr>
        <w:t>7.50％</w:t>
      </w:r>
      <w:r>
        <w:rPr>
          <w:rFonts w:ascii="Times New Roman" w:hAnsi="Times New Roman" w:eastAsia="仿宋_GB2312" w:cs="仿宋_GB2312"/>
          <w:b w:val="0"/>
          <w:bCs w:val="0"/>
          <w:sz w:val="32"/>
          <w:szCs w:val="32"/>
        </w:rPr>
        <w:t>；较上年0.</w:t>
      </w:r>
      <w:r>
        <w:rPr>
          <w:rFonts w:hint="eastAsia" w:cs="仿宋_GB2312"/>
          <w:b w:val="0"/>
          <w:bCs w:val="0"/>
          <w:sz w:val="32"/>
          <w:szCs w:val="32"/>
          <w:lang w:val="en-US" w:eastAsia="zh-CN"/>
        </w:rPr>
        <w:t>87</w:t>
      </w:r>
      <w:r>
        <w:rPr>
          <w:rFonts w:ascii="Times New Roman" w:hAnsi="Times New Roman" w:eastAsia="仿宋_GB2312" w:cs="仿宋_GB2312"/>
          <w:b w:val="0"/>
          <w:bCs w:val="0"/>
          <w:sz w:val="32"/>
          <w:szCs w:val="32"/>
        </w:rPr>
        <w:t>万元减少</w:t>
      </w:r>
      <w:r>
        <w:rPr>
          <w:rFonts w:hint="eastAsia" w:cs="仿宋_GB2312"/>
          <w:b w:val="0"/>
          <w:bCs w:val="0"/>
          <w:sz w:val="32"/>
          <w:szCs w:val="32"/>
          <w:lang w:val="en-US" w:eastAsia="zh-CN"/>
        </w:rPr>
        <w:t>0.72</w:t>
      </w:r>
      <w:r>
        <w:rPr>
          <w:rFonts w:ascii="Times New Roman" w:hAnsi="Times New Roman" w:eastAsia="仿宋_GB2312" w:cs="仿宋_GB2312"/>
          <w:b w:val="0"/>
          <w:bCs w:val="0"/>
          <w:sz w:val="32"/>
          <w:szCs w:val="32"/>
        </w:rPr>
        <w:t>万元。决算数小于预算数的主要原因：严格执行公务接待管理办法，严控接待范围与接待标准。2025年度共接待来访团组</w:t>
      </w:r>
      <w:r>
        <w:rPr>
          <w:rFonts w:hint="eastAsia" w:cs="仿宋_GB2312"/>
          <w:b w:val="0"/>
          <w:bCs w:val="0"/>
          <w:sz w:val="32"/>
          <w:szCs w:val="32"/>
          <w:lang w:val="en-US" w:eastAsia="zh-CN"/>
        </w:rPr>
        <w:t>2</w:t>
      </w:r>
      <w:r>
        <w:rPr>
          <w:rFonts w:hint="eastAsia" w:eastAsia="仿宋_GB2312"/>
          <w:sz w:val="32"/>
          <w:szCs w:val="32"/>
          <w:lang w:val="en-US" w:eastAsia="zh-CN"/>
        </w:rPr>
        <w:t>批次</w:t>
      </w:r>
      <w:r>
        <w:rPr>
          <w:rFonts w:ascii="Times New Roman" w:hAnsi="Times New Roman" w:eastAsia="仿宋_GB2312" w:cs="仿宋_GB2312"/>
          <w:b w:val="0"/>
          <w:bCs w:val="0"/>
          <w:sz w:val="32"/>
          <w:szCs w:val="32"/>
        </w:rPr>
        <w:t>、来宾</w:t>
      </w:r>
      <w:r>
        <w:rPr>
          <w:rFonts w:hint="eastAsia" w:cs="仿宋_GB2312"/>
          <w:b w:val="0"/>
          <w:bCs w:val="0"/>
          <w:sz w:val="32"/>
          <w:szCs w:val="32"/>
          <w:lang w:val="en-US" w:eastAsia="zh-CN"/>
        </w:rPr>
        <w:t>11</w:t>
      </w:r>
      <w:r>
        <w:rPr>
          <w:rFonts w:ascii="Times New Roman" w:hAnsi="Times New Roman" w:eastAsia="仿宋_GB2312" w:cs="仿宋_GB2312"/>
          <w:b w:val="0"/>
          <w:bCs w:val="0"/>
          <w:sz w:val="32"/>
          <w:szCs w:val="32"/>
        </w:rPr>
        <w:t>人次，</w:t>
      </w:r>
      <w:r>
        <w:rPr>
          <w:rFonts w:hint="eastAsia" w:eastAsia="仿宋_GB2312"/>
          <w:sz w:val="32"/>
          <w:szCs w:val="32"/>
          <w:lang w:val="en-US" w:eastAsia="zh-CN"/>
        </w:rPr>
        <w:t>人均136.36元/次；</w:t>
      </w:r>
      <w:r>
        <w:rPr>
          <w:rFonts w:ascii="Times New Roman" w:hAnsi="Times New Roman" w:eastAsia="仿宋_GB2312" w:cs="仿宋_GB2312"/>
          <w:sz w:val="32"/>
          <w:szCs w:val="32"/>
          <w:highlight w:val="none"/>
        </w:rPr>
        <w:t>主要为</w:t>
      </w:r>
      <w:r>
        <w:rPr>
          <w:rFonts w:hint="eastAsia" w:cs="仿宋_GB2312"/>
          <w:sz w:val="32"/>
          <w:szCs w:val="32"/>
          <w:highlight w:val="none"/>
          <w:lang w:val="en-US" w:eastAsia="zh-CN"/>
        </w:rPr>
        <w:t>湘西中心血站、张家界中心血站</w:t>
      </w:r>
      <w:r>
        <w:rPr>
          <w:rFonts w:ascii="Times New Roman" w:hAnsi="Times New Roman" w:eastAsia="仿宋_GB2312" w:cs="仿宋_GB2312"/>
          <w:sz w:val="32"/>
          <w:szCs w:val="32"/>
          <w:highlight w:val="none"/>
        </w:rPr>
        <w:t>血站</w:t>
      </w:r>
      <w:r>
        <w:rPr>
          <w:rFonts w:hint="eastAsia" w:cs="仿宋_GB2312"/>
          <w:sz w:val="32"/>
          <w:szCs w:val="32"/>
          <w:highlight w:val="none"/>
          <w:lang w:val="en-US" w:eastAsia="zh-CN"/>
        </w:rPr>
        <w:t>来怀工作检查</w:t>
      </w:r>
      <w:r>
        <w:rPr>
          <w:rFonts w:ascii="Times New Roman" w:hAnsi="Times New Roman" w:eastAsia="仿宋_GB2312" w:cs="仿宋_GB2312"/>
          <w:sz w:val="32"/>
          <w:szCs w:val="32"/>
          <w:highlight w:val="none"/>
        </w:rPr>
        <w:t>发生接待支出。</w:t>
      </w:r>
    </w:p>
    <w:p w14:paraId="51C06843">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八、</w:t>
      </w:r>
      <w:r>
        <w:rPr>
          <w:rFonts w:ascii="黑体" w:hAnsi="黑体" w:eastAsia="黑体" w:cs="黑体"/>
          <w:b w:val="0"/>
          <w:bCs w:val="0"/>
          <w:sz w:val="32"/>
          <w:szCs w:val="32"/>
        </w:rPr>
        <w:t>政府性基金预算收入支出决算情况</w:t>
      </w:r>
    </w:p>
    <w:p w14:paraId="6F10E452">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2025年度本单位无政府性基金预算财政拨款收入，无年初结转和结余，无政府性基金预算财政拨款支出，年末结转和结余0.00 万元。</w:t>
      </w:r>
    </w:p>
    <w:p w14:paraId="4803A27D">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九、</w:t>
      </w:r>
      <w:r>
        <w:rPr>
          <w:rFonts w:ascii="黑体" w:hAnsi="黑体" w:eastAsia="黑体" w:cs="黑体"/>
          <w:b w:val="0"/>
          <w:bCs w:val="0"/>
          <w:sz w:val="32"/>
          <w:szCs w:val="32"/>
        </w:rPr>
        <w:t>国有资本经营预算财政拨款收支决算情况</w:t>
      </w:r>
    </w:p>
    <w:p w14:paraId="59940A15">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本单位2025年度没有国有资本经营预算财政拨款收入及支出，无结转结余。</w:t>
      </w:r>
    </w:p>
    <w:p w14:paraId="1ED4D545">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十、</w:t>
      </w:r>
      <w:r>
        <w:rPr>
          <w:rFonts w:ascii="黑体" w:hAnsi="黑体" w:eastAsia="黑体" w:cs="黑体"/>
          <w:b w:val="0"/>
          <w:bCs w:val="0"/>
          <w:sz w:val="32"/>
          <w:szCs w:val="32"/>
        </w:rPr>
        <w:t>关于机关运行经费支出说明</w:t>
      </w:r>
    </w:p>
    <w:p w14:paraId="47E7DF87">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本部门2025年度机关运行经费支出</w:t>
      </w:r>
      <w:r>
        <w:rPr>
          <w:rStyle w:val="22"/>
          <w:rFonts w:ascii="Times New Roman" w:hAnsi="Times New Roman" w:eastAsia="仿宋_GB2312" w:cs="仿宋_GB2312"/>
          <w:sz w:val="32"/>
          <w:szCs w:val="32"/>
        </w:rPr>
        <w:t>107.06</w:t>
      </w:r>
      <w:r>
        <w:rPr>
          <w:rFonts w:ascii="Times New Roman" w:hAnsi="Times New Roman" w:eastAsia="仿宋_GB2312" w:cs="仿宋_GB2312"/>
          <w:sz w:val="32"/>
          <w:szCs w:val="32"/>
        </w:rPr>
        <w:t>万元（即一般公共预算财政拨款基本支出中公用经费）。2024年度机关运行经费 9</w:t>
      </w:r>
      <w:r>
        <w:rPr>
          <w:rFonts w:hint="eastAsia" w:cs="仿宋_GB2312"/>
          <w:sz w:val="32"/>
          <w:szCs w:val="32"/>
          <w:lang w:val="en-US" w:eastAsia="zh-CN"/>
        </w:rPr>
        <w:t>5.91</w:t>
      </w:r>
      <w:r>
        <w:rPr>
          <w:rFonts w:ascii="Times New Roman" w:hAnsi="Times New Roman" w:eastAsia="仿宋_GB2312" w:cs="仿宋_GB2312"/>
          <w:sz w:val="32"/>
          <w:szCs w:val="32"/>
        </w:rPr>
        <w:t>万元，较上年增加</w:t>
      </w:r>
      <w:r>
        <w:rPr>
          <w:rFonts w:hint="eastAsia" w:cs="仿宋_GB2312"/>
          <w:sz w:val="32"/>
          <w:szCs w:val="32"/>
          <w:lang w:val="en-US" w:eastAsia="zh-CN"/>
        </w:rPr>
        <w:t>11.15</w:t>
      </w:r>
      <w:r>
        <w:rPr>
          <w:rFonts w:ascii="Times New Roman" w:hAnsi="Times New Roman" w:eastAsia="仿宋_GB2312" w:cs="仿宋_GB2312"/>
          <w:sz w:val="32"/>
          <w:szCs w:val="32"/>
        </w:rPr>
        <w:t>万元，增长</w:t>
      </w:r>
      <w:r>
        <w:rPr>
          <w:rFonts w:hint="eastAsia" w:cs="仿宋_GB2312"/>
          <w:sz w:val="32"/>
          <w:szCs w:val="32"/>
          <w:lang w:val="en-US" w:eastAsia="zh-CN"/>
        </w:rPr>
        <w:t>11.63</w:t>
      </w:r>
      <w:r>
        <w:rPr>
          <w:rFonts w:ascii="Times New Roman" w:hAnsi="Times New Roman" w:eastAsia="仿宋_GB2312" w:cs="仿宋_GB2312"/>
          <w:sz w:val="32"/>
          <w:szCs w:val="32"/>
        </w:rPr>
        <w:t>％。主要原因：人员增加，工会经费、福利费等按政策计提相应增加；同时落实过紧日子要求，从严压减非必要公用开支，重点保障采供血业务必需公用运转支出。</w:t>
      </w:r>
    </w:p>
    <w:p w14:paraId="4C293EEA">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说明：怀化市中心血站为公益一类事业单位，机关运行经费口径为财政拨款基本支出公用经费。</w:t>
      </w:r>
    </w:p>
    <w:p w14:paraId="42CFB28D">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十一、</w:t>
      </w:r>
      <w:r>
        <w:rPr>
          <w:rFonts w:ascii="黑体" w:hAnsi="黑体" w:eastAsia="黑体" w:cs="黑体"/>
          <w:b w:val="0"/>
          <w:bCs w:val="0"/>
          <w:sz w:val="32"/>
          <w:szCs w:val="32"/>
        </w:rPr>
        <w:t>一般性支出情况说明</w:t>
      </w:r>
    </w:p>
    <w:p w14:paraId="68DE6631">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2025年本部</w:t>
      </w:r>
      <w:r>
        <w:rPr>
          <w:rFonts w:ascii="Times New Roman" w:hAnsi="Times New Roman" w:eastAsia="仿宋_GB2312" w:cs="仿宋_GB2312"/>
          <w:sz w:val="32"/>
          <w:szCs w:val="32"/>
          <w:highlight w:val="none"/>
        </w:rPr>
        <w:t>门开</w:t>
      </w:r>
      <w:r>
        <w:rPr>
          <w:rFonts w:ascii="Times New Roman" w:hAnsi="Times New Roman" w:eastAsia="仿宋_GB2312" w:cs="仿宋_GB2312"/>
          <w:b w:val="0"/>
          <w:bCs w:val="0"/>
          <w:sz w:val="32"/>
          <w:szCs w:val="32"/>
          <w:highlight w:val="none"/>
        </w:rPr>
        <w:t>支会议费</w:t>
      </w:r>
      <w:r>
        <w:rPr>
          <w:rStyle w:val="22"/>
          <w:rFonts w:ascii="Times New Roman" w:hAnsi="Times New Roman" w:eastAsia="仿宋_GB2312" w:cs="仿宋_GB2312"/>
          <w:b w:val="0"/>
          <w:bCs w:val="0"/>
          <w:sz w:val="32"/>
          <w:szCs w:val="32"/>
          <w:highlight w:val="none"/>
        </w:rPr>
        <w:t>1.17</w:t>
      </w:r>
      <w:r>
        <w:rPr>
          <w:rFonts w:ascii="Times New Roman" w:hAnsi="Times New Roman" w:eastAsia="仿宋_GB2312" w:cs="仿宋_GB2312"/>
          <w:b w:val="0"/>
          <w:bCs w:val="0"/>
          <w:sz w:val="32"/>
          <w:szCs w:val="32"/>
          <w:highlight w:val="none"/>
        </w:rPr>
        <w:t>万元，用于</w:t>
      </w:r>
      <w:r>
        <w:rPr>
          <w:rFonts w:hint="eastAsia" w:cs="仿宋_GB2312"/>
          <w:b w:val="0"/>
          <w:bCs w:val="0"/>
          <w:sz w:val="32"/>
          <w:szCs w:val="32"/>
          <w:highlight w:val="none"/>
          <w:lang w:val="en-US" w:eastAsia="zh-CN"/>
        </w:rPr>
        <w:t>外出参加采供血机构实验室室间质量评价大会、全国临床分子检测质量大会等交流会议</w:t>
      </w:r>
      <w:r>
        <w:rPr>
          <w:rFonts w:ascii="Times New Roman" w:hAnsi="Times New Roman" w:eastAsia="仿宋_GB2312" w:cs="仿宋_GB2312"/>
          <w:b w:val="0"/>
          <w:bCs w:val="0"/>
          <w:sz w:val="32"/>
          <w:szCs w:val="32"/>
          <w:highlight w:val="none"/>
        </w:rPr>
        <w:t>；开支培训费</w:t>
      </w:r>
      <w:r>
        <w:rPr>
          <w:rStyle w:val="22"/>
          <w:rFonts w:ascii="Times New Roman" w:hAnsi="Times New Roman" w:eastAsia="仿宋_GB2312" w:cs="仿宋_GB2312"/>
          <w:b w:val="0"/>
          <w:bCs w:val="0"/>
          <w:sz w:val="32"/>
          <w:szCs w:val="32"/>
          <w:highlight w:val="none"/>
        </w:rPr>
        <w:t>4.22</w:t>
      </w:r>
      <w:r>
        <w:rPr>
          <w:rFonts w:ascii="Times New Roman" w:hAnsi="Times New Roman" w:eastAsia="仿宋_GB2312" w:cs="仿宋_GB2312"/>
          <w:b w:val="0"/>
          <w:bCs w:val="0"/>
          <w:sz w:val="32"/>
          <w:szCs w:val="32"/>
          <w:highlight w:val="none"/>
        </w:rPr>
        <w:t>万</w:t>
      </w:r>
      <w:r>
        <w:rPr>
          <w:rFonts w:ascii="Times New Roman" w:hAnsi="Times New Roman" w:eastAsia="仿宋_GB2312" w:cs="仿宋_GB2312"/>
          <w:sz w:val="32"/>
          <w:szCs w:val="32"/>
          <w:highlight w:val="none"/>
        </w:rPr>
        <w:t>元，用于岗位继续教育培训</w:t>
      </w:r>
      <w:r>
        <w:rPr>
          <w:rFonts w:hint="eastAsia" w:cs="仿宋_GB2312"/>
          <w:sz w:val="32"/>
          <w:szCs w:val="32"/>
          <w:highlight w:val="none"/>
          <w:lang w:eastAsia="zh-CN"/>
        </w:rPr>
        <w:t>、</w:t>
      </w:r>
      <w:r>
        <w:rPr>
          <w:rFonts w:hint="eastAsia" w:cs="仿宋_GB2312"/>
          <w:sz w:val="32"/>
          <w:szCs w:val="32"/>
          <w:highlight w:val="none"/>
          <w:lang w:val="en-US" w:eastAsia="zh-CN"/>
        </w:rPr>
        <w:t>派</w:t>
      </w:r>
      <w:r>
        <w:rPr>
          <w:rFonts w:hint="eastAsia" w:eastAsia="仿宋_GB2312"/>
          <w:sz w:val="32"/>
          <w:szCs w:val="32"/>
          <w:highlight w:val="none"/>
          <w:lang w:val="en-US" w:eastAsia="zh-CN"/>
        </w:rPr>
        <w:t>1人赴上海血液中心参加《免疫血液学技</w:t>
      </w:r>
      <w:r>
        <w:rPr>
          <w:rFonts w:hint="eastAsia" w:eastAsia="仿宋_GB2312"/>
          <w:sz w:val="32"/>
          <w:szCs w:val="32"/>
          <w:lang w:val="en-US" w:eastAsia="zh-CN"/>
        </w:rPr>
        <w:t>术研讨班》（2025.5.20-8.8）</w:t>
      </w:r>
      <w:r>
        <w:rPr>
          <w:rFonts w:ascii="Times New Roman" w:hAnsi="Times New Roman" w:eastAsia="仿宋_GB2312" w:cs="仿宋_GB2312"/>
          <w:sz w:val="32"/>
          <w:szCs w:val="32"/>
        </w:rPr>
        <w:t>；2025年度本单位未举办节庆、晚会、论坛、赛事活动，无相关经费开支。</w:t>
      </w:r>
    </w:p>
    <w:p w14:paraId="5D5D7A12">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十二、</w:t>
      </w:r>
      <w:r>
        <w:rPr>
          <w:rFonts w:ascii="黑体" w:hAnsi="黑体" w:eastAsia="黑体" w:cs="黑体"/>
          <w:b w:val="0"/>
          <w:bCs w:val="0"/>
          <w:sz w:val="32"/>
          <w:szCs w:val="32"/>
        </w:rPr>
        <w:t>关于政府采购支出说明</w:t>
      </w:r>
    </w:p>
    <w:p w14:paraId="2082C4C0">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本</w:t>
      </w:r>
      <w:r>
        <w:rPr>
          <w:rFonts w:ascii="Times New Roman" w:hAnsi="Times New Roman" w:eastAsia="仿宋_GB2312" w:cs="仿宋_GB2312"/>
          <w:b w:val="0"/>
          <w:bCs w:val="0"/>
          <w:sz w:val="32"/>
          <w:szCs w:val="32"/>
        </w:rPr>
        <w:t>部门2025年度政府采购支出总额</w:t>
      </w:r>
      <w:r>
        <w:rPr>
          <w:rStyle w:val="22"/>
          <w:rFonts w:hint="eastAsia" w:cs="仿宋_GB2312"/>
          <w:b w:val="0"/>
          <w:bCs w:val="0"/>
          <w:sz w:val="32"/>
          <w:szCs w:val="32"/>
          <w:lang w:val="en-US" w:eastAsia="zh-CN"/>
        </w:rPr>
        <w:t>1374.93</w:t>
      </w:r>
      <w:r>
        <w:rPr>
          <w:rFonts w:ascii="Times New Roman" w:hAnsi="Times New Roman" w:eastAsia="仿宋_GB2312" w:cs="仿宋_GB2312"/>
          <w:b w:val="0"/>
          <w:bCs w:val="0"/>
          <w:sz w:val="32"/>
          <w:szCs w:val="32"/>
        </w:rPr>
        <w:t>万元，其中：政府采购货物支出</w:t>
      </w:r>
      <w:r>
        <w:rPr>
          <w:rStyle w:val="22"/>
          <w:rFonts w:hint="eastAsia" w:cs="仿宋_GB2312"/>
          <w:b w:val="0"/>
          <w:bCs w:val="0"/>
          <w:sz w:val="32"/>
          <w:szCs w:val="32"/>
          <w:lang w:val="en-US" w:eastAsia="zh-CN"/>
        </w:rPr>
        <w:t>1147.96</w:t>
      </w:r>
      <w:r>
        <w:rPr>
          <w:rFonts w:ascii="Times New Roman" w:hAnsi="Times New Roman" w:eastAsia="仿宋_GB2312" w:cs="仿宋_GB2312"/>
          <w:b w:val="0"/>
          <w:bCs w:val="0"/>
          <w:sz w:val="32"/>
          <w:szCs w:val="32"/>
        </w:rPr>
        <w:t>万元、政府采购工程支出</w:t>
      </w:r>
      <w:r>
        <w:rPr>
          <w:rStyle w:val="22"/>
          <w:rFonts w:hint="eastAsia" w:cs="仿宋_GB2312"/>
          <w:b w:val="0"/>
          <w:bCs w:val="0"/>
          <w:sz w:val="32"/>
          <w:szCs w:val="32"/>
          <w:lang w:val="en-US" w:eastAsia="zh-CN"/>
        </w:rPr>
        <w:t>29.93</w:t>
      </w:r>
      <w:r>
        <w:rPr>
          <w:rFonts w:ascii="Times New Roman" w:hAnsi="Times New Roman" w:eastAsia="仿宋_GB2312" w:cs="仿宋_GB2312"/>
          <w:b w:val="0"/>
          <w:bCs w:val="0"/>
          <w:sz w:val="32"/>
          <w:szCs w:val="32"/>
        </w:rPr>
        <w:t>万元、政府采购服务支出</w:t>
      </w:r>
      <w:r>
        <w:rPr>
          <w:rStyle w:val="22"/>
          <w:rFonts w:hint="eastAsia" w:cs="仿宋_GB2312"/>
          <w:b w:val="0"/>
          <w:bCs w:val="0"/>
          <w:sz w:val="32"/>
          <w:szCs w:val="32"/>
          <w:lang w:val="en-US" w:eastAsia="zh-CN"/>
        </w:rPr>
        <w:t>197.04</w:t>
      </w:r>
      <w:r>
        <w:rPr>
          <w:rFonts w:ascii="Times New Roman" w:hAnsi="Times New Roman" w:eastAsia="仿宋_GB2312" w:cs="仿宋_GB2312"/>
          <w:b w:val="0"/>
          <w:bCs w:val="0"/>
          <w:sz w:val="32"/>
          <w:szCs w:val="32"/>
        </w:rPr>
        <w:t>万元。授予中小企业合同金额</w:t>
      </w:r>
      <w:r>
        <w:rPr>
          <w:rStyle w:val="22"/>
          <w:rFonts w:hint="eastAsia" w:cs="仿宋_GB2312"/>
          <w:b w:val="0"/>
          <w:bCs w:val="0"/>
          <w:sz w:val="32"/>
          <w:szCs w:val="32"/>
          <w:lang w:val="en-US" w:eastAsia="zh-CN"/>
        </w:rPr>
        <w:t>1374.93</w:t>
      </w:r>
      <w:r>
        <w:rPr>
          <w:rFonts w:ascii="Times New Roman" w:hAnsi="Times New Roman" w:eastAsia="仿宋_GB2312" w:cs="仿宋_GB2312"/>
          <w:b w:val="0"/>
          <w:bCs w:val="0"/>
          <w:sz w:val="32"/>
          <w:szCs w:val="32"/>
        </w:rPr>
        <w:t>万元，占政府采购支出总额的</w:t>
      </w:r>
      <w:r>
        <w:rPr>
          <w:rStyle w:val="22"/>
          <w:rFonts w:hint="eastAsia" w:cs="仿宋_GB2312"/>
          <w:b w:val="0"/>
          <w:bCs w:val="0"/>
          <w:sz w:val="32"/>
          <w:szCs w:val="32"/>
          <w:lang w:val="en-US" w:eastAsia="zh-CN"/>
        </w:rPr>
        <w:t>100</w:t>
      </w:r>
      <w:r>
        <w:rPr>
          <w:rStyle w:val="22"/>
          <w:rFonts w:ascii="Times New Roman" w:hAnsi="Times New Roman" w:eastAsia="仿宋_GB2312" w:cs="仿宋_GB2312"/>
          <w:b w:val="0"/>
          <w:bCs w:val="0"/>
          <w:sz w:val="32"/>
          <w:szCs w:val="32"/>
        </w:rPr>
        <w:t>％</w:t>
      </w:r>
      <w:r>
        <w:rPr>
          <w:rFonts w:ascii="Times New Roman" w:hAnsi="Times New Roman" w:eastAsia="仿宋_GB2312" w:cs="仿宋_GB2312"/>
          <w:sz w:val="32"/>
          <w:szCs w:val="32"/>
        </w:rPr>
        <w:t>。</w:t>
      </w:r>
    </w:p>
    <w:p w14:paraId="6BE1F7A7">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注：政府采购金额的计算口径为：本部门纳入2025年度部门预算范围的各项政府采购支出金额之和，不包括涉密采购项目的支出金额。</w:t>
      </w:r>
    </w:p>
    <w:p w14:paraId="1FA064BC">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十三、</w:t>
      </w:r>
      <w:r>
        <w:rPr>
          <w:rFonts w:ascii="黑体" w:hAnsi="黑体" w:eastAsia="黑体" w:cs="黑体"/>
          <w:b w:val="0"/>
          <w:bCs w:val="0"/>
          <w:sz w:val="32"/>
          <w:szCs w:val="32"/>
        </w:rPr>
        <w:t>关于国有资产占用情况说明</w:t>
      </w:r>
    </w:p>
    <w:p w14:paraId="22F5F9AF">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截至 2025年12月31日，单位共有车辆</w:t>
      </w:r>
      <w:r>
        <w:rPr>
          <w:rStyle w:val="22"/>
          <w:rFonts w:hint="eastAsia" w:cs="仿宋_GB2312"/>
          <w:sz w:val="32"/>
          <w:szCs w:val="32"/>
          <w:lang w:val="en-US" w:eastAsia="zh-CN"/>
        </w:rPr>
        <w:t>8</w:t>
      </w:r>
      <w:r>
        <w:rPr>
          <w:rFonts w:ascii="Times New Roman" w:hAnsi="Times New Roman" w:eastAsia="仿宋_GB2312" w:cs="仿宋_GB2312"/>
          <w:sz w:val="32"/>
          <w:szCs w:val="32"/>
        </w:rPr>
        <w:t>辆，其中，特种专业技术用车</w:t>
      </w:r>
      <w:r>
        <w:rPr>
          <w:rStyle w:val="22"/>
          <w:rFonts w:hint="eastAsia" w:cs="仿宋_GB2312"/>
          <w:sz w:val="32"/>
          <w:szCs w:val="32"/>
          <w:lang w:val="en-US" w:eastAsia="zh-CN"/>
        </w:rPr>
        <w:t>7</w:t>
      </w:r>
      <w:r>
        <w:rPr>
          <w:rFonts w:ascii="Times New Roman" w:hAnsi="Times New Roman" w:eastAsia="仿宋_GB2312" w:cs="仿宋_GB2312"/>
          <w:sz w:val="32"/>
          <w:szCs w:val="32"/>
        </w:rPr>
        <w:t>辆（采血车、送血专用业务车辆）、其他用车</w:t>
      </w:r>
      <w:r>
        <w:rPr>
          <w:rFonts w:hint="eastAsia" w:cs="仿宋_GB2312"/>
          <w:sz w:val="32"/>
          <w:szCs w:val="32"/>
          <w:lang w:val="en-US" w:eastAsia="zh-CN"/>
        </w:rPr>
        <w:t>1</w:t>
      </w:r>
      <w:r>
        <w:rPr>
          <w:rFonts w:ascii="Times New Roman" w:hAnsi="Times New Roman" w:eastAsia="仿宋_GB2312" w:cs="仿宋_GB2312"/>
          <w:sz w:val="32"/>
          <w:szCs w:val="32"/>
        </w:rPr>
        <w:t>辆；单位价值 100 万元以上设备（不含车辆）</w:t>
      </w:r>
      <w:r>
        <w:rPr>
          <w:rStyle w:val="22"/>
          <w:rFonts w:hint="eastAsia" w:cs="仿宋_GB2312"/>
          <w:sz w:val="32"/>
          <w:szCs w:val="32"/>
          <w:lang w:val="en-US" w:eastAsia="zh-CN"/>
        </w:rPr>
        <w:t>6</w:t>
      </w:r>
      <w:r>
        <w:rPr>
          <w:rFonts w:ascii="Times New Roman" w:hAnsi="Times New Roman" w:eastAsia="仿宋_GB2312" w:cs="仿宋_GB2312"/>
          <w:sz w:val="32"/>
          <w:szCs w:val="32"/>
        </w:rPr>
        <w:t>台（套），主要为核酸检测系统、全自动血液处理系统等大型采供血专用设备。</w:t>
      </w:r>
    </w:p>
    <w:p w14:paraId="3A77EF4D">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备注：财政拨款口径公务用车为0；采血送血特种业务车辆资金来源于事业收入，不属于财政拨款 “三公” 口径车辆。</w:t>
      </w:r>
    </w:p>
    <w:p w14:paraId="69272F94">
      <w:pPr>
        <w:pStyle w:val="5"/>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2"/>
          <w:szCs w:val="32"/>
        </w:rPr>
      </w:pPr>
      <w:r>
        <w:rPr>
          <w:rFonts w:hint="eastAsia" w:cs="黑体"/>
          <w:b w:val="0"/>
          <w:bCs w:val="0"/>
          <w:sz w:val="32"/>
          <w:szCs w:val="32"/>
          <w:lang w:eastAsia="zh-CN"/>
        </w:rPr>
        <w:t>十四、</w:t>
      </w:r>
      <w:r>
        <w:rPr>
          <w:rFonts w:ascii="黑体" w:hAnsi="黑体" w:eastAsia="黑体" w:cs="黑体"/>
          <w:b w:val="0"/>
          <w:bCs w:val="0"/>
          <w:sz w:val="32"/>
          <w:szCs w:val="32"/>
        </w:rPr>
        <w:t>关于2025年度预算绩效管理情况的说明</w:t>
      </w:r>
    </w:p>
    <w:p w14:paraId="4B410825">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2"/>
          <w:szCs w:val="32"/>
        </w:rPr>
      </w:pPr>
      <w:r>
        <w:rPr>
          <w:rFonts w:hint="eastAsia" w:cs="楷体_GB2312"/>
          <w:b w:val="0"/>
          <w:bCs w:val="0"/>
          <w:sz w:val="32"/>
          <w:szCs w:val="32"/>
          <w:lang w:eastAsia="zh-CN"/>
        </w:rPr>
        <w:t>（一）</w:t>
      </w:r>
      <w:r>
        <w:rPr>
          <w:rFonts w:ascii="Times New Roman" w:hAnsi="Times New Roman" w:eastAsia="楷体_GB2312" w:cs="楷体_GB2312"/>
          <w:b w:val="0"/>
          <w:bCs w:val="0"/>
          <w:sz w:val="32"/>
          <w:szCs w:val="32"/>
        </w:rPr>
        <w:t>绩效评价工作开展情况</w:t>
      </w:r>
    </w:p>
    <w:p w14:paraId="2CCCBEDA">
      <w:pPr>
        <w:pStyle w:val="14"/>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b w:val="0"/>
          <w:bCs w:val="0"/>
          <w:sz w:val="32"/>
          <w:szCs w:val="32"/>
          <w:lang w:eastAsia="zh-CN"/>
        </w:rPr>
      </w:pPr>
      <w:r>
        <w:rPr>
          <w:rStyle w:val="26"/>
        </w:rPr>
        <w:t>一是绩效自评开展情况</w:t>
      </w:r>
      <w:r>
        <w:rPr>
          <w:rFonts w:ascii="Times New Roman" w:hAnsi="Times New Roman" w:eastAsia="仿宋_GB2312" w:cs="仿宋_GB2312"/>
          <w:sz w:val="32"/>
          <w:szCs w:val="32"/>
        </w:rPr>
        <w:t>。组织对2025年度本单位整体支出开展</w:t>
      </w:r>
      <w:r>
        <w:rPr>
          <w:rFonts w:hint="eastAsia" w:cs="仿宋_GB2312"/>
          <w:sz w:val="32"/>
          <w:szCs w:val="32"/>
          <w:lang w:val="en-US" w:eastAsia="zh-CN"/>
        </w:rPr>
        <w:t>编制绩效目标，完成</w:t>
      </w:r>
      <w:r>
        <w:rPr>
          <w:rFonts w:ascii="Times New Roman" w:hAnsi="Times New Roman" w:eastAsia="仿宋_GB2312" w:cs="仿宋_GB2312"/>
          <w:sz w:val="32"/>
          <w:szCs w:val="32"/>
        </w:rPr>
        <w:t>绩效自评，</w:t>
      </w:r>
      <w:r>
        <w:rPr>
          <w:rFonts w:hint="eastAsia" w:cs="仿宋_GB2312"/>
          <w:sz w:val="32"/>
          <w:szCs w:val="32"/>
          <w:lang w:val="en-US" w:eastAsia="zh-CN"/>
        </w:rPr>
        <w:t>涉及</w:t>
      </w:r>
      <w:r>
        <w:rPr>
          <w:rFonts w:hint="eastAsia" w:cs="仿宋_GB2312"/>
          <w:b w:val="0"/>
          <w:bCs w:val="0"/>
          <w:sz w:val="32"/>
          <w:szCs w:val="32"/>
          <w:lang w:val="en-US" w:eastAsia="zh-CN"/>
        </w:rPr>
        <w:t>资金4540.92万元；同时对</w:t>
      </w:r>
      <w:r>
        <w:rPr>
          <w:rStyle w:val="22"/>
          <w:rFonts w:ascii="Times New Roman" w:hAnsi="Times New Roman" w:eastAsia="仿宋_GB2312" w:cs="仿宋_GB2312"/>
          <w:b w:val="0"/>
          <w:bCs w:val="0"/>
          <w:sz w:val="32"/>
          <w:szCs w:val="32"/>
        </w:rPr>
        <w:t>6</w:t>
      </w:r>
      <w:r>
        <w:rPr>
          <w:rFonts w:ascii="Times New Roman" w:hAnsi="Times New Roman" w:eastAsia="仿宋_GB2312" w:cs="仿宋_GB2312"/>
          <w:b w:val="0"/>
          <w:bCs w:val="0"/>
          <w:sz w:val="32"/>
          <w:szCs w:val="32"/>
        </w:rPr>
        <w:t>个</w:t>
      </w:r>
      <w:r>
        <w:rPr>
          <w:rFonts w:hint="eastAsia" w:cs="仿宋_GB2312"/>
          <w:b w:val="0"/>
          <w:bCs w:val="0"/>
          <w:sz w:val="32"/>
          <w:szCs w:val="32"/>
          <w:lang w:val="en-US" w:eastAsia="zh-CN"/>
        </w:rPr>
        <w:t>项目对照年初设定的绩效目标进行绩效评价</w:t>
      </w:r>
      <w:r>
        <w:rPr>
          <w:rFonts w:ascii="Times New Roman" w:hAnsi="Times New Roman" w:eastAsia="仿宋_GB2312" w:cs="仿宋_GB2312"/>
          <w:b w:val="0"/>
          <w:bCs w:val="0"/>
          <w:sz w:val="32"/>
          <w:szCs w:val="32"/>
        </w:rPr>
        <w:t>，共涉及资金</w:t>
      </w:r>
      <w:r>
        <w:rPr>
          <w:rStyle w:val="22"/>
          <w:rFonts w:ascii="Times New Roman" w:hAnsi="Times New Roman" w:eastAsia="仿宋_GB2312" w:cs="仿宋_GB2312"/>
          <w:b w:val="0"/>
          <w:bCs w:val="0"/>
          <w:sz w:val="32"/>
          <w:szCs w:val="32"/>
        </w:rPr>
        <w:t>2949.45</w:t>
      </w:r>
      <w:r>
        <w:rPr>
          <w:rFonts w:ascii="Times New Roman" w:hAnsi="Times New Roman" w:eastAsia="仿宋_GB2312" w:cs="仿宋_GB2312"/>
          <w:b w:val="0"/>
          <w:bCs w:val="0"/>
          <w:sz w:val="32"/>
          <w:szCs w:val="32"/>
        </w:rPr>
        <w:t>万元。其中，一般公共预算项目</w:t>
      </w:r>
      <w:r>
        <w:rPr>
          <w:rStyle w:val="22"/>
          <w:rFonts w:ascii="Times New Roman" w:hAnsi="Times New Roman" w:eastAsia="仿宋_GB2312" w:cs="仿宋_GB2312"/>
          <w:b w:val="0"/>
          <w:bCs w:val="0"/>
          <w:sz w:val="32"/>
          <w:szCs w:val="32"/>
        </w:rPr>
        <w:t>4</w:t>
      </w:r>
      <w:r>
        <w:rPr>
          <w:rFonts w:ascii="Times New Roman" w:hAnsi="Times New Roman" w:eastAsia="仿宋_GB2312" w:cs="仿宋_GB2312"/>
          <w:b w:val="0"/>
          <w:bCs w:val="0"/>
          <w:sz w:val="32"/>
          <w:szCs w:val="32"/>
        </w:rPr>
        <w:t>个</w:t>
      </w:r>
      <w:r>
        <w:rPr>
          <w:rStyle w:val="22"/>
          <w:rFonts w:ascii="Times New Roman" w:hAnsi="Times New Roman" w:eastAsia="仿宋_GB2312" w:cs="仿宋_GB2312"/>
          <w:b w:val="0"/>
          <w:bCs w:val="0"/>
          <w:sz w:val="32"/>
          <w:szCs w:val="32"/>
        </w:rPr>
        <w:t>1416.42</w:t>
      </w:r>
      <w:r>
        <w:rPr>
          <w:rFonts w:ascii="Times New Roman" w:hAnsi="Times New Roman" w:eastAsia="仿宋_GB2312" w:cs="仿宋_GB2312"/>
          <w:b w:val="0"/>
          <w:bCs w:val="0"/>
          <w:sz w:val="32"/>
          <w:szCs w:val="32"/>
        </w:rPr>
        <w:t>万元</w:t>
      </w:r>
      <w:r>
        <w:rPr>
          <w:rFonts w:hint="eastAsia" w:cs="仿宋_GB2312"/>
          <w:b w:val="0"/>
          <w:bCs w:val="0"/>
          <w:sz w:val="32"/>
          <w:szCs w:val="32"/>
          <w:lang w:eastAsia="zh-CN"/>
        </w:rPr>
        <w:t>。</w:t>
      </w:r>
    </w:p>
    <w:p w14:paraId="731A38E4">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2"/>
          <w:szCs w:val="32"/>
        </w:rPr>
      </w:pPr>
      <w:r>
        <w:rPr>
          <w:rFonts w:hint="eastAsia" w:cs="楷体_GB2312"/>
          <w:b w:val="0"/>
          <w:bCs w:val="0"/>
          <w:sz w:val="32"/>
          <w:szCs w:val="32"/>
          <w:lang w:eastAsia="zh-CN"/>
        </w:rPr>
        <w:t>（二）</w:t>
      </w:r>
      <w:r>
        <w:rPr>
          <w:rFonts w:ascii="Times New Roman" w:hAnsi="Times New Roman" w:eastAsia="楷体_GB2312" w:cs="楷体_GB2312"/>
          <w:b w:val="0"/>
          <w:bCs w:val="0"/>
          <w:sz w:val="32"/>
          <w:szCs w:val="32"/>
        </w:rPr>
        <w:t>绩效评价结果</w:t>
      </w:r>
    </w:p>
    <w:p w14:paraId="6A3EA98B">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sz w:val="32"/>
          <w:szCs w:val="32"/>
        </w:rPr>
      </w:pPr>
      <w:r>
        <w:rPr>
          <w:rStyle w:val="26"/>
          <w:rFonts w:hint="eastAsia"/>
          <w:lang w:eastAsia="zh-CN"/>
        </w:rPr>
        <w:t>1.</w:t>
      </w:r>
      <w:r>
        <w:rPr>
          <w:rFonts w:hint="eastAsia" w:ascii="仿宋" w:hAnsi="仿宋" w:eastAsia="仿宋" w:cs="仿宋"/>
          <w:spacing w:val="-6"/>
          <w:sz w:val="32"/>
          <w:szCs w:val="32"/>
          <w:lang w:eastAsia="zh-CN"/>
        </w:rPr>
        <w:t xml:space="preserve"> </w:t>
      </w:r>
      <w:r>
        <w:rPr>
          <w:rStyle w:val="26"/>
        </w:rPr>
        <w:t>绩效自评结果</w:t>
      </w:r>
      <w:r>
        <w:rPr>
          <w:rFonts w:ascii="Times New Roman" w:hAnsi="Times New Roman" w:eastAsia="仿宋_GB2312" w:cs="仿宋_GB2312"/>
          <w:sz w:val="32"/>
          <w:szCs w:val="32"/>
        </w:rPr>
        <w:t>。2025年度本单位整体支出</w:t>
      </w:r>
      <w:r>
        <w:rPr>
          <w:rFonts w:hint="eastAsia" w:cs="仿宋_GB2312"/>
          <w:sz w:val="32"/>
          <w:szCs w:val="32"/>
          <w:lang w:val="en-US" w:eastAsia="zh-CN"/>
        </w:rPr>
        <w:t>全年</w:t>
      </w:r>
      <w:r>
        <w:rPr>
          <w:rFonts w:ascii="Times New Roman" w:hAnsi="Times New Roman" w:eastAsia="仿宋_GB2312" w:cs="仿宋_GB2312"/>
          <w:sz w:val="32"/>
          <w:szCs w:val="32"/>
        </w:rPr>
        <w:t>预算数</w:t>
      </w:r>
      <w:r>
        <w:rPr>
          <w:rStyle w:val="22"/>
          <w:rFonts w:hint="eastAsia" w:cs="仿宋_GB2312"/>
          <w:b w:val="0"/>
          <w:bCs/>
          <w:sz w:val="32"/>
          <w:szCs w:val="32"/>
          <w:lang w:val="en-US" w:eastAsia="zh-CN"/>
        </w:rPr>
        <w:t>4540.92</w:t>
      </w:r>
      <w:r>
        <w:rPr>
          <w:rFonts w:ascii="Times New Roman" w:hAnsi="Times New Roman" w:eastAsia="仿宋_GB2312" w:cs="仿宋_GB2312"/>
          <w:b w:val="0"/>
          <w:bCs/>
          <w:sz w:val="32"/>
          <w:szCs w:val="32"/>
        </w:rPr>
        <w:t>万元，执行数4540.92万元（含年中追加专项经费），完成预算</w:t>
      </w:r>
      <w:r>
        <w:rPr>
          <w:rStyle w:val="22"/>
          <w:rFonts w:hint="eastAsia" w:cs="仿宋_GB2312"/>
          <w:b w:val="0"/>
          <w:bCs/>
          <w:sz w:val="32"/>
          <w:szCs w:val="32"/>
          <w:lang w:val="en-US" w:eastAsia="zh-CN"/>
        </w:rPr>
        <w:t>100</w:t>
      </w:r>
      <w:r>
        <w:rPr>
          <w:rStyle w:val="22"/>
          <w:rFonts w:ascii="Times New Roman" w:hAnsi="Times New Roman" w:eastAsia="仿宋_GB2312" w:cs="仿宋_GB2312"/>
          <w:b w:val="0"/>
          <w:bCs/>
          <w:sz w:val="32"/>
          <w:szCs w:val="32"/>
        </w:rPr>
        <w:t>％</w:t>
      </w:r>
      <w:r>
        <w:rPr>
          <w:rFonts w:ascii="Times New Roman" w:hAnsi="Times New Roman" w:eastAsia="仿宋_GB2312" w:cs="仿宋_GB2312"/>
          <w:b w:val="0"/>
          <w:bCs/>
          <w:sz w:val="32"/>
          <w:szCs w:val="32"/>
        </w:rPr>
        <w:t>，绩效自评得</w:t>
      </w:r>
      <w:r>
        <w:rPr>
          <w:rFonts w:ascii="Times New Roman" w:hAnsi="Times New Roman" w:eastAsia="仿宋_GB2312" w:cs="仿宋_GB2312"/>
          <w:b w:val="0"/>
          <w:bCs/>
          <w:sz w:val="32"/>
          <w:szCs w:val="32"/>
          <w:highlight w:val="none"/>
        </w:rPr>
        <w:t>分</w:t>
      </w:r>
      <w:r>
        <w:rPr>
          <w:rStyle w:val="22"/>
          <w:rFonts w:ascii="Times New Roman" w:hAnsi="Times New Roman" w:eastAsia="仿宋_GB2312" w:cs="仿宋_GB2312"/>
          <w:b w:val="0"/>
          <w:bCs/>
          <w:sz w:val="32"/>
          <w:szCs w:val="32"/>
          <w:highlight w:val="none"/>
        </w:rPr>
        <w:t>92</w:t>
      </w:r>
      <w:r>
        <w:rPr>
          <w:rStyle w:val="22"/>
          <w:rFonts w:hint="eastAsia" w:cs="仿宋_GB2312"/>
          <w:b w:val="0"/>
          <w:bCs/>
          <w:sz w:val="32"/>
          <w:szCs w:val="32"/>
          <w:highlight w:val="none"/>
          <w:lang w:val="en-US" w:eastAsia="zh-CN"/>
        </w:rPr>
        <w:t>.40</w:t>
      </w:r>
      <w:r>
        <w:rPr>
          <w:rFonts w:ascii="Times New Roman" w:hAnsi="Times New Roman" w:eastAsia="仿宋_GB2312" w:cs="仿宋_GB2312"/>
          <w:sz w:val="32"/>
          <w:szCs w:val="32"/>
          <w:highlight w:val="none"/>
        </w:rPr>
        <w:t>分</w:t>
      </w:r>
      <w:r>
        <w:rPr>
          <w:rFonts w:hint="eastAsia" w:cs="仿宋_GB2312"/>
          <w:sz w:val="32"/>
          <w:szCs w:val="32"/>
          <w:highlight w:val="none"/>
          <w:lang w:eastAsia="zh-CN"/>
        </w:rPr>
        <w:t>，</w:t>
      </w:r>
      <w:r>
        <w:rPr>
          <w:rFonts w:hint="eastAsia" w:cs="仿宋_GB2312"/>
          <w:sz w:val="32"/>
          <w:szCs w:val="32"/>
          <w:highlight w:val="none"/>
          <w:lang w:val="en-US" w:eastAsia="zh-CN"/>
        </w:rPr>
        <w:t>评价等级为优秀。</w:t>
      </w:r>
    </w:p>
    <w:p w14:paraId="2A5B2AB7">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绩效目标完成情况：一是完成全市无偿献血招募、血液采集制备、检测、供应，保障全市医疗机构临床用血安全与供应；二是落实血液质量管控，巩固核酸检测全覆盖，血液安全质量可控；三是保障血站人员履职和采供血业务正常运转，完成年度采供血核心业务任务。 </w:t>
      </w:r>
    </w:p>
    <w:p w14:paraId="7F27EBF0">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default" w:ascii="Times New Roman" w:hAnsi="Times New Roman" w:eastAsia="仿宋_GB2312" w:cs="仿宋_GB2312"/>
          <w:sz w:val="32"/>
          <w:szCs w:val="32"/>
          <w:highlight w:val="none"/>
          <w:lang w:val="en-US" w:eastAsia="zh-CN"/>
        </w:rPr>
      </w:pPr>
      <w:r>
        <w:rPr>
          <w:rFonts w:ascii="Times New Roman" w:hAnsi="Times New Roman" w:eastAsia="仿宋_GB2312" w:cs="仿宋_GB2312"/>
          <w:sz w:val="32"/>
          <w:szCs w:val="32"/>
          <w:highlight w:val="none"/>
        </w:rPr>
        <w:t>发现的主要问题及原因：</w:t>
      </w:r>
      <w:r>
        <w:rPr>
          <w:rFonts w:ascii="Times New Roman" w:hAnsi="Times New Roman" w:eastAsia="仿宋_GB2312" w:cs="仿宋_GB2312"/>
          <w:b/>
          <w:bCs/>
          <w:sz w:val="32"/>
          <w:szCs w:val="32"/>
          <w:highlight w:val="none"/>
        </w:rPr>
        <w:t>一是</w:t>
      </w:r>
      <w:r>
        <w:rPr>
          <w:rFonts w:hint="eastAsia" w:ascii="Times New Roman" w:hAnsi="Times New Roman" w:eastAsia="仿宋_GB2312" w:cs="仿宋_GB2312"/>
          <w:sz w:val="32"/>
          <w:szCs w:val="32"/>
          <w:highlight w:val="none"/>
        </w:rPr>
        <w:t>预算精细化管理水平有待提升</w:t>
      </w:r>
      <w:r>
        <w:rPr>
          <w:rFonts w:hint="eastAsia" w:cs="仿宋_GB2312"/>
          <w:sz w:val="32"/>
          <w:szCs w:val="32"/>
          <w:highlight w:val="none"/>
          <w:lang w:eastAsia="zh-CN"/>
        </w:rPr>
        <w:t>：本年度预算执行整体规范、资金使用合规，但预算编制前瞻性、精准度不足。预算编制多参照往年基数申报，对年度业务变动、物资价格波动、设备更新需求等实际因素考量不够全面，导致部分项目预算与实际执行存在偏差，年中需通过预算调剂平衡支出，预算动态统筹和精细管控能力仍需加强；</w:t>
      </w:r>
      <w:r>
        <w:rPr>
          <w:rFonts w:ascii="Times New Roman" w:hAnsi="Times New Roman" w:eastAsia="仿宋_GB2312" w:cs="仿宋_GB2312"/>
          <w:b/>
          <w:bCs/>
          <w:sz w:val="32"/>
          <w:szCs w:val="32"/>
          <w:highlight w:val="none"/>
        </w:rPr>
        <w:t>二是</w:t>
      </w:r>
      <w:r>
        <w:rPr>
          <w:rFonts w:hint="eastAsia" w:ascii="Times New Roman" w:hAnsi="Times New Roman" w:eastAsia="仿宋_GB2312" w:cs="仿宋_GB2312"/>
          <w:sz w:val="32"/>
          <w:szCs w:val="32"/>
          <w:highlight w:val="none"/>
        </w:rPr>
        <w:t>无偿献血招募质效有待提升，年度指标未完全达标</w:t>
      </w:r>
      <w:r>
        <w:rPr>
          <w:rFonts w:hint="eastAsia" w:cs="仿宋_GB2312"/>
          <w:sz w:val="32"/>
          <w:szCs w:val="32"/>
          <w:highlight w:val="none"/>
          <w:lang w:eastAsia="zh-CN"/>
        </w:rPr>
        <w:t>：</w:t>
      </w:r>
      <w:r>
        <w:rPr>
          <w:rFonts w:hint="eastAsia" w:ascii="Times New Roman" w:hAnsi="Times New Roman" w:eastAsia="仿宋_GB2312" w:cs="仿宋_GB2312"/>
          <w:sz w:val="32"/>
          <w:szCs w:val="32"/>
          <w:highlight w:val="none"/>
        </w:rPr>
        <w:t>本年度采供血业务总体稳步增长，但未完全达成年度既定目标。主要原因：一是献血人群结构单一，过度依赖团体集中献血及固定献血群体，社会化、常态化街头献血增量不足，供血结构韧性不强；二是宣传招募方式较为传统，常态化、精准化宣传力度不足，未能有效激活社会潜在献血人群；三是年度目标设定偏于激进，未充分结合群众健康认知、社会环境变化等客观实际，导致业务增速未达预期</w:t>
      </w:r>
      <w:r>
        <w:rPr>
          <w:rFonts w:hint="eastAsia" w:cs="仿宋_GB2312"/>
          <w:sz w:val="32"/>
          <w:szCs w:val="32"/>
          <w:highlight w:val="none"/>
          <w:lang w:eastAsia="zh-CN"/>
        </w:rPr>
        <w:t>；</w:t>
      </w:r>
      <w:r>
        <w:rPr>
          <w:rFonts w:hint="eastAsia" w:cs="仿宋_GB2312"/>
          <w:b/>
          <w:bCs/>
          <w:sz w:val="32"/>
          <w:szCs w:val="32"/>
          <w:highlight w:val="none"/>
          <w:lang w:val="en-US" w:eastAsia="zh-CN"/>
        </w:rPr>
        <w:t>三是</w:t>
      </w:r>
      <w:r>
        <w:rPr>
          <w:rFonts w:hint="eastAsia" w:cs="仿宋_GB2312"/>
          <w:b w:val="0"/>
          <w:bCs w:val="0"/>
          <w:sz w:val="32"/>
          <w:szCs w:val="32"/>
          <w:highlight w:val="none"/>
          <w:lang w:val="en-US" w:eastAsia="zh-CN"/>
        </w:rPr>
        <w:t>专项资金衔接推进不够顺畅：本年度中央专项防控资金拨付滞后，虽通过自有资金垫付保障工作正常开展，但上级资金拨付周期较长、政策对接预判不足，专项资金到位节奏与项目实施进度匹配度不高，一定程度影响专项工作有序推进。</w:t>
      </w:r>
    </w:p>
    <w:p w14:paraId="2C191D82">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Times New Roman" w:hAnsi="Times New Roman" w:eastAsia="仿宋_GB2312" w:cs="仿宋_GB2312"/>
          <w:sz w:val="32"/>
          <w:szCs w:val="32"/>
          <w:highlight w:val="none"/>
        </w:rPr>
      </w:pPr>
      <w:r>
        <w:rPr>
          <w:rFonts w:ascii="Times New Roman" w:hAnsi="Times New Roman" w:eastAsia="仿宋_GB2312" w:cs="仿宋_GB2312"/>
          <w:sz w:val="32"/>
          <w:szCs w:val="32"/>
          <w:highlight w:val="none"/>
        </w:rPr>
        <w:t>下一步改进措施：</w:t>
      </w:r>
      <w:r>
        <w:rPr>
          <w:rFonts w:ascii="Times New Roman" w:hAnsi="Times New Roman" w:eastAsia="仿宋_GB2312" w:cs="仿宋_GB2312"/>
          <w:b/>
          <w:bCs/>
          <w:sz w:val="32"/>
          <w:szCs w:val="32"/>
          <w:highlight w:val="none"/>
        </w:rPr>
        <w:t>一是</w:t>
      </w:r>
      <w:r>
        <w:rPr>
          <w:rFonts w:hint="eastAsia" w:ascii="Times New Roman" w:hAnsi="Times New Roman" w:eastAsia="仿宋_GB2312" w:cs="仿宋_GB2312"/>
          <w:sz w:val="32"/>
          <w:szCs w:val="32"/>
          <w:highlight w:val="none"/>
        </w:rPr>
        <w:t>深化预算精细化管理</w:t>
      </w:r>
      <w:r>
        <w:rPr>
          <w:rFonts w:hint="eastAsia" w:cs="仿宋_GB2312"/>
          <w:sz w:val="32"/>
          <w:szCs w:val="32"/>
          <w:highlight w:val="none"/>
          <w:lang w:eastAsia="zh-CN"/>
        </w:rPr>
        <w:t>：优化预算编制模式，摒弃单纯依托历史基数编报的方式，结合年度业务量、市场价格、设备耗材更新等实际情况科学测算预算，提升预算编制科学性、前瞻性。建立预算动态管控机制，定期梳理支出进度，加强财务与业务科室联动对接，规范申报流程，减少预算偏差及年中调剂，全面提升预算规范化、精细化管理水平</w:t>
      </w:r>
      <w:r>
        <w:rPr>
          <w:rFonts w:ascii="Times New Roman" w:hAnsi="Times New Roman" w:eastAsia="仿宋_GB2312" w:cs="仿宋_GB2312"/>
          <w:sz w:val="32"/>
          <w:szCs w:val="32"/>
          <w:highlight w:val="none"/>
        </w:rPr>
        <w:t>；</w:t>
      </w:r>
      <w:r>
        <w:rPr>
          <w:rFonts w:ascii="Times New Roman" w:hAnsi="Times New Roman" w:eastAsia="仿宋_GB2312" w:cs="仿宋_GB2312"/>
          <w:b/>
          <w:bCs/>
          <w:sz w:val="32"/>
          <w:szCs w:val="32"/>
          <w:highlight w:val="none"/>
        </w:rPr>
        <w:t>二是</w:t>
      </w:r>
      <w:r>
        <w:rPr>
          <w:rFonts w:hint="eastAsia" w:ascii="Times New Roman" w:hAnsi="Times New Roman" w:eastAsia="仿宋_GB2312" w:cs="仿宋_GB2312"/>
          <w:sz w:val="32"/>
          <w:szCs w:val="32"/>
          <w:highlight w:val="none"/>
        </w:rPr>
        <w:t>优化献血招募体系，稳步提升业务成效</w:t>
      </w:r>
      <w:r>
        <w:rPr>
          <w:rFonts w:hint="eastAsia" w:cs="仿宋_GB2312"/>
          <w:sz w:val="32"/>
          <w:szCs w:val="32"/>
          <w:highlight w:val="none"/>
          <w:lang w:eastAsia="zh-CN"/>
        </w:rPr>
        <w:t>：巩固现有献血资源，重点拓展社区、商圈、高校社会化常态化招募，优化献血人群结构。创新宣传方式，依托新媒体开展常态化、精准化科普宣传，扩大社会知晓度与参与度。立足客观实际科学制定年度工作目标，贴合行业发展现状稳步推进采供血业务提质增量，确保圆满完成年度工作任务；</w:t>
      </w:r>
      <w:r>
        <w:rPr>
          <w:rFonts w:ascii="Times New Roman" w:hAnsi="Times New Roman" w:eastAsia="仿宋_GB2312" w:cs="仿宋_GB2312"/>
          <w:b/>
          <w:bCs/>
          <w:sz w:val="32"/>
          <w:szCs w:val="32"/>
          <w:highlight w:val="none"/>
        </w:rPr>
        <w:t>三是</w:t>
      </w:r>
      <w:r>
        <w:rPr>
          <w:rFonts w:hint="eastAsia" w:ascii="Times New Roman" w:hAnsi="Times New Roman" w:eastAsia="仿宋_GB2312" w:cs="仿宋_GB2312"/>
          <w:sz w:val="32"/>
          <w:szCs w:val="32"/>
          <w:highlight w:val="none"/>
        </w:rPr>
        <w:t>健全专项资金对接推进机制</w:t>
      </w:r>
      <w:r>
        <w:rPr>
          <w:rFonts w:hint="eastAsia" w:cs="仿宋_GB2312"/>
          <w:sz w:val="32"/>
          <w:szCs w:val="32"/>
          <w:highlight w:val="none"/>
          <w:lang w:eastAsia="zh-CN"/>
        </w:rPr>
        <w:t>：建立专项资金常态化跟踪对接机制，专人对接上级主管及财政部门，实时跟进资金拨付、政策动态，提前预判资金缺口。强化资金统筹调度，合理做好自有资金兜底保障，实现专项资金与项目实施进度高效衔接，保障专项工作平稳有序开展。</w:t>
      </w:r>
    </w:p>
    <w:p w14:paraId="05CF5B46">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2"/>
          <w:szCs w:val="32"/>
        </w:rPr>
      </w:pPr>
      <w:r>
        <w:rPr>
          <w:rFonts w:hint="eastAsia" w:cs="楷体_GB2312"/>
          <w:b w:val="0"/>
          <w:bCs w:val="0"/>
          <w:sz w:val="32"/>
          <w:szCs w:val="32"/>
          <w:lang w:eastAsia="zh-CN"/>
        </w:rPr>
        <w:t>（三）</w:t>
      </w:r>
      <w:r>
        <w:rPr>
          <w:rFonts w:ascii="Times New Roman" w:hAnsi="Times New Roman" w:eastAsia="楷体_GB2312" w:cs="楷体_GB2312"/>
          <w:b w:val="0"/>
          <w:bCs w:val="0"/>
          <w:sz w:val="32"/>
          <w:szCs w:val="32"/>
        </w:rPr>
        <w:t>评价结果应用情况</w:t>
      </w:r>
    </w:p>
    <w:p w14:paraId="0C0EDC02">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根据 2025年度绩效自评结果，在后续预算编制中将绩效评价结果作为预算安排重要依据，优化支出结构，优先保障采供血核心业务，压减非必要一般性支出；完善专项资金内部管理制度，强化项目全过程跟踪监控，切实提升财政资金使用效益。</w:t>
      </w:r>
    </w:p>
    <w:p w14:paraId="216C54D6">
      <w:pPr>
        <w:pStyle w:val="2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黑体"/>
          <w:b w:val="0"/>
          <w:bCs/>
          <w:sz w:val="32"/>
          <w:szCs w:val="32"/>
          <w:lang w:eastAsia="zh-CN"/>
        </w:rPr>
      </w:pPr>
    </w:p>
    <w:p w14:paraId="05DE5651">
      <w:pPr>
        <w:pStyle w:val="2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eastAsia="黑体"/>
          <w:b w:val="0"/>
          <w:bCs/>
          <w:sz w:val="32"/>
          <w:szCs w:val="32"/>
        </w:rPr>
      </w:pPr>
      <w:r>
        <w:rPr>
          <w:rFonts w:hint="eastAsia" w:cs="黑体"/>
          <w:b w:val="0"/>
          <w:bCs/>
          <w:sz w:val="32"/>
          <w:szCs w:val="32"/>
          <w:lang w:eastAsia="zh-CN"/>
        </w:rPr>
        <w:t>第四章</w:t>
      </w:r>
      <w:r>
        <w:rPr>
          <w:rFonts w:hint="eastAsia" w:ascii="仿宋" w:hAnsi="仿宋" w:eastAsia="仿宋" w:cs="仿宋"/>
          <w:b w:val="0"/>
          <w:bCs/>
          <w:spacing w:val="-6"/>
          <w:kern w:val="44"/>
          <w:sz w:val="32"/>
          <w:szCs w:val="32"/>
          <w:lang w:eastAsia="zh-CN" w:bidi="ar-SA"/>
        </w:rPr>
        <w:t xml:space="preserve"> </w:t>
      </w:r>
      <w:r>
        <w:rPr>
          <w:rFonts w:ascii="黑体" w:hAnsi="黑体" w:eastAsia="黑体" w:cs="黑体"/>
          <w:b w:val="0"/>
          <w:bCs/>
          <w:sz w:val="32"/>
          <w:szCs w:val="32"/>
        </w:rPr>
        <w:t>名词解释</w:t>
      </w:r>
    </w:p>
    <w:p w14:paraId="6B29BCEC">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Style w:val="26"/>
          <w:rFonts w:hint="eastAsia"/>
          <w:lang w:eastAsia="zh-CN"/>
        </w:rPr>
      </w:pPr>
    </w:p>
    <w:p w14:paraId="10BD21F6">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2"/>
          <w:szCs w:val="32"/>
        </w:rPr>
      </w:pPr>
      <w:r>
        <w:rPr>
          <w:rStyle w:val="26"/>
          <w:rFonts w:hint="eastAsia"/>
          <w:lang w:eastAsia="zh-CN"/>
        </w:rPr>
        <w:t>1.</w:t>
      </w:r>
      <w:r>
        <w:rPr>
          <w:rFonts w:hint="eastAsia" w:ascii="仿宋" w:hAnsi="仿宋" w:eastAsia="仿宋" w:cs="仿宋"/>
          <w:spacing w:val="-6"/>
          <w:sz w:val="32"/>
          <w:szCs w:val="32"/>
          <w:lang w:eastAsia="zh-CN"/>
        </w:rPr>
        <w:t xml:space="preserve"> </w:t>
      </w:r>
      <w:r>
        <w:rPr>
          <w:rStyle w:val="26"/>
        </w:rPr>
        <w:t>部门决算</w:t>
      </w:r>
      <w:r>
        <w:rPr>
          <w:rFonts w:ascii="Times New Roman" w:hAnsi="Times New Roman" w:eastAsia="仿宋_GB2312" w:cs="仿宋_GB2312"/>
          <w:sz w:val="32"/>
          <w:szCs w:val="32"/>
        </w:rPr>
        <w:t>：是行政事业单位在年度终了，根据部门预算执行结果编制的综合财务报告，反映部门年度全部收支情况。</w:t>
      </w:r>
    </w:p>
    <w:p w14:paraId="661AF541">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2"/>
          <w:szCs w:val="32"/>
        </w:rPr>
      </w:pPr>
      <w:r>
        <w:rPr>
          <w:rStyle w:val="26"/>
          <w:rFonts w:hint="eastAsia"/>
          <w:lang w:eastAsia="zh-CN"/>
        </w:rPr>
        <w:t>2.</w:t>
      </w:r>
      <w:r>
        <w:rPr>
          <w:rFonts w:hint="eastAsia" w:ascii="仿宋" w:hAnsi="仿宋" w:eastAsia="仿宋" w:cs="仿宋"/>
          <w:spacing w:val="-6"/>
          <w:sz w:val="32"/>
          <w:szCs w:val="32"/>
          <w:lang w:eastAsia="zh-CN"/>
        </w:rPr>
        <w:t xml:space="preserve"> </w:t>
      </w:r>
      <w:r>
        <w:rPr>
          <w:rStyle w:val="26"/>
        </w:rPr>
        <w:t>财政拨款收入</w:t>
      </w:r>
      <w:r>
        <w:rPr>
          <w:rFonts w:ascii="Times New Roman" w:hAnsi="Times New Roman" w:eastAsia="仿宋_GB2312" w:cs="仿宋_GB2312"/>
          <w:sz w:val="32"/>
          <w:szCs w:val="32"/>
        </w:rPr>
        <w:t>：指本级财政当年拨付的资金。</w:t>
      </w:r>
    </w:p>
    <w:p w14:paraId="1E351A25">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2"/>
          <w:szCs w:val="32"/>
        </w:rPr>
      </w:pPr>
      <w:r>
        <w:rPr>
          <w:rStyle w:val="26"/>
          <w:rFonts w:hint="eastAsia"/>
          <w:lang w:eastAsia="zh-CN"/>
        </w:rPr>
        <w:t>3.</w:t>
      </w:r>
      <w:r>
        <w:rPr>
          <w:rFonts w:hint="eastAsia" w:ascii="仿宋" w:hAnsi="仿宋" w:eastAsia="仿宋" w:cs="仿宋"/>
          <w:spacing w:val="-6"/>
          <w:sz w:val="32"/>
          <w:szCs w:val="32"/>
          <w:lang w:eastAsia="zh-CN"/>
        </w:rPr>
        <w:t xml:space="preserve"> </w:t>
      </w:r>
      <w:r>
        <w:rPr>
          <w:rStyle w:val="26"/>
        </w:rPr>
        <w:t>事业收入</w:t>
      </w:r>
      <w:r>
        <w:rPr>
          <w:rFonts w:ascii="Times New Roman" w:hAnsi="Times New Roman" w:eastAsia="仿宋_GB2312" w:cs="仿宋_GB2312"/>
          <w:sz w:val="32"/>
          <w:szCs w:val="32"/>
        </w:rPr>
        <w:t>：指事业单位开展专业业务活动及其辅助活动取得的收入，本单位主要为采供血业务事业收入。</w:t>
      </w:r>
    </w:p>
    <w:p w14:paraId="6CD6F353">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2"/>
          <w:szCs w:val="32"/>
        </w:rPr>
      </w:pPr>
      <w:r>
        <w:rPr>
          <w:rStyle w:val="26"/>
          <w:rFonts w:hint="eastAsia"/>
          <w:lang w:eastAsia="zh-CN"/>
        </w:rPr>
        <w:t>4.</w:t>
      </w:r>
      <w:r>
        <w:rPr>
          <w:rFonts w:hint="eastAsia" w:ascii="仿宋" w:hAnsi="仿宋" w:eastAsia="仿宋" w:cs="仿宋"/>
          <w:spacing w:val="-6"/>
          <w:sz w:val="32"/>
          <w:szCs w:val="32"/>
          <w:lang w:eastAsia="zh-CN"/>
        </w:rPr>
        <w:t xml:space="preserve"> </w:t>
      </w:r>
      <w:r>
        <w:rPr>
          <w:rStyle w:val="26"/>
        </w:rPr>
        <w:t>基本支出</w:t>
      </w:r>
      <w:r>
        <w:rPr>
          <w:rFonts w:ascii="Times New Roman" w:hAnsi="Times New Roman" w:eastAsia="仿宋_GB2312" w:cs="仿宋_GB2312"/>
          <w:sz w:val="32"/>
          <w:szCs w:val="32"/>
        </w:rPr>
        <w:t>：指为保障机构正常运转、完成日常工作任务而发生的人员支出和公用支出。</w:t>
      </w:r>
    </w:p>
    <w:p w14:paraId="2BD39DC7">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2"/>
          <w:szCs w:val="32"/>
        </w:rPr>
      </w:pPr>
      <w:r>
        <w:rPr>
          <w:rStyle w:val="26"/>
          <w:rFonts w:hint="eastAsia"/>
          <w:lang w:eastAsia="zh-CN"/>
        </w:rPr>
        <w:t>5.</w:t>
      </w:r>
      <w:r>
        <w:rPr>
          <w:rFonts w:hint="eastAsia" w:ascii="仿宋" w:hAnsi="仿宋" w:eastAsia="仿宋" w:cs="仿宋"/>
          <w:spacing w:val="-6"/>
          <w:sz w:val="32"/>
          <w:szCs w:val="32"/>
          <w:lang w:eastAsia="zh-CN"/>
        </w:rPr>
        <w:t xml:space="preserve"> </w:t>
      </w:r>
      <w:r>
        <w:rPr>
          <w:rStyle w:val="26"/>
        </w:rPr>
        <w:t>项目支出</w:t>
      </w:r>
      <w:r>
        <w:rPr>
          <w:rFonts w:ascii="Times New Roman" w:hAnsi="Times New Roman" w:eastAsia="仿宋_GB2312" w:cs="仿宋_GB2312"/>
          <w:sz w:val="32"/>
          <w:szCs w:val="32"/>
        </w:rPr>
        <w:t>：指在基本支出之外为完成特定行政任务和事业发展目标所发生的支出。</w:t>
      </w:r>
    </w:p>
    <w:p w14:paraId="2D7F67CA">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2"/>
          <w:szCs w:val="32"/>
        </w:rPr>
      </w:pPr>
      <w:r>
        <w:rPr>
          <w:rStyle w:val="26"/>
          <w:rFonts w:hint="eastAsia"/>
          <w:lang w:eastAsia="zh-CN"/>
        </w:rPr>
        <w:t>6.</w:t>
      </w:r>
      <w:r>
        <w:rPr>
          <w:rFonts w:hint="eastAsia" w:ascii="仿宋" w:hAnsi="仿宋" w:eastAsia="仿宋" w:cs="仿宋"/>
          <w:spacing w:val="-6"/>
          <w:sz w:val="32"/>
          <w:szCs w:val="32"/>
          <w:lang w:eastAsia="zh-CN"/>
        </w:rPr>
        <w:t xml:space="preserve"> </w:t>
      </w:r>
      <w:r>
        <w:rPr>
          <w:rStyle w:val="26"/>
        </w:rPr>
        <w:t>“三公” 经费</w:t>
      </w:r>
      <w:r>
        <w:rPr>
          <w:rFonts w:ascii="Times New Roman" w:hAnsi="Times New Roman" w:eastAsia="仿宋_GB2312" w:cs="仿宋_GB2312"/>
          <w:sz w:val="32"/>
          <w:szCs w:val="32"/>
        </w:rPr>
        <w:t>：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2ABD3B66">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2"/>
          <w:szCs w:val="32"/>
        </w:rPr>
      </w:pPr>
      <w:r>
        <w:rPr>
          <w:rStyle w:val="26"/>
          <w:rFonts w:hint="eastAsia"/>
          <w:lang w:eastAsia="zh-CN"/>
        </w:rPr>
        <w:t>7.</w:t>
      </w:r>
      <w:r>
        <w:rPr>
          <w:rFonts w:hint="eastAsia" w:ascii="仿宋" w:hAnsi="仿宋" w:eastAsia="仿宋" w:cs="仿宋"/>
          <w:spacing w:val="-6"/>
          <w:sz w:val="32"/>
          <w:szCs w:val="32"/>
          <w:lang w:eastAsia="zh-CN"/>
        </w:rPr>
        <w:t xml:space="preserve"> </w:t>
      </w:r>
      <w:r>
        <w:rPr>
          <w:rStyle w:val="26"/>
        </w:rPr>
        <w:t>机关运行经费</w:t>
      </w:r>
      <w:r>
        <w:rPr>
          <w:rFonts w:ascii="Times New Roman" w:hAnsi="Times New Roman" w:eastAsia="仿宋_GB2312" w:cs="仿宋_GB2312"/>
          <w:sz w:val="32"/>
          <w:szCs w:val="32"/>
        </w:rPr>
        <w:t>：指行政单位及参公事业单位使用财政拨款安排的基本支出中的公用经费。本单位为公益一类事业单位，机关运行经费口径为本单位财政拨款基本支出公用经费。</w:t>
      </w:r>
    </w:p>
    <w:p w14:paraId="1FB24A60">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2"/>
          <w:szCs w:val="32"/>
        </w:rPr>
      </w:pPr>
      <w:r>
        <w:rPr>
          <w:rStyle w:val="26"/>
          <w:rFonts w:hint="eastAsia"/>
          <w:lang w:eastAsia="zh-CN"/>
        </w:rPr>
        <w:t>8.</w:t>
      </w:r>
      <w:r>
        <w:rPr>
          <w:rFonts w:hint="eastAsia" w:ascii="仿宋" w:hAnsi="仿宋" w:eastAsia="仿宋" w:cs="仿宋"/>
          <w:spacing w:val="-6"/>
          <w:sz w:val="32"/>
          <w:szCs w:val="32"/>
          <w:lang w:eastAsia="zh-CN"/>
        </w:rPr>
        <w:t xml:space="preserve"> </w:t>
      </w:r>
      <w:r>
        <w:rPr>
          <w:rStyle w:val="26"/>
        </w:rPr>
        <w:t>社会保障和就业支出（208）</w:t>
      </w:r>
      <w:r>
        <w:rPr>
          <w:rFonts w:ascii="Times New Roman" w:hAnsi="Times New Roman" w:eastAsia="仿宋_GB2312" w:cs="仿宋_GB2312"/>
          <w:sz w:val="32"/>
          <w:szCs w:val="32"/>
        </w:rPr>
        <w:t>：反映事业单位养老保险缴费、离退休人员补助等社会保障方面支出。</w:t>
      </w:r>
    </w:p>
    <w:p w14:paraId="2C3182FC">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sz w:val="32"/>
          <w:szCs w:val="32"/>
        </w:rPr>
      </w:pPr>
      <w:r>
        <w:rPr>
          <w:rStyle w:val="26"/>
          <w:rFonts w:hint="eastAsia"/>
          <w:lang w:eastAsia="zh-CN"/>
        </w:rPr>
        <w:t>9.</w:t>
      </w:r>
      <w:r>
        <w:rPr>
          <w:rFonts w:hint="eastAsia" w:ascii="仿宋" w:hAnsi="仿宋" w:eastAsia="仿宋" w:cs="仿宋"/>
          <w:spacing w:val="-6"/>
          <w:sz w:val="32"/>
          <w:szCs w:val="32"/>
          <w:lang w:eastAsia="zh-CN"/>
        </w:rPr>
        <w:t xml:space="preserve"> </w:t>
      </w:r>
      <w:r>
        <w:rPr>
          <w:rStyle w:val="26"/>
        </w:rPr>
        <w:t>卫生健康支出（210）</w:t>
      </w:r>
      <w:r>
        <w:rPr>
          <w:rFonts w:ascii="Times New Roman" w:hAnsi="Times New Roman" w:eastAsia="仿宋_GB2312" w:cs="仿宋_GB2312"/>
          <w:sz w:val="32"/>
          <w:szCs w:val="32"/>
        </w:rPr>
        <w:t>：反映采供血机构运行、医疗保障、公共卫生等卫生健康方面支出，其中 2100406 采供血机构为血站核心业务支出科目。</w:t>
      </w:r>
    </w:p>
    <w:p w14:paraId="51FC0FA2">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sz w:val="32"/>
          <w:szCs w:val="32"/>
        </w:rPr>
      </w:pPr>
      <w:r>
        <w:rPr>
          <w:rStyle w:val="26"/>
          <w:rFonts w:hint="eastAsia"/>
          <w:lang w:eastAsia="zh-CN"/>
        </w:rPr>
        <w:t>10.</w:t>
      </w:r>
      <w:r>
        <w:rPr>
          <w:rFonts w:hint="eastAsia" w:ascii="仿宋" w:hAnsi="仿宋" w:eastAsia="仿宋" w:cs="仿宋"/>
          <w:spacing w:val="-6"/>
          <w:sz w:val="32"/>
          <w:szCs w:val="32"/>
          <w:lang w:eastAsia="zh-CN"/>
        </w:rPr>
        <w:t xml:space="preserve"> </w:t>
      </w:r>
      <w:r>
        <w:rPr>
          <w:rStyle w:val="26"/>
        </w:rPr>
        <w:t>住房保障支出（221）</w:t>
      </w:r>
      <w:r>
        <w:rPr>
          <w:rFonts w:ascii="Times New Roman" w:hAnsi="Times New Roman" w:eastAsia="仿宋_GB2312" w:cs="仿宋_GB2312"/>
          <w:sz w:val="32"/>
          <w:szCs w:val="32"/>
        </w:rPr>
        <w:t>：反映事业单位住房公积金等住房改革方面支出。</w:t>
      </w:r>
    </w:p>
    <w:p w14:paraId="624D2963">
      <w:pPr>
        <w:pStyle w:val="14"/>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sz w:val="32"/>
          <w:szCs w:val="32"/>
        </w:rPr>
      </w:pPr>
    </w:p>
    <w:p w14:paraId="6C6159A2">
      <w:pPr>
        <w:pStyle w:val="24"/>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eastAsia="黑体"/>
          <w:b w:val="0"/>
          <w:bCs/>
          <w:sz w:val="32"/>
          <w:szCs w:val="32"/>
        </w:rPr>
      </w:pPr>
      <w:r>
        <w:rPr>
          <w:rFonts w:hint="eastAsia" w:cs="黑体"/>
          <w:b w:val="0"/>
          <w:bCs/>
          <w:sz w:val="32"/>
          <w:szCs w:val="32"/>
          <w:lang w:eastAsia="zh-CN"/>
        </w:rPr>
        <w:t>第五章</w:t>
      </w:r>
      <w:r>
        <w:rPr>
          <w:rFonts w:hint="eastAsia" w:ascii="仿宋" w:hAnsi="仿宋" w:eastAsia="仿宋" w:cs="仿宋"/>
          <w:b w:val="0"/>
          <w:bCs/>
          <w:spacing w:val="-6"/>
          <w:kern w:val="44"/>
          <w:sz w:val="32"/>
          <w:szCs w:val="32"/>
          <w:lang w:eastAsia="zh-CN" w:bidi="ar-SA"/>
        </w:rPr>
        <w:t xml:space="preserve"> </w:t>
      </w:r>
      <w:r>
        <w:rPr>
          <w:rFonts w:ascii="黑体" w:hAnsi="黑体" w:eastAsia="黑体" w:cs="黑体"/>
          <w:b w:val="0"/>
          <w:bCs/>
          <w:sz w:val="32"/>
          <w:szCs w:val="32"/>
        </w:rPr>
        <w:t>附 件</w:t>
      </w:r>
    </w:p>
    <w:p w14:paraId="65B6FDDB">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bookmarkStart w:id="0" w:name="_GoBack"/>
      <w:bookmarkEnd w:id="0"/>
    </w:p>
    <w:p w14:paraId="634D22C9">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hint="eastAsia" w:cs="仿宋_GB2312"/>
          <w:b w:val="0"/>
          <w:bCs w:val="0"/>
          <w:sz w:val="32"/>
          <w:szCs w:val="32"/>
          <w:lang w:val="en-US" w:eastAsia="zh-CN"/>
        </w:rPr>
        <w:t>附件1：</w:t>
      </w:r>
      <w:r>
        <w:rPr>
          <w:rFonts w:ascii="Times New Roman" w:hAnsi="Times New Roman" w:eastAsia="仿宋_GB2312" w:cs="仿宋_GB2312"/>
          <w:b w:val="0"/>
          <w:bCs w:val="0"/>
          <w:sz w:val="32"/>
          <w:szCs w:val="32"/>
        </w:rPr>
        <w:t>2025年度部门决算公开报表。</w:t>
      </w:r>
    </w:p>
    <w:p w14:paraId="208CCE68">
      <w:pPr>
        <w:pStyle w:val="14"/>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hint="eastAsia" w:cs="仿宋_GB2312"/>
          <w:b w:val="0"/>
          <w:bCs w:val="0"/>
          <w:sz w:val="32"/>
          <w:szCs w:val="32"/>
          <w:lang w:val="en-US" w:eastAsia="zh-CN"/>
        </w:rPr>
        <w:t>附件2：</w:t>
      </w:r>
      <w:r>
        <w:rPr>
          <w:rFonts w:ascii="Times New Roman" w:hAnsi="Times New Roman" w:eastAsia="仿宋_GB2312" w:cs="仿宋_GB2312"/>
          <w:b w:val="0"/>
          <w:bCs w:val="0"/>
          <w:sz w:val="32"/>
          <w:szCs w:val="32"/>
        </w:rPr>
        <w:t>2025年度怀化市中心血站整体支出绩效自评报告。</w:t>
      </w:r>
    </w:p>
    <w:p w14:paraId="707EDD86">
      <w:pPr>
        <w:pStyle w:val="14"/>
        <w:keepNext w:val="0"/>
        <w:keepLines w:val="0"/>
        <w:pageBreakBefore w:val="0"/>
        <w:widowControl w:val="0"/>
        <w:kinsoku/>
        <w:wordWrap/>
        <w:overflowPunct/>
        <w:topLinePunct w:val="0"/>
        <w:autoSpaceDE/>
        <w:autoSpaceDN/>
        <w:bidi w:val="0"/>
        <w:adjustRightInd/>
        <w:snapToGrid/>
        <w:ind w:left="0" w:leftChars="0" w:firstLine="616" w:firstLineChars="200"/>
        <w:textAlignment w:val="auto"/>
        <w:rPr>
          <w:rFonts w:ascii="Times New Roman" w:hAnsi="Times New Roman" w:eastAsia="仿宋_GB2312" w:cs="仿宋_GB2312"/>
          <w:b w:val="0"/>
          <w:bCs w:val="0"/>
          <w:sz w:val="32"/>
          <w:szCs w:val="32"/>
        </w:rPr>
      </w:pPr>
    </w:p>
    <w:p w14:paraId="6AF12807">
      <w:pPr>
        <w:pStyle w:val="14"/>
        <w:keepNext w:val="0"/>
        <w:keepLines w:val="0"/>
        <w:pageBreakBefore w:val="0"/>
        <w:widowControl w:val="0"/>
        <w:kinsoku/>
        <w:wordWrap/>
        <w:overflowPunct/>
        <w:topLinePunct w:val="0"/>
        <w:autoSpaceDE/>
        <w:autoSpaceDN/>
        <w:bidi w:val="0"/>
        <w:adjustRightInd/>
        <w:snapToGrid/>
        <w:textAlignment w:val="auto"/>
      </w:pPr>
    </w:p>
    <w:sectPr>
      <w:headerReference r:id="rId7" w:type="default"/>
      <w:footerReference r:id="rId9" w:type="default"/>
      <w:headerReference r:id="rId8" w:type="even"/>
      <w:footerReference r:id="rId10" w:type="even"/>
      <w:pgSz w:w="11906" w:h="16838"/>
      <w:pgMar w:top="2098" w:right="1474" w:bottom="1984" w:left="1587" w:header="851" w:footer="1417" w:gutter="0"/>
      <w:pgNumType w:fmt="decimal" w:start="1"/>
      <w:cols w:space="425"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8D83C">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89EA3">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4E36C">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5776B">
                          <w:pPr>
                            <w:pStyle w:val="1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6745776B">
                    <w:pPr>
                      <w:pStyle w:val="1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80CCB">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D6DD8">
                          <w:pPr>
                            <w:pStyle w:val="1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744D6DD8">
                    <w:pPr>
                      <w:pStyle w:val="1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4FAF9">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4A410">
    <w:pPr>
      <w:pStyle w:val="1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14C7A"/>
    <w:rsid w:val="047B14FB"/>
    <w:rsid w:val="05B44CC5"/>
    <w:rsid w:val="070E48A8"/>
    <w:rsid w:val="0768045D"/>
    <w:rsid w:val="07C17B6D"/>
    <w:rsid w:val="07F41CF0"/>
    <w:rsid w:val="0A5D3B7D"/>
    <w:rsid w:val="0B867103"/>
    <w:rsid w:val="0EF16F8A"/>
    <w:rsid w:val="10376533"/>
    <w:rsid w:val="127C4DBC"/>
    <w:rsid w:val="14156350"/>
    <w:rsid w:val="146B50E8"/>
    <w:rsid w:val="16AA639C"/>
    <w:rsid w:val="180F659E"/>
    <w:rsid w:val="1CF864FE"/>
    <w:rsid w:val="1E7D5A79"/>
    <w:rsid w:val="1EE00481"/>
    <w:rsid w:val="22DA1DB7"/>
    <w:rsid w:val="22FB3ADB"/>
    <w:rsid w:val="23D700A4"/>
    <w:rsid w:val="240D3AC6"/>
    <w:rsid w:val="26355556"/>
    <w:rsid w:val="2ABC6246"/>
    <w:rsid w:val="2BB544F6"/>
    <w:rsid w:val="2D0A7CF1"/>
    <w:rsid w:val="2DC21DC5"/>
    <w:rsid w:val="2E051061"/>
    <w:rsid w:val="2E382087"/>
    <w:rsid w:val="2FB475A5"/>
    <w:rsid w:val="30FE2DDD"/>
    <w:rsid w:val="34967B08"/>
    <w:rsid w:val="34A57D4B"/>
    <w:rsid w:val="3A900B55"/>
    <w:rsid w:val="3CA055CA"/>
    <w:rsid w:val="3D2346BE"/>
    <w:rsid w:val="42815953"/>
    <w:rsid w:val="4286740D"/>
    <w:rsid w:val="43AE09CA"/>
    <w:rsid w:val="441F3676"/>
    <w:rsid w:val="442E1B0B"/>
    <w:rsid w:val="445A2900"/>
    <w:rsid w:val="45617CBE"/>
    <w:rsid w:val="46C027C2"/>
    <w:rsid w:val="48AC6673"/>
    <w:rsid w:val="4A8F2BD7"/>
    <w:rsid w:val="4CAD3F26"/>
    <w:rsid w:val="4D2910C1"/>
    <w:rsid w:val="4EB946C7"/>
    <w:rsid w:val="4F8017B6"/>
    <w:rsid w:val="551E5284"/>
    <w:rsid w:val="55254864"/>
    <w:rsid w:val="559353B9"/>
    <w:rsid w:val="56290C6C"/>
    <w:rsid w:val="57607DD5"/>
    <w:rsid w:val="59484FC5"/>
    <w:rsid w:val="5A767910"/>
    <w:rsid w:val="5B865988"/>
    <w:rsid w:val="5C5158DC"/>
    <w:rsid w:val="5DDD766F"/>
    <w:rsid w:val="5FCF78A6"/>
    <w:rsid w:val="60E07891"/>
    <w:rsid w:val="62955913"/>
    <w:rsid w:val="6546685C"/>
    <w:rsid w:val="657F58CB"/>
    <w:rsid w:val="65ED6CD8"/>
    <w:rsid w:val="66A10FD3"/>
    <w:rsid w:val="6829320C"/>
    <w:rsid w:val="69693EF0"/>
    <w:rsid w:val="697F08D0"/>
    <w:rsid w:val="6AA47B81"/>
    <w:rsid w:val="6AAA163C"/>
    <w:rsid w:val="6DCA5B51"/>
    <w:rsid w:val="6F4638FD"/>
    <w:rsid w:val="70E138DD"/>
    <w:rsid w:val="71706DFB"/>
    <w:rsid w:val="76B92C06"/>
    <w:rsid w:val="78FE2B52"/>
    <w:rsid w:val="79E63D12"/>
    <w:rsid w:val="7AEC35AA"/>
    <w:rsid w:val="7E663674"/>
    <w:rsid w:val="7F10710D"/>
    <w:rsid w:val="7F6D4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5">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6">
    <w:name w:val="heading 2"/>
    <w:next w:val="1"/>
    <w:link w:val="25"/>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7">
    <w:name w:val="heading 3"/>
    <w:next w:val="1"/>
    <w:link w:val="26"/>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8">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9">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10">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11">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12">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3">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21">
    <w:name w:val="Default Paragraph Font"/>
    <w:semiHidden/>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14">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5">
    <w:name w:val="footer"/>
    <w:basedOn w:val="1"/>
    <w:uiPriority w:val="0"/>
    <w:pPr>
      <w:tabs>
        <w:tab w:val="center" w:pos="4153"/>
        <w:tab w:val="right" w:pos="8306"/>
      </w:tabs>
      <w:snapToGrid w:val="0"/>
      <w:jc w:val="left"/>
    </w:pPr>
    <w:rPr>
      <w:sz w:val="18"/>
    </w:rPr>
  </w:style>
  <w:style w:type="paragraph" w:styleId="1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8">
    <w:name w:val="Normal (Web)"/>
    <w:basedOn w:val="1"/>
    <w:uiPriority w:val="0"/>
    <w:pPr>
      <w:spacing w:before="0" w:beforeAutospacing="1" w:after="0" w:afterAutospacing="1"/>
      <w:ind w:left="0" w:right="0"/>
      <w:jc w:val="left"/>
    </w:pPr>
    <w:rPr>
      <w:kern w:val="0"/>
      <w:sz w:val="24"/>
      <w:lang w:val="en-US" w:eastAsia="zh-CN" w:bidi="ar"/>
    </w:rPr>
  </w:style>
  <w:style w:type="paragraph" w:styleId="19">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22">
    <w:name w:val="Strong"/>
    <w:basedOn w:val="21"/>
    <w:qFormat/>
    <w:uiPriority w:val="0"/>
    <w:rPr>
      <w:b/>
    </w:rPr>
  </w:style>
  <w:style w:type="character" w:styleId="23">
    <w:name w:val="Emphasis"/>
    <w:basedOn w:val="21"/>
    <w:qFormat/>
    <w:uiPriority w:val="0"/>
    <w:rPr>
      <w:i/>
    </w:rPr>
  </w:style>
  <w:style w:type="paragraph" w:customStyle="1" w:styleId="24">
    <w:name w:val="章标题"/>
    <w:next w:val="1"/>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25">
    <w:name w:val="标题 2 Char"/>
    <w:link w:val="6"/>
    <w:uiPriority w:val="0"/>
    <w:rPr>
      <w:rFonts w:ascii="Times New Roman" w:hAnsi="Times New Roman" w:eastAsia="楷体_GB2312" w:cs="楷体_GB2312"/>
      <w:sz w:val="32"/>
      <w:szCs w:val="32"/>
    </w:rPr>
  </w:style>
  <w:style w:type="character" w:customStyle="1" w:styleId="26">
    <w:name w:val="标题 3 Char"/>
    <w:link w:val="7"/>
    <w:uiPriority w:val="0"/>
    <w:rPr>
      <w:rFonts w:ascii="Times New Roman" w:hAnsi="Times New Roman" w:eastAsia="仿宋_GB2312" w:cs="仿宋_GB2312"/>
      <w:sz w:val="32"/>
      <w:szCs w:val="32"/>
    </w:rPr>
  </w:style>
  <w:style w:type="paragraph" w:customStyle="1" w:styleId="2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725</Words>
  <Characters>733</Characters>
  <Lines>0</Lines>
  <Paragraphs>0</Paragraphs>
  <TotalTime>1</TotalTime>
  <ScaleCrop>false</ScaleCrop>
  <LinksUpToDate>false</LinksUpToDate>
  <CharactersWithSpaces>745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2026-09-15T03:26:00Z</dcterms:created>
  <dc:creator>Administrator</dc:creator>
  <cp:lastModifiedBy>宽粉部落</cp:lastModifiedBy>
  <dcterms:modified xsi:type="dcterms:W3CDTF">2026-09-22T02:06:26Z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eyJoZGlkIjoiM2JjZDM3ZGY3MzVmMzdiYWQ0NDI3NzJlNzg1NTk1OWEiLCJ1c2VySWQiOiIzMzM5NzExMjIifQ==</vt:lpwstr>
  </property>
  <property fmtid="{D5CDD505-2E9C-101B-9397-08002B2CF9AE}" pid="4" name="ICV">
    <vt:lpwstr>302D7019E29140F3A3F48CE71055AA2B_12</vt:lpwstr>
  </property>
</Properties>
</file>