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6B26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附件1</w:t>
      </w:r>
    </w:p>
    <w:p w14:paraId="3C97A12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061C4A5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bookmarkEnd w:id="0"/>
    </w:p>
    <w:p w14:paraId="708D57D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1200" w:firstLineChars="3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  <w:t>2025年度怀化市卫生计生综合监督</w:t>
      </w:r>
    </w:p>
    <w:p w14:paraId="54C3D5B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1200" w:firstLineChars="3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  <w:t xml:space="preserve">  </w:t>
      </w:r>
    </w:p>
    <w:p w14:paraId="6323504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1200" w:firstLineChars="3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  <w:t xml:space="preserve">  执法局 部门（单位）整体支出</w:t>
      </w:r>
    </w:p>
    <w:p w14:paraId="5AD8FC5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</w:p>
    <w:p w14:paraId="0790C8D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  <w:t>绩效自评报告</w:t>
      </w:r>
    </w:p>
    <w:p w14:paraId="3EB9AEA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</w:p>
    <w:p w14:paraId="7445C23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</w:p>
    <w:p w14:paraId="7F33D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D2BB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23739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2CF4C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3271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BD7E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0F99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0A5B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0C2B4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AAD8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C39C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</w:p>
    <w:p w14:paraId="02E27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</w:p>
    <w:p w14:paraId="585AD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0C39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 xml:space="preserve">             单位名称（盖章）：</w:t>
      </w:r>
    </w:p>
    <w:p w14:paraId="5BF93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1F16B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一、部门概况</w:t>
      </w:r>
    </w:p>
    <w:p w14:paraId="0B4EC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（一）部门（单位）基本情况。</w:t>
      </w:r>
    </w:p>
    <w:p w14:paraId="15C7282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机构设置情况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。</w:t>
      </w:r>
    </w:p>
    <w:p w14:paraId="3749B49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设置公共场所卫生监督科、食品安全科、职业与放射卫生监督科、医疗机构执业监督科、传染病防治与学校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卫生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监督科、稽查科、受理发证科、办公室、人事科9个职能科室。</w:t>
      </w:r>
    </w:p>
    <w:p w14:paraId="349E5DE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人员编制情况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。</w:t>
      </w:r>
    </w:p>
    <w:p w14:paraId="1C5571D8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怀化市卫生计生综合监督执法局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参照公务员法管理事业单位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事业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编制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54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个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2025年年末在职人员40人，较上年减少3人，主要原因是：调出2人，退休1人；退休人员33人，与上年持平，主要原因是：退休1人、病故1人。</w:t>
      </w:r>
    </w:p>
    <w:p w14:paraId="4A828EE4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主要职能职责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。</w:t>
      </w:r>
    </w:p>
    <w:p w14:paraId="7FE5EC2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实施卫生计生专项整治和日常监督检查；对公共场所卫生、生活饮用水卫生、学校卫生及消毒产品和涉及饮用水卫生安全产品进行监督检查；对医疗机构、采供血机构及其从业人员的执业活动进行监督检查，查处违法行为；打击非法行医和非法采供血；整顿和规范医疗服务秩序；对医疗卫生机构的放射诊疗、职业健康检查和职业病诊断工作进行监督检查，查处违法行为；对医疗机构、采供血机构、疾病预防控制机构的传染病疫情报告、疫情控制措施、消毒隔离制度执行情况、医疗废物处置情况和菌（毒）种管理情况等进行监督检查，查处违法行为；对母婴保健机构、计划生育技术服务机构服务内容和从业人员的行为规范进行监督，依法打击“两非”行为，做好计划生育违法违纪案件的督查督办；行政区域内卫生计生监督信息的收集、核实和上报；受理对违法行为的投诉、举报；开展卫生计生法律法规宣传教育和执法检查；完成卫生计生行政部门、中医药管理部门交办的食品安全、中医药监督等相关工作及职责范围内的工作。</w:t>
      </w:r>
    </w:p>
    <w:p w14:paraId="4559ACE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绩效目标设定情况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。</w:t>
      </w:r>
    </w:p>
    <w:p w14:paraId="5D3CB72A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年度总目标为：提高政治站位，持续加强政治机关建设；突出工作重点，持续推进卫生监督事业发展；盯紧干部队伍素质建设，提高卫生执法水平。　</w:t>
      </w:r>
    </w:p>
    <w:p w14:paraId="42FF9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（二）部门（单位）整体支出规模、使用方向和主要内容、涉及范围等。</w:t>
      </w:r>
    </w:p>
    <w:p w14:paraId="440DF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  2025年资金年初预算总额802.59万元，全年调整后预算851.75万元，全年实际执行总支出833.82万元，预算执行率97.89%。资金来源按收入性质分为：一般公共预算832.12万元；其他资金1.70万元；无政府性基金拨款、纳入专户管理的非税收入拨款。总支出按支出性质分为：基本支出799.59万元；项目支出34.23万元。</w:t>
      </w:r>
    </w:p>
    <w:p w14:paraId="174BB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资金严格按照本单位财务管理制度管理，落实“先审批、后支付”流程，经业务申报、财务审核、领导分级审批后方可列支。</w:t>
      </w:r>
    </w:p>
    <w:p w14:paraId="1F950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二、一般公共预算支出情况</w:t>
      </w:r>
    </w:p>
    <w:p w14:paraId="6A023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（一）基本支出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3A9BCB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1.基本支出的主要用途及列支范围。</w:t>
      </w:r>
    </w:p>
    <w:p w14:paraId="5E98E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2025年本单位基本支出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决算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总额799.59万元，主要用于保障局本级各科室日常运转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和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常态化卫生监督履职，分为人员经费、一般商品和服务支出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（公用经费）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两大列支范围。</w:t>
      </w:r>
    </w:p>
    <w:p w14:paraId="7BC888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人员经费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决算916.9万元，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用于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在职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人员基本工资、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奖金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、养老保险、医疗保险、住房公积金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、退休人员独生子女奖励金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等；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公用经费决算82.68万元，包含办公费1.52万元、水电差旅费3.46万元，无会议、培训经费支出，全部用于单位日常运转消耗。</w:t>
      </w:r>
    </w:p>
    <w:p w14:paraId="4F333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2.基本支出的资金管理及“三公”经费管理情况。</w:t>
      </w:r>
    </w:p>
    <w:p w14:paraId="1172E8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2025年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基本支出总额799.59万元，全部严格遵照财政财务相关规定及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单位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内部财务管理制度实施全流程管控。资金拨付依托预算一体化系统线上办理，全程留痕可追溯，严格区分人员经费、日常运转经费使用边界，账务核算规范完整，定期开展内部支出自查，保障资金使用合规、高效。</w:t>
      </w:r>
    </w:p>
    <w:p w14:paraId="232CC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2025年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三公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经费决算支出合计5.47万元，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部门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初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预算13.62万元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（其中财政拨款预算6.73万元）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，执行规模明显低于预算，其中公务用车运行维护费5.24万元、公务接待费0.23万元，未发生公车购置、因公出国（境）支出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。本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单位对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三公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经费实行预算限额刚性管控，公务出行、接待活动均履行事前报备审批手续，公务车辆统一调度、定点维保加油，从严规范接待标准、压缩非必要接待开支，持续落实厉行节约要求。</w:t>
      </w:r>
    </w:p>
    <w:p w14:paraId="67638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（二）项目支出</w:t>
      </w:r>
    </w:p>
    <w:p w14:paraId="080E5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项目资金（包括财政资金、自筹资金等）安排落实、总投入等情况分析。</w:t>
      </w:r>
    </w:p>
    <w:p w14:paraId="100D1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2025年本单位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项目资金全部为财政预算资金，无单位自筹配套资金，分为本级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项目资金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、中央及省级转移支付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资金两类。2024年项目决算132.19万元；2025年本级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年初预算63.50万元，较上年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经费规模大幅压减；2025年项目决算34.23万元，其中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：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本级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30.68万元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；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上级转移支付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3.55万元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；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2024年原有创卫专项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、医疗服务与保障能力提升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2025年未安排预算，无资金支出。</w:t>
      </w:r>
    </w:p>
    <w:p w14:paraId="1F94C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项目资金（主要指财政资金）实际使用情况分析。</w:t>
      </w:r>
    </w:p>
    <w:p w14:paraId="39009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2025年本级7项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实际支出合计30.68万元，明细为：2025年“双随机、一公开”监管2.62万元、2025年安全饮水监督执法3.50万元、2025年创建经费4.05万元、2025年医疗卫生行业综合监督8.05万元、2025年职业健康监督执法2.84万元、2025年医疗污水及医疗废物监督执法4.39万元、2025年卫生监督综合（运转类）5.23万元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中央、省级转移支付资金支出3.55万元，其中公共卫生项目3.08万元、重大传染病防控0.47万元，全年项目总支出34.23万元。</w:t>
      </w:r>
    </w:p>
    <w:p w14:paraId="6AB82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资金重点保障一线执法、综合运转等刚性需求，缩减非必要宣传培训支出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支撑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卫生监督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各领域监督检查、投诉处置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1D04E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项目资金管理情况分析，主要包括管理制度、办法的制订及执行情况。</w:t>
      </w:r>
    </w:p>
    <w:p w14:paraId="62B01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本单位对本级项目资金、中央及省级转移支付项目资金实行分项目单独建账核算，清晰区分各项目资金使用边界，严禁不同项目资金随意调剂混用。全部项目资金依托预算一体化系统办理支付，严格落实业务申报、财务审核、分级审批流程。财务按月分项目跟踪支出进度，定期开展项目资金内部自查。</w:t>
      </w:r>
    </w:p>
    <w:p w14:paraId="47AF9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三、项目组织实施情况</w:t>
      </w:r>
    </w:p>
    <w:p w14:paraId="70967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（一）项目组织情况分析，主要包括项目招投标、调整、竣工验收等情况。</w:t>
      </w:r>
    </w:p>
    <w:p w14:paraId="2CC23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本单位所有项目均无大额工程类采购，不涉及招投标；若无特殊政策要求，年度内不调整项目任务；涉及小额设备、耗材采购验收工作，由业务使用科室联合办公室相关人员共同完成联合验收。</w:t>
      </w:r>
    </w:p>
    <w:p w14:paraId="4E7AE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（二）项目管理情况分析，主要包括项目管理制度建设、日常检查监督管理等情况。</w:t>
      </w:r>
    </w:p>
    <w:p w14:paraId="0F5639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项目管理按照我局《项目支出绩效管理制度》、《财务管理制度》和《政府采购内部控制管理制度》执行，项目运行半年时进行绩效监控，推进项目实施。</w:t>
      </w:r>
    </w:p>
    <w:p w14:paraId="6681E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四、资产管理情况</w:t>
      </w:r>
    </w:p>
    <w:p w14:paraId="37EC3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（一）资产的配置情况。</w:t>
      </w:r>
    </w:p>
    <w:p w14:paraId="76788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2025年本单位严格遵循厉行节约、按需配置原则，全年未新增配置固定资产与无形资产，全部日常执法、办公等工作依托存量现有资产保障运转，资产配置贴合单位履职实际需求，无超标准、超预算购置资产行为。</w:t>
      </w:r>
    </w:p>
    <w:p w14:paraId="4CB2D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（二）资产的管理情况。</w:t>
      </w:r>
    </w:p>
    <w:p w14:paraId="7A622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单位已建立完善固定资产内部管理制度，明确资产登记、领用、盘点、保管全流程管理要求。定期开展资产全面盘点，对车辆、办公设备、执法仪器等存量资产分类建立台账，做到一物一卡、账实相符；规范资产日常领用归还流程，落实资产使用保管责任人，强化日常管护，有效提升现有资产使用效率，保障卫生监督各项业务正常开展。</w:t>
      </w:r>
    </w:p>
    <w:p w14:paraId="6AD20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（三）资产的处置情况。</w:t>
      </w:r>
    </w:p>
    <w:p w14:paraId="57D55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2025年本单位未发生固定资产、无形资产报废、转让、调拨等资产处置行为。若后续存在资产处置需求，将严格按照行政事业单位资产处置管理规定，履行申报、审核、备案全流程规范程序，确保资产处置合规有序。</w:t>
      </w:r>
    </w:p>
    <w:p w14:paraId="7C2AA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五、政府性基金预算支出情况</w:t>
      </w:r>
    </w:p>
    <w:p w14:paraId="5152C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无政府性基金预算收支。</w:t>
      </w:r>
    </w:p>
    <w:p w14:paraId="34886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六、国有资本经营预算支出情况</w:t>
      </w:r>
    </w:p>
    <w:p w14:paraId="4345F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无国有资本经营预算支出。</w:t>
      </w:r>
    </w:p>
    <w:p w14:paraId="3844A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七、社会保险基金预算支出情况</w:t>
      </w:r>
    </w:p>
    <w:p w14:paraId="22CC3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无社会保险基金预算支出。</w:t>
      </w:r>
    </w:p>
    <w:p w14:paraId="387AC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八、部门整体支出绩效情况</w:t>
      </w:r>
    </w:p>
    <w:p w14:paraId="56EEF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2025年本单位整体支出管理工作严格遵循财政预算管理相关要求，紧扣运行成本、产出效能、综合效益、服务对象满意度四大核心维度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，结合绩效自评表量化指标开展全方位自评，总分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96.79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分，整体绩效达到年度预期。</w:t>
      </w:r>
    </w:p>
    <w:p w14:paraId="17982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（一）预算资金与绩效目标总体概况。</w:t>
      </w:r>
    </w:p>
    <w:p w14:paraId="32E97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全年预算总支出833.82万元，执行率97.89%，得分9.79分。全部可用预算指标均规范足额使用，虽部分项目资金指标未解冻、对应业务费用暂未支出，但全年既定监督任务全部按期完成，量化产出指标基本达标，财政资金有效筑牢辖区公共卫生安全防线，民生保障效益突出。</w:t>
      </w:r>
    </w:p>
    <w:p w14:paraId="063501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（二）四大维度绩效综合评价。</w:t>
      </w:r>
    </w:p>
    <w:p w14:paraId="16376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1. 运行成本管控合理（成本指标满分20分，得分20分）。</w:t>
      </w:r>
    </w:p>
    <w:p w14:paraId="7B568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整体支出成本指标目标≤802.59万元（年初预算），因年度预算追加，实际支出833.82万元，未超过调整后全年预算851.75万元，指标得分10分；社会成本、生态成本节约率均达标，各得5分。资金优先保障一线外勤、监督执法刚性支出，严控宣传、接待等非必要开支；全年零新增资产购置，依托存量资产开展工作，持续压减运行成本，厉行节约措施落实到位。</w:t>
      </w:r>
    </w:p>
    <w:p w14:paraId="63CFE0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2. 产出效能充分发挥（产出指标满分30分，得分27分）。  </w:t>
      </w:r>
    </w:p>
    <w:p w14:paraId="3F8EDA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（1）数量指标：“六大”卫生监督、综合监督执法、“双随机、一公开”抽查、宣传活动均完成年度目标；公共场所量化分级评定目标≥200家，实际完成242家；投诉举报目标≥5起，实际受理9起；专项执法行动目标≥2次，实际0次，扣3分，偏差原因为2025年上级未统一安排专项执法行动，后续将优化年度绩效指标设置。</w:t>
      </w:r>
    </w:p>
    <w:p w14:paraId="74B561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（2）质量指标：行业监督覆盖率目标≥85%，实际100%；安全隐患整改率目标100%，实际100%，全部达标。</w:t>
      </w:r>
    </w:p>
    <w:p w14:paraId="14E29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（3）时效指标：全年全部监督任务于2025年12月31日前按期完成，时效达标。</w:t>
      </w:r>
    </w:p>
    <w:p w14:paraId="6C569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虽部分业务开支受指标解冻限制暂未列支，但公共场所、饮用水、医疗机构、职业卫生、传染病防控等全领域日常监管、抽样检测、经营主体指导工作全部落地，圆满完成年度行业监管履职任务。</w:t>
      </w:r>
    </w:p>
    <w:p w14:paraId="7ADD7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3.综合社会效益显著（效益指标满分30分，得分30分）。</w:t>
      </w:r>
    </w:p>
    <w:p w14:paraId="689FE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（1）经济效益：有效降低公共卫生突发事件发生概率，减少突发公共卫生事件对区域经济冲击，成效明显；</w:t>
      </w:r>
    </w:p>
    <w:p w14:paraId="029DA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（2）社会效益：全覆盖排查公共卫生风险隐患，规范经营主体卫生管理，守住群众饮水、就医、食品卫生安全底线，切实保障群众身体健康；</w:t>
      </w:r>
    </w:p>
    <w:p w14:paraId="2371F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（3）生态效益：规范医疗污水、医疗废物处置监管，降低环境污染风险，生态保障效果明显；</w:t>
      </w:r>
    </w:p>
    <w:p w14:paraId="43C1A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（4）可持续影响：常态化开展执法培训、行业宣教，经营主体、从业人员卫生安全意识持续提升，长效监管机制运行稳定。</w:t>
      </w:r>
    </w:p>
    <w:p w14:paraId="59022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4. 服务对象满意度良好（满意度指标满分10分，得分10分）。</w:t>
      </w:r>
    </w:p>
    <w:p w14:paraId="2100A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年度社会公众满意度目标≥95%，实际完成96%。通过走访商户、群众反馈摸排，经营主体对现场监督、整改帮扶认可度高，群众对公共卫生安全保障成效评价良好，服务满意度达标。</w:t>
      </w:r>
    </w:p>
    <w:p w14:paraId="41BFF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综合评价：2025年部门预算资金匹配卫生监督履职需求，整体支出绩效、各项目实施绩效均达到年度预期，财政资金使用效益充分释放。</w:t>
      </w:r>
    </w:p>
    <w:p w14:paraId="7943E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九、存在的问题及原因分析</w:t>
      </w:r>
    </w:p>
    <w:p w14:paraId="13D49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 项目预算执行整体偏低，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经费压减明显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32904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2024年项目支出132.19万元，2025年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预算仅63.50万元，实际支出3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4.23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万元，预算执行不足5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%。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主要原因：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一是市级财政统筹收紧，大幅压减卫生监督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预算规模；二是原有创卫、医疗服务提升等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取消，减少固定经费来源；三是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资金受全市资金调度管控，部分指标全年未解冻，已开展业务产生的费用无法及时列支，资金使用时效滞后。</w:t>
      </w:r>
    </w:p>
    <w:p w14:paraId="4D4FD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绩效产出指标设置与上级工作安排不匹配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476C0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年度设置“开展专项执法行动≥2次”指标，但2025年上级未统一部署专项执法任务，导致该项指标未完成，反映年初绩效指标编制时未充分结合年度上级工作统筹计划，指标合理性不足。</w:t>
      </w:r>
    </w:p>
    <w:p w14:paraId="71997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（三）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 政府采购预算编制偏差较大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6B5A8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2025年政府采购年初预算5.81万元，实际采购支出27.29万元，预算编制未充分预判全年执法耗材、抽检物资采购需求，预算测算精细化程度不足。</w:t>
      </w:r>
    </w:p>
    <w:p w14:paraId="24632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（四）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资产无更新补充，设备存在老化风险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116FC2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2024年单位集中采购新增一批执法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检测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设备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，现有执法装备可充分满足当前日常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监督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、现场抽样检查工作需求，暂不影响卫生监督执法业务开展。但单位存量办公设备普遍使用年限较久，受年度预算资金统筹压减、资产配置经费不足制约，老旧电脑、打印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机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等办公设备未能按安可替代政策完成更新替换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4F0F7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十、下一步改进措施</w:t>
      </w:r>
    </w:p>
    <w:p w14:paraId="736E1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（一）强化预算编制精准化，提升项目资金执行效率。</w:t>
      </w:r>
    </w:p>
    <w:p w14:paraId="4A9A3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下一年度编制预算前，全面梳理全年监督执法工作任务，细化各项目经费测算依据，据实申报本级项目预算；合理规划采购需求，精准测算政府采购预算，缩小预算与实际支出偏差。</w:t>
      </w:r>
    </w:p>
    <w:p w14:paraId="03468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（二）科学优化绩效指标体系。</w:t>
      </w:r>
    </w:p>
    <w:p w14:paraId="1DE4A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编制下年度绩效目标时，充分对接上级年度卫生监督工作方案，结合历年工作实际设置量化指标，取消与上级工作安排冲突的刚性指标，增设弹性监督指标；年中绩效监控阶段动态跟踪指标完成进度，对无法落地的指标提前调整，保障绩效指标贴合实际履职情况。</w:t>
      </w:r>
    </w:p>
    <w:p w14:paraId="6D364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（三）统筹资产更新配置，夯实长效监管基础。</w:t>
      </w:r>
    </w:p>
    <w:p w14:paraId="0866F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全面盘点现有执法设备使用状况，梳理老化、损坏仪器清单，在下年度预算中申报必要执法设备购置经费；持续落实资产常态化盘点制度，最大化盘活存量资产，同步规范资产领用、维保流程，延长设备使用寿命。</w:t>
      </w:r>
    </w:p>
    <w:p w14:paraId="6A2EB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十一、绩效自评结果拟应用和公开情况</w:t>
      </w:r>
    </w:p>
    <w:p w14:paraId="05028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（一）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自评结果应用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7C576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将本次整体支出绩效自评结果作为2026年部门预算编制、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经费申报、绩效目标设定的核心依据；针对本次自评发现的预算执行、指标设置、资产管理短板，压实各科室项目管理、资金使用主体责任。</w:t>
      </w:r>
    </w:p>
    <w:p w14:paraId="3FEC53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（二）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公开安排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660FF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严格按照财政部门绩效信息公开工作要求，将本整体支出绩效自评报告、配套基础数据表、整体支出自评表、各项目支出自评表，在政务公开专栏统一对外公开，主动接受社会公众监督，公开内容完整、数据真实可追溯。</w:t>
      </w:r>
    </w:p>
    <w:p w14:paraId="2733D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十二、其他需要说明的情况</w:t>
      </w:r>
    </w:p>
    <w:p w14:paraId="0B257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整体支出报告需要以下附件：</w:t>
      </w:r>
    </w:p>
    <w:p w14:paraId="28AC6E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1.部门整体支出绩效评价基础数据表</w:t>
      </w:r>
    </w:p>
    <w:p w14:paraId="54EE27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2.部门整体支出绩效自评表</w:t>
      </w:r>
    </w:p>
    <w:p w14:paraId="3DF12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3.项目支出绩效自评表（每个一级项目支出一张表）</w:t>
      </w:r>
    </w:p>
    <w:p w14:paraId="27085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无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政府性基金预算、国有资本经营预算和社会保险基金预算支出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33D50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sectPr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81457127-9F1A-4857-A954-885139CF9F68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C43DFA6-8B05-4608-B62B-0BE1C3CC45DB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AEFD74D-9287-437F-AD6A-F7CB279A6EBB}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  <w:embedRegular r:id="rId4" w:fontKey="{821F8E82-576D-48C6-8E08-97683319349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0E863DBF-0C15-4BC7-96B9-5D6E33B5D3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4YjljOWRkYTEwMzVhMGU0MTZkMjJmNzQ2MTZmMDEifQ=="/>
    <w:docVar w:name="KSO_WPS_MARK_KEY" w:val="9920a277-c0c3-43b4-93d3-1636fe398e0b"/>
  </w:docVars>
  <w:rsids>
    <w:rsidRoot w:val="753C4E9B"/>
    <w:rsid w:val="007D6A53"/>
    <w:rsid w:val="00A74559"/>
    <w:rsid w:val="01205D5C"/>
    <w:rsid w:val="01574761"/>
    <w:rsid w:val="02894254"/>
    <w:rsid w:val="05E95AA6"/>
    <w:rsid w:val="06C4362D"/>
    <w:rsid w:val="07F11EB2"/>
    <w:rsid w:val="0C180A78"/>
    <w:rsid w:val="0D276746"/>
    <w:rsid w:val="0D464D9C"/>
    <w:rsid w:val="0D5A43A4"/>
    <w:rsid w:val="0DD52794"/>
    <w:rsid w:val="0E230469"/>
    <w:rsid w:val="0E956870"/>
    <w:rsid w:val="0F957915"/>
    <w:rsid w:val="0FDF5034"/>
    <w:rsid w:val="10C666A5"/>
    <w:rsid w:val="1223366A"/>
    <w:rsid w:val="143877FD"/>
    <w:rsid w:val="147A773B"/>
    <w:rsid w:val="14B80712"/>
    <w:rsid w:val="17FCFFF6"/>
    <w:rsid w:val="194A5C14"/>
    <w:rsid w:val="19E805B2"/>
    <w:rsid w:val="1B6A434C"/>
    <w:rsid w:val="1CBF872E"/>
    <w:rsid w:val="210C37AF"/>
    <w:rsid w:val="22FE234B"/>
    <w:rsid w:val="26123616"/>
    <w:rsid w:val="277E6F02"/>
    <w:rsid w:val="29990575"/>
    <w:rsid w:val="2A720D29"/>
    <w:rsid w:val="2AF6742D"/>
    <w:rsid w:val="2B715282"/>
    <w:rsid w:val="2BF823A8"/>
    <w:rsid w:val="2C3818FC"/>
    <w:rsid w:val="2D9D410D"/>
    <w:rsid w:val="2E41718E"/>
    <w:rsid w:val="312A2265"/>
    <w:rsid w:val="316C38C7"/>
    <w:rsid w:val="31E10294"/>
    <w:rsid w:val="32C4038E"/>
    <w:rsid w:val="333F3E43"/>
    <w:rsid w:val="36310A02"/>
    <w:rsid w:val="36FC0F5D"/>
    <w:rsid w:val="375773F8"/>
    <w:rsid w:val="37BA076E"/>
    <w:rsid w:val="393E32BB"/>
    <w:rsid w:val="39951F25"/>
    <w:rsid w:val="3D0D0479"/>
    <w:rsid w:val="3EFDDE87"/>
    <w:rsid w:val="419B2857"/>
    <w:rsid w:val="41D71DA8"/>
    <w:rsid w:val="48AF2AEE"/>
    <w:rsid w:val="4AAA7A11"/>
    <w:rsid w:val="4B2C4DFA"/>
    <w:rsid w:val="4C354798"/>
    <w:rsid w:val="4C6611ED"/>
    <w:rsid w:val="4D5D3BD3"/>
    <w:rsid w:val="4EB7F892"/>
    <w:rsid w:val="4FFE4A87"/>
    <w:rsid w:val="50761D9A"/>
    <w:rsid w:val="552A0475"/>
    <w:rsid w:val="578D10CB"/>
    <w:rsid w:val="5947124D"/>
    <w:rsid w:val="5A5915AC"/>
    <w:rsid w:val="5ABBC979"/>
    <w:rsid w:val="5B903FBC"/>
    <w:rsid w:val="5BFC7B3B"/>
    <w:rsid w:val="5E77C7C6"/>
    <w:rsid w:val="5FCD3B2E"/>
    <w:rsid w:val="5FFFAAE0"/>
    <w:rsid w:val="63227B57"/>
    <w:rsid w:val="64C7234C"/>
    <w:rsid w:val="66347B2F"/>
    <w:rsid w:val="667FD72C"/>
    <w:rsid w:val="67AB6936"/>
    <w:rsid w:val="6A12486A"/>
    <w:rsid w:val="6ABE64BE"/>
    <w:rsid w:val="6B5F16C5"/>
    <w:rsid w:val="6CF3EA5A"/>
    <w:rsid w:val="6FBB1BF5"/>
    <w:rsid w:val="714F3EB9"/>
    <w:rsid w:val="753C4E9B"/>
    <w:rsid w:val="769B7804"/>
    <w:rsid w:val="779FCBF0"/>
    <w:rsid w:val="77F7E21B"/>
    <w:rsid w:val="781113A7"/>
    <w:rsid w:val="78FE2B52"/>
    <w:rsid w:val="791E6510"/>
    <w:rsid w:val="79E2F975"/>
    <w:rsid w:val="7A37456E"/>
    <w:rsid w:val="7B3BDBF2"/>
    <w:rsid w:val="7C8D4A41"/>
    <w:rsid w:val="7EBDCBBF"/>
    <w:rsid w:val="7EC74CC1"/>
    <w:rsid w:val="7EE6408F"/>
    <w:rsid w:val="7F3EB32E"/>
    <w:rsid w:val="7F5F3F3B"/>
    <w:rsid w:val="7F5FE5E8"/>
    <w:rsid w:val="7F7FC8C5"/>
    <w:rsid w:val="7FFDE9AB"/>
    <w:rsid w:val="7FFEB77D"/>
    <w:rsid w:val="7FFFADA2"/>
    <w:rsid w:val="9ED5792A"/>
    <w:rsid w:val="AEFFB886"/>
    <w:rsid w:val="BEFF7926"/>
    <w:rsid w:val="CF12F568"/>
    <w:rsid w:val="DEBF7731"/>
    <w:rsid w:val="E39F96A6"/>
    <w:rsid w:val="E6DFCF67"/>
    <w:rsid w:val="EBB76B61"/>
    <w:rsid w:val="F6D78CAF"/>
    <w:rsid w:val="F7DA3342"/>
    <w:rsid w:val="FBD266D3"/>
    <w:rsid w:val="FBFF7914"/>
    <w:rsid w:val="FDBFA637"/>
    <w:rsid w:val="FE6B70D4"/>
    <w:rsid w:val="FF2C1D8F"/>
    <w:rsid w:val="FF7BB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keepNext/>
      <w:keepLines/>
      <w:spacing w:line="560" w:lineRule="exact"/>
      <w:ind w:firstLine="200" w:firstLineChars="200"/>
      <w:outlineLvl w:val="1"/>
    </w:pPr>
    <w:rPr>
      <w:rFonts w:eastAsia="楷体_GB2312" w:asciiTheme="majorAscii" w:hAnsiTheme="majorAscii" w:cstheme="majorBidi"/>
      <w:bCs/>
      <w:sz w:val="32"/>
      <w:szCs w:val="32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autoRedefine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autoRedefine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标题1"/>
    <w:basedOn w:val="2"/>
    <w:autoRedefine/>
    <w:qFormat/>
    <w:uiPriority w:val="0"/>
    <w:rPr>
      <w:rFonts w:eastAsia="黑体"/>
    </w:rPr>
  </w:style>
  <w:style w:type="paragraph" w:customStyle="1" w:styleId="12">
    <w:name w:val="首行缩进"/>
    <w:basedOn w:val="1"/>
    <w:autoRedefine/>
    <w:qFormat/>
    <w:uiPriority w:val="0"/>
    <w:pPr>
      <w:ind w:firstLine="480" w:firstLineChars="200"/>
    </w:pPr>
    <w:rPr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5180</Words>
  <Characters>5515</Characters>
  <Lines>0</Lines>
  <Paragraphs>0</Paragraphs>
  <TotalTime>31</TotalTime>
  <ScaleCrop>false</ScaleCrop>
  <LinksUpToDate>false</LinksUpToDate>
  <CharactersWithSpaces>5680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2024-02-23T10:03:00Z</dcterms:created>
  <dc:creator>1402836399</dc:creator>
  <cp:lastModifiedBy>苓萱</cp:lastModifiedBy>
  <cp:lastPrinted>2026-03-25T02:10:00Z</cp:lastPrinted>
  <dcterms:modified xsi:type="dcterms:W3CDTF">2026-09-22T05:23:09Z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2E59967559EAD85B47E0F5671AAD0169_43</vt:lpwstr>
  </property>
  <property fmtid="{D5CDD505-2E9C-101B-9397-08002B2CF9AE}" pid="4" name="KSOTemplateDocerSaveRecord">
    <vt:lpwstr>eyJoZGlkIjoiZjNlM2Y2YWE2NTE2MGRiNjk3MjIzM2MyYmY3MDUyMWIiLCJ1c2VySWQiOiIyMzQxMDc1MTEifQ==</vt:lpwstr>
  </property>
</Properties>
</file>