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223CB">
      <w:pPr>
        <w:pStyle w:val="13"/>
        <w:jc w:val="both"/>
        <w:rPr>
          <w:rFonts w:hAnsi="黑体"/>
          <w:sz w:val="36"/>
          <w:szCs w:val="36"/>
        </w:rPr>
      </w:pPr>
      <w:r>
        <w:rPr>
          <w:rFonts w:hint="eastAsia" w:hAnsi="黑体"/>
          <w:sz w:val="36"/>
          <w:szCs w:val="36"/>
        </w:rPr>
        <w:t>附件1</w:t>
      </w:r>
    </w:p>
    <w:p w14:paraId="39F5A485">
      <w:pPr>
        <w:pStyle w:val="13"/>
        <w:jc w:val="center"/>
        <w:rPr>
          <w:rFonts w:ascii="Times New Roman" w:hAnsi="Times New Roman" w:cs="Times New Roman"/>
          <w:sz w:val="56"/>
          <w:szCs w:val="56"/>
        </w:rPr>
      </w:pPr>
    </w:p>
    <w:p w14:paraId="6FF7737C">
      <w:pPr>
        <w:pStyle w:val="13"/>
        <w:jc w:val="center"/>
        <w:rPr>
          <w:rFonts w:ascii="Times New Roman" w:hAnsi="Times New Roman" w:cs="Times New Roman"/>
          <w:sz w:val="84"/>
          <w:szCs w:val="84"/>
        </w:rPr>
      </w:pPr>
    </w:p>
    <w:p w14:paraId="6C1EB931">
      <w:pPr>
        <w:pStyle w:val="13"/>
        <w:jc w:val="center"/>
        <w:rPr>
          <w:rFonts w:ascii="Times New Roman" w:hAnsi="Times New Roman" w:cs="Times New Roman"/>
          <w:sz w:val="84"/>
          <w:szCs w:val="84"/>
        </w:rPr>
      </w:pPr>
    </w:p>
    <w:p w14:paraId="6EC6C10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rPr>
        <w:t>5</w:t>
      </w:r>
      <w:r>
        <w:rPr>
          <w:rFonts w:ascii="Times New Roman" w:hAnsi="Times New Roman" w:eastAsia="方正小标宋简体" w:cs="Times New Roman"/>
          <w:sz w:val="72"/>
          <w:szCs w:val="72"/>
        </w:rPr>
        <w:t>年度</w:t>
      </w:r>
    </w:p>
    <w:p w14:paraId="2712AA4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怀化市疾病预防控制中心</w:t>
      </w:r>
      <w:r>
        <w:rPr>
          <w:rFonts w:ascii="Times New Roman" w:hAnsi="Times New Roman" w:eastAsia="方正小标宋简体" w:cs="Times New Roman"/>
          <w:sz w:val="72"/>
          <w:szCs w:val="72"/>
        </w:rPr>
        <w:t>部门决算</w:t>
      </w:r>
    </w:p>
    <w:p w14:paraId="0E92693C">
      <w:pPr>
        <w:pStyle w:val="13"/>
        <w:jc w:val="center"/>
        <w:rPr>
          <w:rFonts w:ascii="Times New Roman" w:hAnsi="Times New Roman" w:eastAsia="方正小标宋_GBK" w:cs="Times New Roman"/>
          <w:sz w:val="56"/>
          <w:szCs w:val="56"/>
        </w:rPr>
      </w:pPr>
    </w:p>
    <w:p w14:paraId="22665349">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4270A52">
      <w:pPr>
        <w:pStyle w:val="13"/>
        <w:spacing w:line="600" w:lineRule="exact"/>
        <w:ind w:firstLine="3960" w:firstLineChars="1100"/>
        <w:jc w:val="both"/>
        <w:rPr>
          <w:rFonts w:ascii="Times New Roman" w:hAnsi="Times New Roman" w:cs="Times New Roman"/>
          <w:bCs/>
          <w:sz w:val="36"/>
          <w:szCs w:val="28"/>
        </w:rPr>
      </w:pPr>
      <w:r>
        <w:rPr>
          <w:rFonts w:ascii="Times New Roman" w:hAnsi="Times New Roman" w:cs="Times New Roman"/>
          <w:bCs/>
          <w:sz w:val="36"/>
          <w:szCs w:val="28"/>
        </w:rPr>
        <w:t>目  录</w:t>
      </w:r>
    </w:p>
    <w:p w14:paraId="10AEF348">
      <w:pPr>
        <w:pStyle w:val="13"/>
        <w:spacing w:line="600" w:lineRule="exact"/>
        <w:jc w:val="center"/>
        <w:rPr>
          <w:rFonts w:ascii="Times New Roman" w:hAnsi="Times New Roman" w:cs="Times New Roman"/>
          <w:b/>
          <w:sz w:val="36"/>
          <w:szCs w:val="28"/>
        </w:rPr>
      </w:pPr>
    </w:p>
    <w:p w14:paraId="69A379FD">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怀化市疾病预防控制中心</w:t>
      </w:r>
      <w:r>
        <w:rPr>
          <w:rFonts w:ascii="Times New Roman" w:hAnsi="Times New Roman" w:cs="Times New Roman"/>
          <w:bCs/>
          <w:sz w:val="32"/>
          <w:szCs w:val="32"/>
        </w:rPr>
        <w:t>概况</w:t>
      </w:r>
    </w:p>
    <w:p w14:paraId="4DF228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4AC1DF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33AB2E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E6DC2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583EA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619CE6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FDDEE7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C14FE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7D2333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367904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2FD66C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94A44C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D8D727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D859DF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8D4379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2EA52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1D80B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0DB9EB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278E14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9BC67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D286E4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5153C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E6C09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九、</w:t>
      </w:r>
      <w:r>
        <w:rPr>
          <w:rFonts w:hint="eastAsia" w:ascii="Times New Roman" w:hAnsi="Times New Roman" w:eastAsia="仿宋_GB2312" w:cs="Times New Roman"/>
          <w:color w:val="000000"/>
          <w:kern w:val="0"/>
          <w:sz w:val="32"/>
          <w:szCs w:val="32"/>
        </w:rPr>
        <w:t>国有资本经营预算财政拨款支出决算</w:t>
      </w:r>
      <w:r>
        <w:rPr>
          <w:rFonts w:hint="eastAsia" w:ascii="Times New Roman" w:hAnsi="Times New Roman" w:eastAsia="仿宋_GB2312" w:cs="Times New Roman"/>
          <w:color w:val="000000"/>
          <w:kern w:val="0"/>
          <w:sz w:val="32"/>
          <w:szCs w:val="32"/>
          <w:lang w:eastAsia="zh-CN"/>
        </w:rPr>
        <w:t>情况</w:t>
      </w:r>
    </w:p>
    <w:p w14:paraId="5ADDDE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4A262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1DBEC0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2F285B8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1CDE931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年度预算绩效管理情况的说明</w:t>
      </w:r>
    </w:p>
    <w:p w14:paraId="5F8F2FB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B9B802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AF9EC91">
      <w:pPr>
        <w:pStyle w:val="13"/>
        <w:spacing w:line="600" w:lineRule="exact"/>
        <w:rPr>
          <w:rFonts w:ascii="Times New Roman" w:hAnsi="Times New Roman" w:cs="Times New Roman"/>
          <w:bCs/>
          <w:sz w:val="28"/>
          <w:szCs w:val="28"/>
        </w:rPr>
      </w:pPr>
    </w:p>
    <w:p w14:paraId="79B357C5">
      <w:pPr>
        <w:jc w:val="center"/>
        <w:rPr>
          <w:rFonts w:ascii="Times New Roman" w:hAnsi="Times New Roman" w:cs="Times New Roman"/>
          <w:sz w:val="72"/>
          <w:szCs w:val="72"/>
        </w:rPr>
      </w:pPr>
    </w:p>
    <w:p w14:paraId="6F6106A4">
      <w:pPr>
        <w:jc w:val="center"/>
        <w:rPr>
          <w:rFonts w:ascii="Times New Roman" w:hAnsi="Times New Roman" w:cs="Times New Roman"/>
          <w:sz w:val="72"/>
          <w:szCs w:val="72"/>
        </w:rPr>
      </w:pPr>
    </w:p>
    <w:p w14:paraId="03B97A9F">
      <w:pPr>
        <w:jc w:val="center"/>
        <w:rPr>
          <w:rFonts w:ascii="Times New Roman" w:hAnsi="Times New Roman" w:cs="Times New Roman"/>
          <w:sz w:val="72"/>
          <w:szCs w:val="72"/>
        </w:rPr>
      </w:pPr>
    </w:p>
    <w:p w14:paraId="54A243EF">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6911487">
      <w:pPr>
        <w:rPr>
          <w:rFonts w:ascii="Times New Roman" w:hAnsi="Times New Roman" w:eastAsia="方正小标宋_GBK" w:cs="Times New Roman"/>
          <w:sz w:val="72"/>
          <w:szCs w:val="72"/>
        </w:rPr>
      </w:pPr>
    </w:p>
    <w:p w14:paraId="7DA8D67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EAAB3E0">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怀化市疾病预防控制中心</w:t>
      </w:r>
      <w:r>
        <w:rPr>
          <w:rFonts w:ascii="Times New Roman" w:hAnsi="Times New Roman" w:eastAsia="方正小标宋_GBK" w:cs="Times New Roman"/>
          <w:sz w:val="52"/>
          <w:szCs w:val="52"/>
        </w:rPr>
        <w:t>概况</w:t>
      </w:r>
    </w:p>
    <w:p w14:paraId="7B168451">
      <w:pPr>
        <w:pStyle w:val="3"/>
        <w:ind w:left="0" w:leftChars="0" w:firstLine="0" w:firstLineChars="0"/>
        <w:rPr>
          <w:rFonts w:ascii="Times New Roman" w:hAnsi="Times New Roman" w:cs="Times New Roman"/>
        </w:rPr>
      </w:pPr>
    </w:p>
    <w:p w14:paraId="3E797CE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141D061">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怀化市疾病预防控制中心属市卫健委下属事业单位。承担着七大职能：</w:t>
      </w:r>
    </w:p>
    <w:p w14:paraId="44283187">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（一）</w:t>
      </w:r>
      <w:r>
        <w:rPr>
          <w:rFonts w:hint="eastAsia" w:ascii="Times New Roman" w:hAnsi="Times New Roman" w:eastAsia="仿宋_GB2312" w:cs="Times New Roman"/>
          <w:bCs/>
          <w:kern w:val="0"/>
          <w:sz w:val="32"/>
          <w:szCs w:val="32"/>
        </w:rPr>
        <w:t>传染病、寄生虫病、地方病、非传染病等预防与控制；</w:t>
      </w:r>
    </w:p>
    <w:p w14:paraId="202656C3">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（二）</w:t>
      </w:r>
      <w:r>
        <w:rPr>
          <w:rFonts w:hint="eastAsia" w:ascii="Times New Roman" w:hAnsi="Times New Roman" w:eastAsia="仿宋_GB2312" w:cs="Times New Roman"/>
          <w:bCs/>
          <w:kern w:val="0"/>
          <w:sz w:val="32"/>
          <w:szCs w:val="32"/>
        </w:rPr>
        <w:t>突发公共卫生事件和灾害疫情应急处置；</w:t>
      </w:r>
    </w:p>
    <w:p w14:paraId="6AD515B4">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（三）</w:t>
      </w:r>
      <w:r>
        <w:rPr>
          <w:rFonts w:hint="eastAsia" w:ascii="Times New Roman" w:hAnsi="Times New Roman" w:eastAsia="仿宋_GB2312" w:cs="Times New Roman"/>
          <w:bCs/>
          <w:kern w:val="0"/>
          <w:sz w:val="32"/>
          <w:szCs w:val="32"/>
        </w:rPr>
        <w:t>疫情及健康相关因素信息管理，开展疾病监测，收集、报告、分析和评价疾病与健康危害因素等公共卫生信息；</w:t>
      </w:r>
    </w:p>
    <w:p w14:paraId="737701BA">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（四）</w:t>
      </w:r>
      <w:r>
        <w:rPr>
          <w:rFonts w:hint="eastAsia" w:ascii="Times New Roman" w:hAnsi="Times New Roman" w:eastAsia="仿宋_GB2312" w:cs="Times New Roman"/>
          <w:bCs/>
          <w:kern w:val="0"/>
          <w:sz w:val="32"/>
          <w:szCs w:val="32"/>
        </w:rPr>
        <w:t>健康危害因素监测与干预，开展食源性、职业性、放射性、环境性等疾病的监测评价和流行病学调查，开展公众健康和营养状况监测与评价，提出干预策略与措施；</w:t>
      </w:r>
    </w:p>
    <w:p w14:paraId="4FAA5C63">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（五）</w:t>
      </w:r>
      <w:r>
        <w:rPr>
          <w:rFonts w:hint="eastAsia" w:ascii="Times New Roman" w:hAnsi="Times New Roman" w:eastAsia="仿宋_GB2312" w:cs="Times New Roman"/>
          <w:bCs/>
          <w:kern w:val="0"/>
          <w:sz w:val="32"/>
          <w:szCs w:val="32"/>
        </w:rPr>
        <w:t>疾病病原微生物检测、鉴定和物理、化学因子检测、评价；</w:t>
      </w:r>
    </w:p>
    <w:p w14:paraId="7DE02972">
      <w:pPr>
        <w:widowControl/>
        <w:spacing w:line="600" w:lineRule="exact"/>
        <w:ind w:firstLine="320" w:firstLineChars="1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（六）</w:t>
      </w:r>
      <w:r>
        <w:rPr>
          <w:rFonts w:hint="eastAsia" w:ascii="Times New Roman" w:hAnsi="Times New Roman" w:eastAsia="仿宋_GB2312" w:cs="Times New Roman"/>
          <w:bCs/>
          <w:kern w:val="0"/>
          <w:sz w:val="32"/>
          <w:szCs w:val="32"/>
        </w:rPr>
        <w:t>健康教育与健康促进，对公众进行健康指导和不良健康行为干预；</w:t>
      </w:r>
    </w:p>
    <w:p w14:paraId="73274BFB">
      <w:pPr>
        <w:widowControl/>
        <w:spacing w:line="600" w:lineRule="exact"/>
        <w:ind w:firstLine="320" w:firstLineChars="1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Times New Roman"/>
          <w:bCs/>
          <w:kern w:val="0"/>
          <w:sz w:val="32"/>
          <w:szCs w:val="32"/>
          <w:lang w:eastAsia="zh-CN"/>
        </w:rPr>
        <w:t>（七）疾病预防控制技术管理与应用研究指导等。</w:t>
      </w:r>
    </w:p>
    <w:p w14:paraId="77B7D13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6A0FD32">
      <w:pPr>
        <w:keepNext w:val="0"/>
        <w:keepLines w:val="0"/>
        <w:pageBreakBefore w:val="0"/>
        <w:widowControl/>
        <w:kinsoku/>
        <w:overflowPunct/>
        <w:topLinePunct w:val="0"/>
        <w:bidi w:val="0"/>
        <w:snapToGrid/>
        <w:spacing w:afterAutospacing="0" w:line="600" w:lineRule="exact"/>
        <w:ind w:firstLine="640" w:firstLineChars="200"/>
        <w:jc w:val="both"/>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怀化市疾病预防控制中心为隶属怀化市卫生健康委员会的二级预算单位。</w:t>
      </w:r>
    </w:p>
    <w:p w14:paraId="70CB43EE">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怀化市疾病预防控制中心</w:t>
      </w:r>
      <w:r>
        <w:rPr>
          <w:rFonts w:hint="eastAsia" w:ascii="Times New Roman" w:hAnsi="Times New Roman" w:eastAsia="仿宋_GB2312" w:cs="仿宋_GB2312"/>
          <w:bCs/>
          <w:kern w:val="0"/>
          <w:sz w:val="32"/>
          <w:szCs w:val="32"/>
        </w:rPr>
        <w:t>单位内设机构</w:t>
      </w:r>
      <w:r>
        <w:rPr>
          <w:rFonts w:hint="eastAsia" w:ascii="Times New Roman" w:hAnsi="Times New Roman" w:eastAsia="仿宋_GB2312" w:cs="仿宋_GB2312"/>
          <w:bCs/>
          <w:kern w:val="0"/>
          <w:sz w:val="32"/>
          <w:szCs w:val="32"/>
          <w:lang w:val="en-US" w:eastAsia="zh-CN"/>
        </w:rPr>
        <w:t>13个科室，</w:t>
      </w:r>
      <w:r>
        <w:rPr>
          <w:rFonts w:hint="eastAsia" w:ascii="Times New Roman" w:hAnsi="Times New Roman" w:eastAsia="仿宋_GB2312" w:cs="仿宋_GB2312"/>
          <w:bCs/>
          <w:kern w:val="0"/>
          <w:sz w:val="32"/>
          <w:szCs w:val="32"/>
        </w:rPr>
        <w:t>包括：</w:t>
      </w:r>
      <w:r>
        <w:rPr>
          <w:rFonts w:hint="eastAsia" w:ascii="Times New Roman" w:hAnsi="Times New Roman" w:eastAsia="仿宋_GB2312" w:cs="仿宋_GB2312"/>
          <w:bCs/>
          <w:kern w:val="0"/>
          <w:sz w:val="32"/>
          <w:szCs w:val="32"/>
          <w:lang w:eastAsia="zh-CN"/>
        </w:rPr>
        <w:t>办公室、财务科、行政后勤科、人事科、流行病预防控制科、皮肤病性病防治科、地方病慢病控制科、卫生监测科、结核病防治科、职业病防治科、检验科、健康教育科、生物制品科。</w:t>
      </w:r>
      <w:r>
        <w:rPr>
          <w:rFonts w:hint="eastAsia" w:ascii="Times New Roman" w:hAnsi="Times New Roman" w:eastAsia="仿宋_GB2312" w:cs="仿宋_GB2312"/>
          <w:bCs/>
          <w:kern w:val="0"/>
          <w:sz w:val="32"/>
          <w:szCs w:val="32"/>
          <w:lang w:val="en-US" w:eastAsia="zh-CN"/>
        </w:rPr>
        <w:t xml:space="preserve"> </w:t>
      </w:r>
    </w:p>
    <w:p w14:paraId="09AE3DD1">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怀化市疾病预防控制中心</w:t>
      </w:r>
      <w:r>
        <w:rPr>
          <w:rFonts w:hint="eastAsia" w:ascii="Times New Roman" w:hAnsi="Times New Roman" w:eastAsia="仿宋_GB2312" w:cs="仿宋_GB2312"/>
          <w:bCs/>
          <w:kern w:val="0"/>
          <w:sz w:val="32"/>
          <w:szCs w:val="32"/>
        </w:rPr>
        <w:t>202</w:t>
      </w:r>
      <w:r>
        <w:rPr>
          <w:rFonts w:hint="default"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w:t>
      </w:r>
      <w:r>
        <w:rPr>
          <w:rFonts w:hint="eastAsia" w:ascii="Times New Roman" w:hAnsi="Times New Roman" w:eastAsia="仿宋_GB2312" w:cs="仿宋_GB2312"/>
          <w:bCs/>
          <w:kern w:val="0"/>
          <w:sz w:val="32"/>
          <w:szCs w:val="32"/>
          <w:lang w:eastAsia="zh-CN"/>
        </w:rPr>
        <w:t>仅本单位。</w:t>
      </w:r>
    </w:p>
    <w:p w14:paraId="1354A712">
      <w:pPr>
        <w:widowControl/>
        <w:spacing w:line="600" w:lineRule="exact"/>
        <w:rPr>
          <w:rFonts w:hint="eastAsia" w:ascii="Times New Roman" w:hAnsi="Times New Roman" w:eastAsia="仿宋_GB2312" w:cs="仿宋_GB2312"/>
          <w:bCs/>
          <w:kern w:val="0"/>
          <w:sz w:val="32"/>
          <w:szCs w:val="32"/>
        </w:rPr>
      </w:pPr>
    </w:p>
    <w:p w14:paraId="115638DF">
      <w:pPr>
        <w:jc w:val="left"/>
        <w:rPr>
          <w:rFonts w:ascii="Times New Roman" w:hAnsi="Times New Roman" w:eastAsia="仿宋_GB2312" w:cs="Times New Roman"/>
          <w:sz w:val="28"/>
          <w:szCs w:val="32"/>
        </w:rPr>
      </w:pPr>
    </w:p>
    <w:p w14:paraId="39112FBE">
      <w:pPr>
        <w:jc w:val="center"/>
        <w:rPr>
          <w:rFonts w:ascii="Times New Roman" w:hAnsi="Times New Roman" w:eastAsia="黑体" w:cs="Times New Roman"/>
          <w:sz w:val="28"/>
          <w:szCs w:val="28"/>
        </w:rPr>
      </w:pPr>
    </w:p>
    <w:p w14:paraId="0A2F87DA">
      <w:pPr>
        <w:jc w:val="center"/>
        <w:rPr>
          <w:rFonts w:ascii="Times New Roman" w:hAnsi="Times New Roman" w:eastAsia="黑体" w:cs="Times New Roman"/>
          <w:sz w:val="28"/>
          <w:szCs w:val="28"/>
        </w:rPr>
      </w:pPr>
    </w:p>
    <w:p w14:paraId="6965E550">
      <w:pPr>
        <w:jc w:val="center"/>
        <w:rPr>
          <w:rFonts w:ascii="Times New Roman" w:hAnsi="Times New Roman" w:eastAsia="黑体" w:cs="Times New Roman"/>
          <w:sz w:val="28"/>
          <w:szCs w:val="28"/>
        </w:rPr>
      </w:pPr>
    </w:p>
    <w:p w14:paraId="4DB78D8F">
      <w:pPr>
        <w:jc w:val="center"/>
        <w:rPr>
          <w:rFonts w:ascii="Times New Roman" w:hAnsi="Times New Roman" w:eastAsia="黑体" w:cs="Times New Roman"/>
          <w:sz w:val="28"/>
          <w:szCs w:val="28"/>
        </w:rPr>
      </w:pPr>
    </w:p>
    <w:p w14:paraId="7B8AB154">
      <w:pPr>
        <w:jc w:val="center"/>
        <w:rPr>
          <w:rFonts w:ascii="Times New Roman" w:hAnsi="Times New Roman" w:eastAsia="黑体" w:cs="Times New Roman"/>
          <w:sz w:val="28"/>
          <w:szCs w:val="28"/>
        </w:rPr>
      </w:pPr>
    </w:p>
    <w:p w14:paraId="2312E48C">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D79FA7D">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53F0E5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1152A4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81C468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B87AF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71C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8D3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E8CC3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B77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C3E3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898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D13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7C34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4F3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F888A8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394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0297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C33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614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994F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DBB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260F3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B9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B11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76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475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77A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AF73">
            <w:pPr>
              <w:jc w:val="right"/>
              <w:rPr>
                <w:rFonts w:ascii="Times New Roman" w:hAnsi="Times New Roman" w:eastAsia="仿宋_GB2312" w:cs="Times New Roman"/>
                <w:color w:val="000000"/>
                <w:sz w:val="22"/>
              </w:rPr>
            </w:pPr>
          </w:p>
        </w:tc>
      </w:tr>
      <w:tr w14:paraId="7D8169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747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FE6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F5D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206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797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0390">
            <w:pPr>
              <w:jc w:val="right"/>
              <w:rPr>
                <w:rFonts w:ascii="Times New Roman" w:hAnsi="Times New Roman" w:eastAsia="仿宋_GB2312" w:cs="Times New Roman"/>
                <w:color w:val="000000"/>
                <w:sz w:val="22"/>
              </w:rPr>
            </w:pPr>
          </w:p>
        </w:tc>
      </w:tr>
      <w:tr w14:paraId="130928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D9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31A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75B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833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834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E4C3">
            <w:pPr>
              <w:jc w:val="right"/>
              <w:rPr>
                <w:rFonts w:ascii="Times New Roman" w:hAnsi="Times New Roman" w:eastAsia="仿宋_GB2312" w:cs="Times New Roman"/>
                <w:color w:val="000000"/>
                <w:sz w:val="22"/>
              </w:rPr>
            </w:pPr>
          </w:p>
        </w:tc>
      </w:tr>
      <w:tr w14:paraId="5CA2D2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C04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0C1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48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125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685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86E7">
            <w:pPr>
              <w:jc w:val="right"/>
              <w:rPr>
                <w:rFonts w:ascii="Times New Roman" w:hAnsi="Times New Roman" w:eastAsia="仿宋_GB2312" w:cs="Times New Roman"/>
                <w:color w:val="000000"/>
                <w:sz w:val="22"/>
              </w:rPr>
            </w:pPr>
          </w:p>
        </w:tc>
      </w:tr>
      <w:tr w14:paraId="7CE952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B2C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5F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7E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2C4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663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6393">
            <w:pPr>
              <w:jc w:val="right"/>
              <w:rPr>
                <w:rFonts w:ascii="Times New Roman" w:hAnsi="Times New Roman" w:eastAsia="仿宋_GB2312" w:cs="Times New Roman"/>
                <w:color w:val="000000"/>
                <w:sz w:val="22"/>
              </w:rPr>
            </w:pPr>
          </w:p>
        </w:tc>
      </w:tr>
      <w:tr w14:paraId="792877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E07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D77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3A3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AA1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B20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471EA">
            <w:pPr>
              <w:jc w:val="right"/>
              <w:rPr>
                <w:rFonts w:ascii="Times New Roman" w:hAnsi="Times New Roman" w:eastAsia="仿宋_GB2312" w:cs="Times New Roman"/>
                <w:color w:val="000000"/>
                <w:sz w:val="22"/>
              </w:rPr>
            </w:pPr>
          </w:p>
        </w:tc>
      </w:tr>
      <w:tr w14:paraId="0D026D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396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A29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79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DA4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7D8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71A6">
            <w:pPr>
              <w:jc w:val="right"/>
              <w:rPr>
                <w:rFonts w:ascii="Times New Roman" w:hAnsi="Times New Roman" w:eastAsia="仿宋_GB2312" w:cs="Times New Roman"/>
                <w:color w:val="000000"/>
                <w:sz w:val="22"/>
              </w:rPr>
            </w:pPr>
          </w:p>
        </w:tc>
      </w:tr>
      <w:tr w14:paraId="3CF78D4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842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F3D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E47B">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BD3D">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E98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5326">
            <w:pPr>
              <w:jc w:val="center"/>
              <w:rPr>
                <w:rFonts w:ascii="Times New Roman" w:hAnsi="Times New Roman" w:eastAsia="仿宋_GB2312" w:cs="Times New Roman"/>
                <w:color w:val="000000"/>
                <w:sz w:val="22"/>
              </w:rPr>
            </w:pPr>
          </w:p>
        </w:tc>
      </w:tr>
      <w:tr w14:paraId="38459A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278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64F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89E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C48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70F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2AAE">
            <w:pPr>
              <w:rPr>
                <w:rFonts w:ascii="Times New Roman" w:hAnsi="Times New Roman" w:eastAsia="仿宋_GB2312" w:cs="Times New Roman"/>
                <w:b/>
                <w:color w:val="000000"/>
                <w:sz w:val="22"/>
              </w:rPr>
            </w:pPr>
          </w:p>
        </w:tc>
      </w:tr>
      <w:tr w14:paraId="1E059F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80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04F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20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00E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194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9FEB">
            <w:pPr>
              <w:rPr>
                <w:rFonts w:ascii="Times New Roman" w:hAnsi="Times New Roman" w:eastAsia="仿宋_GB2312" w:cs="Times New Roman"/>
                <w:color w:val="000000"/>
                <w:sz w:val="22"/>
              </w:rPr>
            </w:pPr>
          </w:p>
        </w:tc>
      </w:tr>
      <w:tr w14:paraId="2F251D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67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845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D22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C4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AEE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CB3E">
            <w:pPr>
              <w:rPr>
                <w:rFonts w:ascii="Times New Roman" w:hAnsi="Times New Roman" w:eastAsia="仿宋_GB2312" w:cs="Times New Roman"/>
                <w:color w:val="000000"/>
                <w:sz w:val="22"/>
              </w:rPr>
            </w:pPr>
          </w:p>
        </w:tc>
      </w:tr>
      <w:tr w14:paraId="2179E3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28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294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6E5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AA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36F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4E37">
            <w:pPr>
              <w:rPr>
                <w:rFonts w:ascii="Times New Roman" w:hAnsi="Times New Roman" w:eastAsia="仿宋_GB2312" w:cs="Times New Roman"/>
                <w:color w:val="000000"/>
                <w:sz w:val="22"/>
              </w:rPr>
            </w:pPr>
          </w:p>
        </w:tc>
      </w:tr>
      <w:tr w14:paraId="4107DF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FC3E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EC6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C19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B89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93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0CBD">
            <w:pPr>
              <w:rPr>
                <w:rFonts w:ascii="Times New Roman" w:hAnsi="Times New Roman" w:eastAsia="仿宋_GB2312" w:cs="Times New Roman"/>
                <w:b/>
                <w:color w:val="000000"/>
                <w:sz w:val="22"/>
              </w:rPr>
            </w:pPr>
          </w:p>
        </w:tc>
      </w:tr>
    </w:tbl>
    <w:p w14:paraId="49FD82A9">
      <w:pPr>
        <w:widowControl/>
        <w:jc w:val="left"/>
        <w:textAlignment w:val="center"/>
        <w:rPr>
          <w:rFonts w:ascii="Times New Roman" w:hAnsi="Times New Roman" w:eastAsia="宋体" w:cs="Times New Roman"/>
          <w:color w:val="000000"/>
          <w:kern w:val="0"/>
          <w:sz w:val="24"/>
          <w:szCs w:val="24"/>
          <w:lang w:bidi="ar"/>
        </w:rPr>
      </w:pPr>
    </w:p>
    <w:p w14:paraId="13EE684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BC0B70F">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FC870A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2C6AB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3BA85C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1A8530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3C92260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04DA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93752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F52A7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CCBE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2146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7DC3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D9942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1A5A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1577D24">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A455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4D8F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C52AE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B0E8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A0CF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17A82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B1897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7DEF89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E4EC3D9">
            <w:pPr>
              <w:rPr>
                <w:rFonts w:ascii="Times New Roman" w:hAnsi="Times New Roman" w:eastAsia="仿宋_GB2312" w:cs="Times New Roman"/>
                <w:sz w:val="24"/>
                <w:szCs w:val="24"/>
              </w:rPr>
            </w:pPr>
          </w:p>
        </w:tc>
      </w:tr>
      <w:tr w14:paraId="07D31F5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7EAB70C">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4AC104A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09E6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1E64D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3F9D0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70591B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1BA1C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F92712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9AF4B1F">
            <w:pPr>
              <w:rPr>
                <w:rFonts w:ascii="Times New Roman" w:hAnsi="Times New Roman" w:eastAsia="仿宋_GB2312" w:cs="Times New Roman"/>
                <w:sz w:val="24"/>
                <w:szCs w:val="24"/>
              </w:rPr>
            </w:pPr>
          </w:p>
        </w:tc>
      </w:tr>
      <w:tr w14:paraId="5E49A55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9F51E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A2B21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99002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68F0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4FFC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A2E3C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C745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809B2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4C0155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E56D4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DCA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B44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FFE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A2F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9DE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553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C7B2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E12B7C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FCDC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672F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BF5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258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5BF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B12A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C8C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97E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CED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CFA98E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C05EE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A0A9E3">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840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09E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444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74F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0E0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114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5EC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D30FAC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45EF43">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99D62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F0A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FD6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40A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306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D1D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E7A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03F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B5A2E2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6A4A2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E3ECD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D71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4C0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13D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88D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6652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7AB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73F7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F83696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1ED380">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0C9D7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18E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964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BC4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AD4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85C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D20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014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14FE5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6022C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F1BD2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6A4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79A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AE3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F79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E66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CD4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830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96A1B7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D8193D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4A0D062">
      <w:pPr>
        <w:widowControl/>
        <w:jc w:val="center"/>
        <w:textAlignment w:val="center"/>
        <w:rPr>
          <w:rFonts w:ascii="Times New Roman" w:hAnsi="Times New Roman" w:eastAsia="黑体" w:cs="Times New Roman"/>
          <w:color w:val="000000"/>
          <w:kern w:val="0"/>
          <w:sz w:val="32"/>
          <w:szCs w:val="32"/>
          <w:lang w:bidi="ar"/>
        </w:rPr>
      </w:pPr>
    </w:p>
    <w:p w14:paraId="2767F5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BCA25B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E9DB67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D2E569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5B3661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6BF57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747D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CA27B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2698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96E47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9CE0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D99C6AA">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C0884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7AB678E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A0FF59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B72C14F">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1A320D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B3E1E9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3364531">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EEECF03">
            <w:pPr>
              <w:widowControl/>
              <w:jc w:val="left"/>
              <w:rPr>
                <w:rFonts w:ascii="Times New Roman" w:hAnsi="Times New Roman" w:eastAsia="仿宋_GB2312" w:cs="Times New Roman"/>
                <w:b/>
                <w:bCs/>
                <w:kern w:val="0"/>
                <w:sz w:val="24"/>
                <w:szCs w:val="24"/>
              </w:rPr>
            </w:pPr>
          </w:p>
        </w:tc>
      </w:tr>
      <w:tr w14:paraId="3CBFEFF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549A5C28">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AF863A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800848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1BAE9E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D3D16BC">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9FB413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3561A56">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B7D10BF">
            <w:pPr>
              <w:widowControl/>
              <w:jc w:val="left"/>
              <w:rPr>
                <w:rFonts w:ascii="Times New Roman" w:hAnsi="Times New Roman" w:eastAsia="仿宋_GB2312" w:cs="Times New Roman"/>
                <w:kern w:val="0"/>
                <w:sz w:val="24"/>
                <w:szCs w:val="24"/>
              </w:rPr>
            </w:pPr>
          </w:p>
        </w:tc>
      </w:tr>
      <w:tr w14:paraId="316D1B5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37E1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0218FA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B56EC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C3E47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1D768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58908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9DB07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9B82B0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2779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7C4461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267F33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CBFD0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85DF3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CC437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6592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E10D1A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A8A64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34D128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23FF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849C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07039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4D0E8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FF27C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3E09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B276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21C9D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3FF9CF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1750B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F4498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E46EF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B6662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F3504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729E2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C56AC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565B3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4D70943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AEB08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10BE5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9E74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2BF30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8F2F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3B540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D3688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DCE47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6EE8FF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BC1E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EDD0B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F6CE8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75AAF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AEC0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D0ED8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D6FC6B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72CC0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4E6C5A5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57E24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D3AC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22A59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47FFE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A96E3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E2DE5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A51F9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D61D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4C7D9D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593C0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570C5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9C657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40900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F7E5A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AA4C7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BE1244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46D0DB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7D92BC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A892FE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57AF6B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3395AD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696"/>
        <w:gridCol w:w="2636"/>
        <w:gridCol w:w="616"/>
        <w:gridCol w:w="696"/>
        <w:gridCol w:w="1678"/>
        <w:gridCol w:w="1815"/>
        <w:gridCol w:w="1951"/>
      </w:tblGrid>
      <w:tr w14:paraId="43553BE0">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444A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1923D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32757A5">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8945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AA9200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4980A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9659C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A8A7F3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05684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726A9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A9600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90D2F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8BFD6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408A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83514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A560B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3595F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287A8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4CD52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9E334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704C69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0807B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45BC6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72A4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FA2D6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143015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3983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7931C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93EA9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4FC7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3FAC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3441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55529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EFE0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F5D79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995FA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FB5B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A3871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1AB11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7C6A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AD95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9CA6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91C2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5B36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B6EB7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0B4FC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F63C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3933A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8A892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D85B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CB2F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D2698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BE30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E538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6366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43A9A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6266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87BBC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D5943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CD63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124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73E5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D3544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FC14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3E14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64782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F351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E357C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ABFB4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27A6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7E14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7324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A83D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786B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D4E3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487481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2243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52159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DBFE9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D28F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D32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1228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A9A26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33C5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8E8F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6F76F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38850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00169F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F8236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632D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7346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316E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5D90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5B66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A204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2E2E6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7615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9A5E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A7FFD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1B74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D567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4C1B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B705D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E7C1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3E9F3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60BF3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A9233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3FA75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0CEBF1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D4F7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1BB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C6011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F76DC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C8F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82603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5480BC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F402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2762B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986A1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E7EC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1751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D0BF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F5AEAE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B0A2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E9BC1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81101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34C9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9E89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976BF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6001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7FB5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14B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0B869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DDF1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09443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C1C11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0B52C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CFF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80BEE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3EB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B67E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F600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CAF58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6F0E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D54B7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E3548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AC2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5922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73A3F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5E0B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C6C6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0ABB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C9E37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E5315B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75815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10901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EC49BD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D7873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9C33D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E3BB3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CD657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C7181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C1C6AD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43C9F37">
      <w:pPr>
        <w:widowControl/>
        <w:jc w:val="center"/>
        <w:rPr>
          <w:rFonts w:ascii="Times New Roman" w:hAnsi="Times New Roman" w:eastAsia="方正小标宋_GBK" w:cs="Times New Roman"/>
          <w:kern w:val="0"/>
          <w:sz w:val="36"/>
          <w:szCs w:val="36"/>
        </w:rPr>
      </w:pPr>
    </w:p>
    <w:p w14:paraId="7418C79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CAC299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27AE05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6B571D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D5593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A45AD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09C594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B32DA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06A8C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B10B8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7CD4D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95ACE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4736D1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DED6E8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CD4E59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0B583F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BF0C2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7D561E4">
            <w:pPr>
              <w:widowControl/>
              <w:jc w:val="left"/>
              <w:rPr>
                <w:rFonts w:ascii="Times New Roman" w:hAnsi="Times New Roman" w:eastAsia="仿宋_GB2312" w:cs="Times New Roman"/>
                <w:kern w:val="0"/>
                <w:szCs w:val="21"/>
              </w:rPr>
            </w:pPr>
          </w:p>
        </w:tc>
      </w:tr>
      <w:tr w14:paraId="3D2A59BC">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134B8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6AB5B3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684D0E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77767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A82740">
            <w:pPr>
              <w:widowControl/>
              <w:jc w:val="left"/>
              <w:rPr>
                <w:rFonts w:ascii="Times New Roman" w:hAnsi="Times New Roman" w:eastAsia="仿宋_GB2312" w:cs="Times New Roman"/>
                <w:kern w:val="0"/>
                <w:szCs w:val="21"/>
              </w:rPr>
            </w:pPr>
          </w:p>
        </w:tc>
      </w:tr>
      <w:tr w14:paraId="400C35A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73AF2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97CD1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4C710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6186E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FB1744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644B1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E3278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DFD69F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33A51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F1FFA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814F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E003CE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63973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3ECC9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7AC9C0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8DAA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39CE4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B2AE9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FA5BD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93CF43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87F67A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5B738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6DCD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7B0EFB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C300E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C0700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2790CA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ACDE0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1097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50198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BC961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5917D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89FCD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E35FF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8F0D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DB2489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BE1612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7CF215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134FD4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E95B7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A55C8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3BBDBAB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739B0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42C5CE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43AD25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838AD6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08D842D">
      <w:pPr>
        <w:widowControl/>
        <w:jc w:val="left"/>
        <w:rPr>
          <w:rFonts w:ascii="Times New Roman" w:hAnsi="Times New Roman" w:eastAsia="仿宋_GB2312" w:cs="Times New Roman"/>
          <w:bCs/>
          <w:kern w:val="0"/>
          <w:szCs w:val="21"/>
        </w:rPr>
      </w:pPr>
    </w:p>
    <w:p w14:paraId="3C2286E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B58ACD9">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1D6310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1256554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2FAB0F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A3C4E6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43C8C3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74330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F5EA0F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DB4D4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73FC6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B2DD6A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11382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1C38F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DEE51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3FBC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25D7B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CE6C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97D2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69DA5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DA71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A65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8DE00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B1F9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D712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608A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3BE56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C5A4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2B7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0C543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EA09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29F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E3FD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3E57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9829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568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A6C89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71A4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952F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2566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CD40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B015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A4C4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FF03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05BE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79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F41A4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3B452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5B5D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908D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D4E3D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16E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1BA55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4B68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74ED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29B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CD60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40DE7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401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518A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5B7E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FF3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C9ACB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CC1A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933F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7F18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FDC6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9EEB3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8870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B0960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D53A9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BAA7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4052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756F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98AD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FE4C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E13A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2A59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BC20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D921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1B77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036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BFEE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9ECD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2A02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2AE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1467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2F5E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160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7342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77DA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A60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7057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A38A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07D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B39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6B3C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7792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00D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2CF7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BBFA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7E5F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62E5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E4B3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EE3E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343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C592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78A4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78C5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C0C8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90E1D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257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9E24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290C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7C7B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D92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0A60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C5384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9890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50F8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D999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EAA8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5493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375A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E1BF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F25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203B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3391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5021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1B88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BCF8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EA58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87E3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08086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E1E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C97A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3327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4F1611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94B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E11A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3B44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B99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A5EE9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9391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2393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32D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56A6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9273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C3A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31F5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2C9D9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FD0E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3CA84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B12F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923E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D58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33EF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EDE6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8E1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0DDE3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D881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BCAB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8EB1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C23D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6CF5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4EC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AB77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B9AC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129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53CB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1542C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C37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A254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0D70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147A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07D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B178C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CC06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365A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DE399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F5EA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7B15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815C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C5EF9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63C2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752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CF37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AE61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052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73384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B08D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5995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8351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0F07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D7A4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F7B6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7069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AABB5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C7FF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5B673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802E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0546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6F45A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515B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28BC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2D2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3F432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5FBF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D32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6B88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651A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EB0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E8F3D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37C2F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639C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9F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618FF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32EE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CB2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C0B0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A91C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056E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E30BD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0EB6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D53D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487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F3A28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57B51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AFE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0244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323F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202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3D8E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72B73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DEFC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ECD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EE178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2937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562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F54D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E2B7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EF09D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1320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68FB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14C5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1F7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544D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325B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311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6CB3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5BD64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012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B8C0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4DB5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245A345">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A50877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D0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7A9326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5C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95F4D0C">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3690E8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F9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EFA471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A7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A49812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1FA0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D3F5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A79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35FF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FAA6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CCD3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0920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7B14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383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EDB8A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7D38D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B4EA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701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65DA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9BE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E62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3E9D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2D1C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2D6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D648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15C8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B777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4CF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9CB9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0423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C91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8734D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0879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B74DF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5B3459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68BE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26FC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9B9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2FBC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E9F41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A88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4977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4E80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64B0C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658651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072ED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DDE79D">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96EF0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FE7E9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1EB0D6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7DDE16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1984BB3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58600F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196830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18C793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86058D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94F7C6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B36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576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60B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4C8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853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65649B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E39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F2F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F313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363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574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3E0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0DC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48589">
            <w:pPr>
              <w:widowControl/>
              <w:jc w:val="center"/>
              <w:rPr>
                <w:rFonts w:ascii="Times New Roman" w:hAnsi="Times New Roman" w:eastAsia="仿宋_GB2312" w:cs="Times New Roman"/>
                <w:color w:val="000000"/>
                <w:sz w:val="24"/>
                <w:szCs w:val="24"/>
              </w:rPr>
            </w:pPr>
          </w:p>
        </w:tc>
      </w:tr>
      <w:tr w14:paraId="30C5F1C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8BD2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5BB7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043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530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422B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C014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1BFF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A0CF8">
            <w:pPr>
              <w:jc w:val="center"/>
              <w:rPr>
                <w:rFonts w:ascii="Times New Roman" w:hAnsi="Times New Roman" w:eastAsia="仿宋_GB2312" w:cs="Times New Roman"/>
                <w:color w:val="000000"/>
                <w:sz w:val="24"/>
                <w:szCs w:val="24"/>
              </w:rPr>
            </w:pPr>
          </w:p>
        </w:tc>
      </w:tr>
      <w:tr w14:paraId="33B483B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8186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2B0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7B1F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9CC1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A2D1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9CF9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B04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CF7B0">
            <w:pPr>
              <w:jc w:val="center"/>
              <w:rPr>
                <w:rFonts w:ascii="Times New Roman" w:hAnsi="Times New Roman" w:eastAsia="仿宋_GB2312" w:cs="Times New Roman"/>
                <w:color w:val="000000"/>
                <w:sz w:val="24"/>
                <w:szCs w:val="24"/>
              </w:rPr>
            </w:pPr>
          </w:p>
        </w:tc>
      </w:tr>
      <w:tr w14:paraId="07472BB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C06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A7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42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A4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27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85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B5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99F508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5C0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2B7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788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1B7A">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50A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952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6AD0">
            <w:pPr>
              <w:jc w:val="center"/>
              <w:rPr>
                <w:rFonts w:ascii="Times New Roman" w:hAnsi="Times New Roman" w:eastAsia="仿宋_GB2312" w:cs="Times New Roman"/>
                <w:color w:val="000000"/>
                <w:sz w:val="24"/>
                <w:szCs w:val="24"/>
              </w:rPr>
            </w:pPr>
          </w:p>
        </w:tc>
      </w:tr>
      <w:tr w14:paraId="6539C7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405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1E2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180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D8C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CB7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B9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F2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47C4">
            <w:pPr>
              <w:rPr>
                <w:rFonts w:ascii="Times New Roman" w:hAnsi="Times New Roman" w:eastAsia="仿宋_GB2312" w:cs="Times New Roman"/>
                <w:color w:val="000000"/>
                <w:sz w:val="24"/>
                <w:szCs w:val="24"/>
              </w:rPr>
            </w:pPr>
          </w:p>
        </w:tc>
      </w:tr>
      <w:tr w14:paraId="4F26F34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FA1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E8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2E1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570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CB4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897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B0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C9C5">
            <w:pPr>
              <w:rPr>
                <w:rFonts w:ascii="Times New Roman" w:hAnsi="Times New Roman" w:eastAsia="仿宋_GB2312" w:cs="Times New Roman"/>
                <w:color w:val="000000"/>
                <w:sz w:val="24"/>
                <w:szCs w:val="24"/>
              </w:rPr>
            </w:pPr>
          </w:p>
        </w:tc>
      </w:tr>
      <w:tr w14:paraId="56EBF1B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D0D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A42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A67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50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375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41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A47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ED68">
            <w:pPr>
              <w:rPr>
                <w:rFonts w:ascii="Times New Roman" w:hAnsi="Times New Roman" w:eastAsia="仿宋_GB2312" w:cs="Times New Roman"/>
                <w:color w:val="000000"/>
                <w:sz w:val="24"/>
                <w:szCs w:val="24"/>
              </w:rPr>
            </w:pPr>
          </w:p>
        </w:tc>
      </w:tr>
      <w:tr w14:paraId="522FE6F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808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58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287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CD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8A9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772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FB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4EE5">
            <w:pPr>
              <w:rPr>
                <w:rFonts w:ascii="Times New Roman" w:hAnsi="Times New Roman" w:eastAsia="仿宋_GB2312" w:cs="Times New Roman"/>
                <w:color w:val="000000"/>
                <w:sz w:val="24"/>
                <w:szCs w:val="24"/>
              </w:rPr>
            </w:pPr>
          </w:p>
        </w:tc>
      </w:tr>
      <w:tr w14:paraId="5CD4981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310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09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353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2E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D43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30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0E9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40B8">
            <w:pPr>
              <w:rPr>
                <w:rFonts w:ascii="Times New Roman" w:hAnsi="Times New Roman" w:eastAsia="仿宋_GB2312" w:cs="Times New Roman"/>
                <w:color w:val="000000"/>
                <w:sz w:val="24"/>
                <w:szCs w:val="24"/>
              </w:rPr>
            </w:pPr>
          </w:p>
        </w:tc>
      </w:tr>
      <w:tr w14:paraId="5F49776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058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F6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FA71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42C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F2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271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F2F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B26A">
            <w:pPr>
              <w:rPr>
                <w:rFonts w:ascii="Times New Roman" w:hAnsi="Times New Roman" w:eastAsia="仿宋_GB2312" w:cs="Times New Roman"/>
                <w:color w:val="000000"/>
                <w:sz w:val="24"/>
                <w:szCs w:val="24"/>
              </w:rPr>
            </w:pPr>
          </w:p>
        </w:tc>
      </w:tr>
    </w:tbl>
    <w:p w14:paraId="7A10177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79EA18F">
      <w:pPr>
        <w:widowControl/>
        <w:jc w:val="left"/>
        <w:textAlignment w:val="center"/>
        <w:rPr>
          <w:rFonts w:ascii="Times New Roman" w:hAnsi="Times New Roman" w:eastAsia="仿宋_GB2312" w:cs="Times New Roman"/>
          <w:color w:val="000000"/>
          <w:kern w:val="0"/>
          <w:sz w:val="24"/>
          <w:szCs w:val="24"/>
          <w:lang w:bidi="ar"/>
        </w:rPr>
      </w:pPr>
    </w:p>
    <w:p w14:paraId="0DA0E17A">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C57F1BC">
      <w:pPr>
        <w:widowControl/>
        <w:jc w:val="center"/>
        <w:rPr>
          <w:rFonts w:ascii="Times New Roman" w:hAnsi="Times New Roman" w:eastAsia="方正小标宋_GBK" w:cs="Times New Roman"/>
          <w:color w:val="000000"/>
          <w:kern w:val="0"/>
          <w:sz w:val="36"/>
          <w:szCs w:val="36"/>
        </w:rPr>
      </w:pPr>
    </w:p>
    <w:p w14:paraId="5A0842DA">
      <w:pPr>
        <w:widowControl/>
        <w:spacing w:line="400" w:lineRule="exact"/>
        <w:textAlignment w:val="center"/>
        <w:rPr>
          <w:rFonts w:ascii="Times New Roman" w:hAnsi="Times New Roman" w:eastAsia="黑体" w:cs="Times New Roman"/>
          <w:color w:val="000000"/>
          <w:kern w:val="0"/>
          <w:sz w:val="36"/>
          <w:szCs w:val="36"/>
          <w:lang w:bidi="ar"/>
        </w:rPr>
      </w:pPr>
    </w:p>
    <w:p w14:paraId="09C0643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FB73B6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E42A27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BE79B6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2AD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4F9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72D469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5FFA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B82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F0F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182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555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9162E1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4AF4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DA0A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AB2A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A77F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9EE42">
            <w:pPr>
              <w:jc w:val="center"/>
              <w:rPr>
                <w:rFonts w:ascii="Times New Roman" w:hAnsi="Times New Roman" w:eastAsia="仿宋_GB2312" w:cs="Times New Roman"/>
                <w:color w:val="000000"/>
                <w:sz w:val="24"/>
                <w:szCs w:val="24"/>
              </w:rPr>
            </w:pPr>
          </w:p>
        </w:tc>
      </w:tr>
      <w:tr w14:paraId="273B0F6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8AB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52D6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62D8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B46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D1031">
            <w:pPr>
              <w:jc w:val="center"/>
              <w:rPr>
                <w:rFonts w:ascii="Times New Roman" w:hAnsi="Times New Roman" w:eastAsia="仿宋_GB2312" w:cs="Times New Roman"/>
                <w:color w:val="000000"/>
                <w:sz w:val="24"/>
                <w:szCs w:val="24"/>
              </w:rPr>
            </w:pPr>
          </w:p>
        </w:tc>
      </w:tr>
      <w:tr w14:paraId="1A14B34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BF6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C7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27F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E24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9DDCC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D60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8C2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7D1F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3C8FE">
            <w:pPr>
              <w:jc w:val="center"/>
              <w:rPr>
                <w:rFonts w:ascii="Times New Roman" w:hAnsi="Times New Roman" w:eastAsia="仿宋_GB2312" w:cs="Times New Roman"/>
                <w:color w:val="000000"/>
                <w:sz w:val="24"/>
                <w:szCs w:val="24"/>
              </w:rPr>
            </w:pPr>
          </w:p>
        </w:tc>
      </w:tr>
      <w:tr w14:paraId="4BA8CEA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BC9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12E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B76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EB0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B267">
            <w:pPr>
              <w:rPr>
                <w:rFonts w:ascii="Times New Roman" w:hAnsi="Times New Roman" w:eastAsia="仿宋_GB2312" w:cs="Times New Roman"/>
                <w:color w:val="000000"/>
                <w:sz w:val="24"/>
                <w:szCs w:val="24"/>
              </w:rPr>
            </w:pPr>
          </w:p>
        </w:tc>
      </w:tr>
      <w:tr w14:paraId="407006F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952D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A8A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F4F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9A4D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803E">
            <w:pPr>
              <w:rPr>
                <w:rFonts w:ascii="Times New Roman" w:hAnsi="Times New Roman" w:eastAsia="仿宋_GB2312" w:cs="Times New Roman"/>
                <w:color w:val="000000"/>
                <w:sz w:val="24"/>
                <w:szCs w:val="24"/>
              </w:rPr>
            </w:pPr>
          </w:p>
        </w:tc>
      </w:tr>
      <w:tr w14:paraId="4B01EA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DDD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A97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A5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3A5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387E">
            <w:pPr>
              <w:rPr>
                <w:rFonts w:ascii="Times New Roman" w:hAnsi="Times New Roman" w:eastAsia="宋体" w:cs="Times New Roman"/>
                <w:color w:val="000000"/>
                <w:sz w:val="24"/>
                <w:szCs w:val="24"/>
              </w:rPr>
            </w:pPr>
          </w:p>
        </w:tc>
      </w:tr>
      <w:tr w14:paraId="2CA594D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334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066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71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5A7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E9AE">
            <w:pPr>
              <w:rPr>
                <w:rFonts w:ascii="Times New Roman" w:hAnsi="Times New Roman" w:eastAsia="宋体" w:cs="Times New Roman"/>
                <w:color w:val="000000"/>
                <w:sz w:val="24"/>
                <w:szCs w:val="24"/>
              </w:rPr>
            </w:pPr>
          </w:p>
        </w:tc>
      </w:tr>
      <w:tr w14:paraId="78B0F0D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5A0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8D3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C0A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8C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1984">
            <w:pPr>
              <w:rPr>
                <w:rFonts w:ascii="Times New Roman" w:hAnsi="Times New Roman" w:eastAsia="宋体" w:cs="Times New Roman"/>
                <w:color w:val="000000"/>
                <w:sz w:val="24"/>
                <w:szCs w:val="24"/>
              </w:rPr>
            </w:pPr>
          </w:p>
        </w:tc>
      </w:tr>
      <w:tr w14:paraId="64E9895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B34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C1C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C8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8E85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A137">
            <w:pPr>
              <w:rPr>
                <w:rFonts w:ascii="Times New Roman" w:hAnsi="Times New Roman" w:eastAsia="宋体" w:cs="Times New Roman"/>
                <w:color w:val="000000"/>
                <w:sz w:val="24"/>
                <w:szCs w:val="24"/>
              </w:rPr>
            </w:pPr>
          </w:p>
        </w:tc>
      </w:tr>
    </w:tbl>
    <w:p w14:paraId="5C43FFA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0528D75">
      <w:pPr>
        <w:widowControl/>
        <w:jc w:val="left"/>
        <w:textAlignment w:val="center"/>
        <w:rPr>
          <w:rFonts w:ascii="Times New Roman" w:hAnsi="Times New Roman" w:eastAsia="宋体" w:cs="Times New Roman"/>
          <w:color w:val="000000"/>
          <w:kern w:val="0"/>
          <w:sz w:val="24"/>
          <w:szCs w:val="24"/>
          <w:lang w:bidi="ar"/>
        </w:rPr>
      </w:pPr>
    </w:p>
    <w:p w14:paraId="0BD3727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543D446">
      <w:pPr>
        <w:widowControl/>
        <w:jc w:val="center"/>
        <w:rPr>
          <w:rFonts w:ascii="Times New Roman" w:hAnsi="Times New Roman" w:eastAsia="方正小标宋_GBK" w:cs="Times New Roman"/>
          <w:color w:val="000000"/>
          <w:kern w:val="0"/>
          <w:sz w:val="36"/>
          <w:szCs w:val="36"/>
        </w:rPr>
      </w:pPr>
    </w:p>
    <w:p w14:paraId="22C82A1C">
      <w:pPr>
        <w:pStyle w:val="7"/>
        <w:spacing w:line="400" w:lineRule="exact"/>
        <w:rPr>
          <w:rFonts w:ascii="Times New Roman" w:hAnsi="Times New Roman" w:eastAsia="华文中宋" w:cs="Times New Roman"/>
          <w:color w:val="000000"/>
          <w:kern w:val="0"/>
          <w:sz w:val="32"/>
          <w:szCs w:val="32"/>
          <w:lang w:bidi="ar"/>
        </w:rPr>
      </w:pPr>
    </w:p>
    <w:p w14:paraId="5B6F18C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F0B87C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EF5131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2349CD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D588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F4DE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03D191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E8C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1E8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5B0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F1D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DE4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77A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FAB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364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617BCD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56F3B">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0F8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A1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18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D8D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E8F3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BDF7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73F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9C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D2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28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87398">
            <w:pPr>
              <w:jc w:val="center"/>
              <w:rPr>
                <w:rFonts w:ascii="Times New Roman" w:hAnsi="Times New Roman" w:eastAsia="仿宋_GB2312" w:cs="Times New Roman"/>
                <w:color w:val="000000"/>
                <w:sz w:val="22"/>
              </w:rPr>
            </w:pPr>
          </w:p>
        </w:tc>
      </w:tr>
      <w:tr w14:paraId="317956A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79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DF7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2E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FA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34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22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9A5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35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86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135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83F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ED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3C13A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501F5">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3608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B0DA">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C129">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5525">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B89A">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87C3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4F67">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988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6FA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A87E">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CDB6">
            <w:pPr>
              <w:rPr>
                <w:rFonts w:ascii="Times New Roman" w:hAnsi="Times New Roman" w:eastAsia="仿宋_GB2312" w:cs="Times New Roman"/>
                <w:color w:val="000000"/>
                <w:sz w:val="22"/>
              </w:rPr>
            </w:pPr>
          </w:p>
        </w:tc>
      </w:tr>
    </w:tbl>
    <w:p w14:paraId="1FD12B3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CB966E0">
      <w:pPr>
        <w:autoSpaceDE w:val="0"/>
        <w:autoSpaceDN w:val="0"/>
        <w:adjustRightInd w:val="0"/>
        <w:ind w:left="315" w:leftChars="150"/>
        <w:jc w:val="left"/>
        <w:rPr>
          <w:rFonts w:ascii="Times New Roman" w:hAnsi="Times New Roman" w:eastAsia="宋体" w:cs="Times New Roman"/>
          <w:kern w:val="0"/>
          <w:sz w:val="24"/>
          <w:szCs w:val="24"/>
        </w:rPr>
      </w:pPr>
    </w:p>
    <w:p w14:paraId="0793B91E">
      <w:pPr>
        <w:autoSpaceDE w:val="0"/>
        <w:autoSpaceDN w:val="0"/>
        <w:adjustRightInd w:val="0"/>
        <w:ind w:left="315" w:leftChars="150"/>
        <w:jc w:val="left"/>
        <w:rPr>
          <w:rFonts w:ascii="Times New Roman" w:hAnsi="Times New Roman" w:eastAsia="宋体" w:cs="Times New Roman"/>
          <w:kern w:val="0"/>
          <w:sz w:val="24"/>
          <w:szCs w:val="24"/>
        </w:rPr>
      </w:pPr>
    </w:p>
    <w:p w14:paraId="0EBB28EF">
      <w:pPr>
        <w:autoSpaceDE w:val="0"/>
        <w:autoSpaceDN w:val="0"/>
        <w:adjustRightInd w:val="0"/>
        <w:ind w:left="315" w:leftChars="150"/>
        <w:jc w:val="left"/>
        <w:rPr>
          <w:rFonts w:ascii="Times New Roman" w:hAnsi="Times New Roman" w:eastAsia="宋体" w:cs="Times New Roman"/>
          <w:kern w:val="0"/>
          <w:sz w:val="24"/>
          <w:szCs w:val="24"/>
        </w:rPr>
      </w:pPr>
    </w:p>
    <w:p w14:paraId="2EE661D3">
      <w:pPr>
        <w:autoSpaceDE w:val="0"/>
        <w:autoSpaceDN w:val="0"/>
        <w:adjustRightInd w:val="0"/>
        <w:ind w:left="315" w:leftChars="150"/>
        <w:jc w:val="left"/>
        <w:rPr>
          <w:rFonts w:ascii="Times New Roman" w:hAnsi="Times New Roman" w:eastAsia="宋体" w:cs="Times New Roman"/>
          <w:kern w:val="0"/>
          <w:sz w:val="24"/>
          <w:szCs w:val="24"/>
        </w:rPr>
      </w:pPr>
    </w:p>
    <w:p w14:paraId="67F06032">
      <w:pPr>
        <w:autoSpaceDE w:val="0"/>
        <w:autoSpaceDN w:val="0"/>
        <w:adjustRightInd w:val="0"/>
        <w:ind w:left="315" w:leftChars="150"/>
        <w:jc w:val="left"/>
        <w:rPr>
          <w:rFonts w:ascii="Times New Roman" w:hAnsi="Times New Roman" w:eastAsia="宋体" w:cs="Times New Roman"/>
          <w:kern w:val="0"/>
          <w:sz w:val="24"/>
          <w:szCs w:val="24"/>
        </w:rPr>
      </w:pPr>
    </w:p>
    <w:p w14:paraId="5FB7B48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E7B6410">
      <w:pPr>
        <w:pStyle w:val="13"/>
        <w:rPr>
          <w:rFonts w:ascii="Times New Roman" w:hAnsi="Times New Roman" w:cs="Times New Roman"/>
          <w:sz w:val="72"/>
          <w:szCs w:val="72"/>
        </w:rPr>
      </w:pPr>
    </w:p>
    <w:p w14:paraId="2C363E1B">
      <w:pPr>
        <w:pStyle w:val="13"/>
        <w:rPr>
          <w:rFonts w:ascii="Times New Roman" w:hAnsi="Times New Roman" w:cs="Times New Roman"/>
          <w:sz w:val="72"/>
          <w:szCs w:val="72"/>
        </w:rPr>
      </w:pPr>
    </w:p>
    <w:p w14:paraId="7A1CCD23">
      <w:pPr>
        <w:pStyle w:val="13"/>
        <w:rPr>
          <w:rFonts w:ascii="Times New Roman" w:hAnsi="Times New Roman" w:cs="Times New Roman"/>
          <w:sz w:val="72"/>
          <w:szCs w:val="72"/>
        </w:rPr>
      </w:pPr>
    </w:p>
    <w:p w14:paraId="698022AD">
      <w:pPr>
        <w:pStyle w:val="13"/>
        <w:jc w:val="center"/>
        <w:rPr>
          <w:rFonts w:ascii="Times New Roman" w:hAnsi="Times New Roman" w:cs="Times New Roman"/>
          <w:sz w:val="72"/>
          <w:szCs w:val="72"/>
        </w:rPr>
      </w:pPr>
    </w:p>
    <w:p w14:paraId="0D6FBCDF">
      <w:pPr>
        <w:pStyle w:val="13"/>
        <w:jc w:val="center"/>
        <w:rPr>
          <w:rFonts w:ascii="Times New Roman" w:hAnsi="Times New Roman" w:eastAsia="方正小标宋_GBK" w:cs="Times New Roman"/>
          <w:sz w:val="72"/>
          <w:szCs w:val="72"/>
        </w:rPr>
      </w:pPr>
    </w:p>
    <w:p w14:paraId="39562A4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29F60A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default" w:ascii="Times New Roman" w:hAnsi="Times New Roman" w:eastAsia="方正小标宋_GBK" w:cs="Times New Roman"/>
          <w:sz w:val="52"/>
          <w:szCs w:val="52"/>
          <w:lang w:val="en-US"/>
        </w:rPr>
        <w:t>5</w:t>
      </w:r>
      <w:r>
        <w:rPr>
          <w:rFonts w:ascii="Times New Roman" w:hAnsi="Times New Roman" w:eastAsia="方正小标宋_GBK" w:cs="Times New Roman"/>
          <w:sz w:val="52"/>
          <w:szCs w:val="52"/>
        </w:rPr>
        <w:t>年度部门决算情况说明</w:t>
      </w:r>
    </w:p>
    <w:p w14:paraId="01E4D9E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C85612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DCC570">
      <w:pPr>
        <w:pStyle w:val="13"/>
        <w:overflowPunct w:val="0"/>
        <w:autoSpaceDE/>
        <w:autoSpaceDN/>
        <w:spacing w:line="600" w:lineRule="exact"/>
        <w:ind w:firstLine="640" w:firstLineChars="200"/>
        <w:jc w:val="both"/>
        <w:rPr>
          <w:rFonts w:hint="eastAsia" w:ascii="Times New Roman" w:hAnsi="Times New Roman" w:eastAsia="仿宋" w:cs="Times New Roman"/>
          <w:sz w:val="32"/>
          <w:szCs w:val="32"/>
          <w:lang w:eastAsia="zh-CN"/>
        </w:rPr>
      </w:pPr>
      <w:r>
        <w:rPr>
          <w:rFonts w:ascii="Times New Roman" w:hAnsi="Times New Roman" w:eastAsia="仿宋" w:cs="Times New Roman"/>
          <w:sz w:val="32"/>
          <w:szCs w:val="32"/>
        </w:rPr>
        <w:t>2025年度收、支总计5025.50万元。与上年相比，减少3884.35万元，降低43.60%，主要是因为：2024年怀化市本级新冠疫情防控经费和单位整体搬迁建设资金等一次性支出较多，2025年此类支出大幅减少；同时，我单位贯彻落实党政机关习惯过紧日子有关要求，厉行节约办一切事业，严控一般性支出，进一步优化支出结构，持续压降“三公”经费、办公经费、会议培训等行政开支，坚持有保有压，合理保障疾病预防控制、突发公共卫生事件应急处置等重点支出，体现在有关支出科目中。</w:t>
      </w:r>
    </w:p>
    <w:p w14:paraId="0865A9CA">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疾病预防控制、突发公共卫生事件应急处置等重点支出，体现在有关支出科目中。</w:t>
      </w:r>
    </w:p>
    <w:p w14:paraId="1A6F9E1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93BFC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 w:cs="Times New Roman"/>
          <w:sz w:val="32"/>
          <w:szCs w:val="32"/>
        </w:rPr>
        <w:t>2025年度收入合计5025.50万元，其中：财政拨款收入4555.20万元，占90.64%；上级补助收入0万元，占0%；事业收入153.09万元，占3.05%；经营收入0万元，占0%；附属单位上缴收入0万元，占0%；其他收入317.21万元，占6.31%。</w:t>
      </w:r>
    </w:p>
    <w:p w14:paraId="7545BA3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19B35D4">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2025年度支出合计5025.50万元，其中：基本支出3338.71万元，占66.44%；项目支出1686.79万元，占33.56%；上缴上级支出0万元，占0%；经营支出0万元，占0%；对附属单位补助支出0万元，占0%。</w:t>
      </w:r>
    </w:p>
    <w:p w14:paraId="131470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6F92A1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 w:cs="Times New Roman"/>
          <w:sz w:val="32"/>
          <w:szCs w:val="32"/>
        </w:rPr>
        <w:t>2025年度财政拨款收、支总计4555.20万元，与上年相比，减少3950.32万元，降低46.44%，主要是因为：2024年市本级新冠疫情防控专户结算资金和单位整体搬迁建设资金等一次性大额财政拨款支出较多，2025年此类支出明显减少，财政拨款支出回归常态化运行保障水平。</w:t>
      </w:r>
    </w:p>
    <w:p w14:paraId="7706C57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F64AA2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AD9A4F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 w:cs="Times New Roman"/>
          <w:sz w:val="32"/>
          <w:szCs w:val="32"/>
        </w:rPr>
        <w:t>2025年度财政拨款支出4555.20万元，占本年支出合计的90.64%，与上年相比，财政拨款支出减少3950.32万元，降低46.44%，主要是因为：市本级新冠疫情防控专户结算资金和单位整体搬迁建设资金等一次性支出减少，财政拨款支出主要用于保障单位正常运转和疾病预防控制各项业务开展。</w:t>
      </w:r>
    </w:p>
    <w:p w14:paraId="10DB910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C12377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 w:cs="Times New Roman"/>
          <w:sz w:val="32"/>
          <w:szCs w:val="32"/>
          <w:lang w:eastAsia="zh-CN"/>
        </w:rPr>
        <w:t>2025年度财政拨款支出4555.20万元，主要用于以下方面：一般公共服务（类）支出201.83万元，占4.43%；教育（类）支出14.95万元，占0.33%；科学技术（类）支出6.60万元，占0.14%；社会保障和就业（类）支出205.32万元，占4.51%；卫生健康（类）支出3934.51万元，占86.37%；住房保障（类）支出191.99万元，占4.21%。</w:t>
      </w:r>
    </w:p>
    <w:p w14:paraId="7A2185A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99DC809">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2025年度财政拨款支出年初预算数为2626.78万元，支出决算数为4555.20万元，完成年初预算的173.41%，决算数大于年初预算数的主要原因是：年中追加了中央和省级财政补助经费及市本级专项资金。具体情况如下：</w:t>
      </w:r>
    </w:p>
    <w:p w14:paraId="62CBEBB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1、一般公共服务支出（类）</w:t>
      </w:r>
      <w:r>
        <w:rPr>
          <w:rFonts w:hint="eastAsia" w:ascii="Times New Roman" w:hAnsi="Times New Roman" w:eastAsia="仿宋_GB2312" w:cs="Times New Roman"/>
          <w:sz w:val="32"/>
          <w:szCs w:val="32"/>
          <w:lang w:eastAsia="zh-CN"/>
        </w:rPr>
        <w:t>其他</w:t>
      </w:r>
      <w:r>
        <w:rPr>
          <w:rFonts w:hint="eastAsia" w:ascii="Times New Roman" w:hAnsi="Times New Roman" w:eastAsia="仿宋_GB2312" w:cs="Times New Roman"/>
          <w:sz w:val="32"/>
          <w:szCs w:val="32"/>
        </w:rPr>
        <w:t>一般公共服务支出（款）</w:t>
      </w:r>
      <w:r>
        <w:rPr>
          <w:rFonts w:hint="eastAsia" w:ascii="Times New Roman" w:hAnsi="Times New Roman" w:eastAsia="仿宋_GB2312" w:cs="Times New Roman"/>
          <w:sz w:val="32"/>
          <w:szCs w:val="32"/>
          <w:lang w:eastAsia="zh-CN"/>
        </w:rPr>
        <w:t>其他</w:t>
      </w:r>
      <w:r>
        <w:rPr>
          <w:rFonts w:hint="eastAsia" w:ascii="Times New Roman" w:hAnsi="Times New Roman" w:eastAsia="仿宋_GB2312" w:cs="Times New Roman"/>
          <w:sz w:val="32"/>
          <w:szCs w:val="32"/>
        </w:rPr>
        <w:t>一般公共服务支出（项）。</w:t>
      </w:r>
    </w:p>
    <w:p w14:paraId="1AFD76E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201.83</w:t>
      </w:r>
      <w:r>
        <w:rPr>
          <w:rFonts w:hint="eastAsia" w:ascii="Times New Roman" w:hAnsi="Times New Roman" w:eastAsia="仿宋_GB2312" w:cs="Times New Roman"/>
          <w:sz w:val="32"/>
          <w:szCs w:val="32"/>
        </w:rPr>
        <w:t>万元，决算数大于年初预算数的主要原因是：追加了</w:t>
      </w:r>
      <w:r>
        <w:rPr>
          <w:rFonts w:hint="eastAsia" w:ascii="Times New Roman" w:hAnsi="Times New Roman" w:eastAsia="仿宋_GB2312" w:cs="Times New Roman"/>
          <w:sz w:val="32"/>
          <w:szCs w:val="32"/>
          <w:lang w:val="en-US" w:eastAsia="zh-CN"/>
        </w:rPr>
        <w:t>工资指标及年度考核奖</w:t>
      </w:r>
      <w:r>
        <w:rPr>
          <w:rFonts w:hint="eastAsia" w:ascii="Times New Roman" w:hAnsi="Times New Roman" w:eastAsia="仿宋_GB2312" w:cs="Times New Roman"/>
          <w:sz w:val="32"/>
          <w:szCs w:val="32"/>
          <w:lang w:eastAsia="zh-CN"/>
        </w:rPr>
        <w:t>。</w:t>
      </w:r>
    </w:p>
    <w:p w14:paraId="19CBECA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2、教育支出（类）其他教育支出（款）其他教育支出（项）。</w:t>
      </w:r>
    </w:p>
    <w:p w14:paraId="4C9429B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14.96</w:t>
      </w:r>
      <w:r>
        <w:rPr>
          <w:rFonts w:hint="eastAsia" w:ascii="Times New Roman" w:hAnsi="Times New Roman" w:eastAsia="仿宋_GB2312" w:cs="Times New Roman"/>
          <w:sz w:val="32"/>
          <w:szCs w:val="32"/>
        </w:rPr>
        <w:t>万元，决算数大于年初预算数的主要原因是：追加了</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rPr>
        <w:t>市直学校结核病筛查经费</w:t>
      </w:r>
      <w:r>
        <w:rPr>
          <w:rFonts w:hint="eastAsia" w:ascii="Times New Roman" w:hAnsi="Times New Roman" w:eastAsia="仿宋_GB2312" w:cs="Times New Roman"/>
          <w:sz w:val="32"/>
          <w:szCs w:val="32"/>
          <w:lang w:eastAsia="zh-CN"/>
        </w:rPr>
        <w:t>（新生入学结核病筛查）</w:t>
      </w:r>
      <w:r>
        <w:rPr>
          <w:rFonts w:hint="eastAsia" w:ascii="Times New Roman" w:hAnsi="Times New Roman" w:eastAsia="仿宋_GB2312" w:cs="Times New Roman"/>
          <w:sz w:val="32"/>
          <w:szCs w:val="32"/>
        </w:rPr>
        <w:t>。</w:t>
      </w:r>
    </w:p>
    <w:p w14:paraId="031EF61B">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3</w:t>
      </w:r>
      <w:r>
        <w:rPr>
          <w:rFonts w:ascii="Times New Roman" w:hAnsi="Times New Roman" w:eastAsia="仿宋" w:cs="Times New Roman"/>
          <w:sz w:val="32"/>
          <w:szCs w:val="32"/>
        </w:rPr>
        <w:t>、</w:t>
      </w:r>
      <w:r>
        <w:rPr>
          <w:rFonts w:hint="eastAsia" w:ascii="Times New Roman" w:hAnsi="Times New Roman" w:eastAsia="仿宋" w:cs="Times New Roman"/>
          <w:sz w:val="32"/>
          <w:szCs w:val="32"/>
          <w:lang w:eastAsia="zh-CN"/>
        </w:rPr>
        <w:t>科学技术支出</w:t>
      </w:r>
      <w:r>
        <w:rPr>
          <w:rFonts w:ascii="Times New Roman" w:hAnsi="Times New Roman" w:eastAsia="仿宋" w:cs="Times New Roman"/>
          <w:sz w:val="32"/>
          <w:szCs w:val="32"/>
        </w:rPr>
        <w:t>（类）</w:t>
      </w:r>
      <w:r>
        <w:rPr>
          <w:rFonts w:hint="eastAsia" w:ascii="Times New Roman" w:hAnsi="Times New Roman" w:eastAsia="仿宋" w:cs="Times New Roman"/>
          <w:sz w:val="32"/>
          <w:szCs w:val="32"/>
          <w:lang w:eastAsia="zh-CN"/>
        </w:rPr>
        <w:t>其他科学技术支出</w:t>
      </w:r>
      <w:r>
        <w:rPr>
          <w:rFonts w:ascii="Times New Roman" w:hAnsi="Times New Roman" w:eastAsia="仿宋" w:cs="Times New Roman"/>
          <w:sz w:val="32"/>
          <w:szCs w:val="32"/>
        </w:rPr>
        <w:t>（款）</w:t>
      </w:r>
      <w:r>
        <w:rPr>
          <w:rFonts w:hint="eastAsia" w:ascii="Times New Roman" w:hAnsi="Times New Roman" w:eastAsia="仿宋" w:cs="Times New Roman"/>
          <w:sz w:val="32"/>
          <w:szCs w:val="32"/>
          <w:lang w:eastAsia="zh-CN"/>
        </w:rPr>
        <w:t>其他科学技术支出</w:t>
      </w:r>
      <w:r>
        <w:rPr>
          <w:rFonts w:ascii="Times New Roman" w:hAnsi="Times New Roman" w:eastAsia="仿宋" w:cs="Times New Roman"/>
          <w:sz w:val="32"/>
          <w:szCs w:val="32"/>
        </w:rPr>
        <w:t>（项）。</w:t>
      </w:r>
    </w:p>
    <w:p w14:paraId="7A2CA31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6.6</w:t>
      </w:r>
      <w:r>
        <w:rPr>
          <w:rFonts w:hint="eastAsia" w:ascii="Times New Roman" w:hAnsi="Times New Roman" w:eastAsia="仿宋_GB2312" w:cs="Times New Roman"/>
          <w:sz w:val="32"/>
          <w:szCs w:val="32"/>
        </w:rPr>
        <w:t>万元，决算数大于年初预算数的主要原因是：追加了</w:t>
      </w:r>
      <w:r>
        <w:rPr>
          <w:rFonts w:hint="eastAsia"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5年市直企事业单位全职引进人才补贴。</w:t>
      </w:r>
    </w:p>
    <w:p w14:paraId="46BDD3B2">
      <w:pPr>
        <w:spacing w:line="600" w:lineRule="exact"/>
        <w:ind w:firstLine="800" w:firstLineChars="250"/>
        <w:jc w:val="left"/>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4</w:t>
      </w:r>
      <w:r>
        <w:rPr>
          <w:rFonts w:ascii="Times New Roman" w:hAnsi="Times New Roman" w:eastAsia="仿宋" w:cs="Times New Roman"/>
          <w:sz w:val="32"/>
          <w:szCs w:val="32"/>
        </w:rPr>
        <w:t>、社会保障和就业支出（类）行政事业单位养老支出（款）机关事业单位基本养老保险缴费支出（项）。</w:t>
      </w:r>
    </w:p>
    <w:p w14:paraId="14D63A6E">
      <w:pPr>
        <w:pStyle w:val="13"/>
        <w:overflowPunct w:val="0"/>
        <w:autoSpaceDE/>
        <w:autoSpaceDN/>
        <w:spacing w:line="600" w:lineRule="exact"/>
        <w:ind w:firstLine="640" w:firstLineChars="200"/>
        <w:jc w:val="both"/>
        <w:rPr>
          <w:rFonts w:hint="eastAsia" w:ascii="Times New Roman" w:hAnsi="Times New Roman" w:eastAsia="仿宋"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206.60</w:t>
      </w:r>
      <w:r>
        <w:rPr>
          <w:rFonts w:hint="eastAsia" w:ascii="Times New Roman" w:hAnsi="Times New Roman" w:eastAsia="仿宋_GB2312" w:cs="Times New Roman"/>
          <w:sz w:val="32"/>
          <w:szCs w:val="32"/>
        </w:rPr>
        <w:t>万元，</w:t>
      </w:r>
      <w:r>
        <w:rPr>
          <w:rFonts w:ascii="Times New Roman" w:hAnsi="Times New Roman" w:eastAsia="仿宋" w:cs="Times New Roman"/>
          <w:sz w:val="32"/>
          <w:szCs w:val="32"/>
        </w:rPr>
        <w:t>支出决算为</w:t>
      </w:r>
      <w:r>
        <w:rPr>
          <w:rFonts w:hint="eastAsia" w:ascii="Times New Roman" w:hAnsi="Times New Roman" w:eastAsia="仿宋" w:cs="Times New Roman"/>
          <w:sz w:val="32"/>
          <w:szCs w:val="32"/>
          <w:lang w:val="en-US" w:eastAsia="zh-CN"/>
        </w:rPr>
        <w:t>205.32</w:t>
      </w:r>
      <w:r>
        <w:rPr>
          <w:rFonts w:ascii="Times New Roman" w:hAnsi="Times New Roman" w:eastAsia="仿宋" w:cs="Times New Roman"/>
          <w:sz w:val="32"/>
          <w:szCs w:val="32"/>
        </w:rPr>
        <w:t>万元，主要用于单位为职工缴纳的基本养老保险</w:t>
      </w:r>
      <w:r>
        <w:rPr>
          <w:rFonts w:hint="eastAsia" w:ascii="Times New Roman" w:hAnsi="Times New Roman" w:eastAsia="仿宋" w:cs="Times New Roman"/>
          <w:sz w:val="32"/>
          <w:szCs w:val="32"/>
          <w:lang w:eastAsia="zh-CN"/>
        </w:rPr>
        <w:t>。</w:t>
      </w:r>
    </w:p>
    <w:p w14:paraId="34917B4E">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5、</w:t>
      </w:r>
      <w:r>
        <w:rPr>
          <w:rFonts w:ascii="Times New Roman" w:hAnsi="Times New Roman" w:eastAsia="仿宋" w:cs="Times New Roman"/>
          <w:sz w:val="32"/>
          <w:szCs w:val="32"/>
        </w:rPr>
        <w:t>卫生健康支出（类）</w:t>
      </w:r>
      <w:r>
        <w:rPr>
          <w:rFonts w:hint="eastAsia" w:ascii="Times New Roman" w:hAnsi="Times New Roman" w:eastAsia="仿宋" w:cs="Times New Roman"/>
          <w:sz w:val="32"/>
          <w:szCs w:val="32"/>
          <w:lang w:eastAsia="zh-CN"/>
        </w:rPr>
        <w:t>卫生健康事务</w:t>
      </w:r>
      <w:r>
        <w:rPr>
          <w:rFonts w:ascii="Times New Roman" w:hAnsi="Times New Roman" w:eastAsia="仿宋" w:cs="Times New Roman"/>
          <w:sz w:val="32"/>
          <w:szCs w:val="32"/>
        </w:rPr>
        <w:t>（款）</w:t>
      </w:r>
      <w:r>
        <w:rPr>
          <w:rFonts w:hint="eastAsia" w:ascii="Times New Roman" w:hAnsi="Times New Roman" w:eastAsia="仿宋" w:cs="Times New Roman"/>
          <w:sz w:val="32"/>
          <w:szCs w:val="32"/>
          <w:lang w:eastAsia="zh-CN"/>
        </w:rPr>
        <w:t>其他卫生健康管理事务支出</w:t>
      </w:r>
      <w:r>
        <w:rPr>
          <w:rFonts w:ascii="Times New Roman" w:hAnsi="Times New Roman" w:eastAsia="仿宋" w:cs="Times New Roman"/>
          <w:sz w:val="32"/>
          <w:szCs w:val="32"/>
        </w:rPr>
        <w:t>（项）。</w:t>
      </w:r>
    </w:p>
    <w:p w14:paraId="42215758">
      <w:pPr>
        <w:pStyle w:val="13"/>
        <w:overflowPunct w:val="0"/>
        <w:autoSpaceDE/>
        <w:autoSpaceDN/>
        <w:spacing w:line="600" w:lineRule="exact"/>
        <w:ind w:firstLine="640" w:firstLineChars="200"/>
        <w:jc w:val="both"/>
        <w:rPr>
          <w:rFonts w:hint="eastAsia" w:ascii="Times New Roman" w:hAnsi="Times New Roman" w:eastAsia="仿宋"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ascii="Times New Roman" w:hAnsi="Times New Roman" w:eastAsia="仿宋" w:cs="Times New Roman"/>
          <w:sz w:val="32"/>
          <w:szCs w:val="32"/>
        </w:rPr>
        <w:t>支出决算为</w:t>
      </w:r>
      <w:r>
        <w:rPr>
          <w:rFonts w:hint="eastAsia" w:ascii="Times New Roman" w:hAnsi="Times New Roman" w:eastAsia="仿宋" w:cs="Times New Roman"/>
          <w:sz w:val="32"/>
          <w:szCs w:val="32"/>
          <w:lang w:val="en-US" w:eastAsia="zh-CN"/>
        </w:rPr>
        <w:t>0.97</w:t>
      </w:r>
      <w:r>
        <w:rPr>
          <w:rFonts w:ascii="Times New Roman" w:hAnsi="Times New Roman" w:eastAsia="仿宋" w:cs="Times New Roman"/>
          <w:sz w:val="32"/>
          <w:szCs w:val="32"/>
        </w:rPr>
        <w:t>万元，主要</w:t>
      </w:r>
      <w:r>
        <w:rPr>
          <w:rFonts w:hint="eastAsia" w:ascii="Times New Roman" w:hAnsi="Times New Roman" w:eastAsia="仿宋" w:cs="Times New Roman"/>
          <w:sz w:val="32"/>
          <w:szCs w:val="32"/>
          <w:lang w:eastAsia="zh-CN"/>
        </w:rPr>
        <w:t>为新增遗属生活补贴。</w:t>
      </w:r>
    </w:p>
    <w:p w14:paraId="2625884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公立医院</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其他公立医院</w:t>
      </w:r>
      <w:r>
        <w:rPr>
          <w:rFonts w:hint="eastAsia" w:ascii="Times New Roman" w:hAnsi="Times New Roman" w:eastAsia="仿宋_GB2312" w:cs="Times New Roman"/>
          <w:sz w:val="32"/>
          <w:szCs w:val="32"/>
        </w:rPr>
        <w:t>支出（项）</w:t>
      </w:r>
    </w:p>
    <w:p w14:paraId="298E65F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12.15</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结转了中央补助医疗服务与保障能力提升经费</w:t>
      </w:r>
      <w:r>
        <w:rPr>
          <w:rFonts w:hint="eastAsia" w:ascii="Times New Roman" w:hAnsi="Times New Roman" w:eastAsia="仿宋_GB2312" w:cs="Times New Roman"/>
          <w:sz w:val="32"/>
          <w:szCs w:val="32"/>
        </w:rPr>
        <w:t>。</w:t>
      </w:r>
    </w:p>
    <w:p w14:paraId="187AC91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 w:cs="Times New Roman"/>
          <w:sz w:val="32"/>
          <w:szCs w:val="32"/>
          <w:lang w:val="en-US" w:eastAsia="zh-CN"/>
        </w:rPr>
        <w:t>7、</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基层医疗卫生机构</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其他基层医疗卫生机构</w:t>
      </w:r>
      <w:r>
        <w:rPr>
          <w:rFonts w:hint="eastAsia" w:ascii="Times New Roman" w:hAnsi="Times New Roman" w:eastAsia="仿宋_GB2312" w:cs="Times New Roman"/>
          <w:sz w:val="32"/>
          <w:szCs w:val="32"/>
        </w:rPr>
        <w:t>支出（项）</w:t>
      </w:r>
    </w:p>
    <w:p w14:paraId="1B92F9B1">
      <w:pPr>
        <w:pStyle w:val="13"/>
        <w:overflowPunct w:val="0"/>
        <w:autoSpaceDE/>
        <w:autoSpaceDN/>
        <w:spacing w:line="600" w:lineRule="exact"/>
        <w:ind w:firstLine="640" w:firstLineChars="200"/>
        <w:jc w:val="both"/>
        <w:rPr>
          <w:rFonts w:hint="default" w:ascii="Times New Roman" w:hAnsi="Times New Roman" w:eastAsia="仿宋"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159.20</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追加了中央补助医疗服务与保障能力提升经费</w:t>
      </w:r>
      <w:r>
        <w:rPr>
          <w:rFonts w:hint="eastAsia" w:ascii="Times New Roman" w:hAnsi="Times New Roman" w:eastAsia="仿宋_GB2312" w:cs="Times New Roman"/>
          <w:sz w:val="32"/>
          <w:szCs w:val="32"/>
        </w:rPr>
        <w:t>。</w:t>
      </w:r>
    </w:p>
    <w:p w14:paraId="5A3E78BB">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8</w:t>
      </w:r>
      <w:r>
        <w:rPr>
          <w:rFonts w:ascii="Times New Roman" w:hAnsi="Times New Roman" w:eastAsia="仿宋" w:cs="Times New Roman"/>
          <w:sz w:val="32"/>
          <w:szCs w:val="32"/>
        </w:rPr>
        <w:t>、卫生健康支出（类）公共卫生（款）疾病预防控制机构（项）。</w:t>
      </w:r>
    </w:p>
    <w:p w14:paraId="201F2852">
      <w:pPr>
        <w:pStyle w:val="13"/>
        <w:overflowPunct w:val="0"/>
        <w:autoSpaceDE/>
        <w:autoSpaceDN/>
        <w:spacing w:line="600" w:lineRule="exact"/>
        <w:ind w:firstLine="640" w:firstLineChars="200"/>
        <w:jc w:val="both"/>
        <w:rPr>
          <w:rFonts w:ascii="Times New Roman" w:hAnsi="Times New Roman" w:eastAsia="仿宋" w:cs="Times New Roman"/>
          <w:color w:val="0000FF"/>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2164.93</w:t>
      </w:r>
      <w:r>
        <w:rPr>
          <w:rFonts w:hint="eastAsia" w:ascii="Times New Roman" w:hAnsi="Times New Roman" w:eastAsia="仿宋_GB2312" w:cs="Times New Roman"/>
          <w:sz w:val="32"/>
          <w:szCs w:val="32"/>
        </w:rPr>
        <w:t>万元，</w:t>
      </w:r>
      <w:r>
        <w:rPr>
          <w:rFonts w:ascii="Times New Roman" w:hAnsi="Times New Roman" w:eastAsia="仿宋" w:cs="Times New Roman"/>
          <w:sz w:val="32"/>
          <w:szCs w:val="32"/>
        </w:rPr>
        <w:t>支出决算为</w:t>
      </w:r>
      <w:r>
        <w:rPr>
          <w:rFonts w:hint="eastAsia" w:ascii="Times New Roman" w:hAnsi="Times New Roman" w:eastAsia="仿宋" w:cs="Times New Roman"/>
          <w:sz w:val="32"/>
          <w:szCs w:val="32"/>
          <w:lang w:val="en-US" w:eastAsia="zh-CN"/>
        </w:rPr>
        <w:t>2208.25</w:t>
      </w:r>
      <w:r>
        <w:rPr>
          <w:rFonts w:ascii="Times New Roman" w:hAnsi="Times New Roman" w:eastAsia="仿宋" w:cs="Times New Roman"/>
          <w:sz w:val="32"/>
          <w:szCs w:val="32"/>
        </w:rPr>
        <w:t>万元，主要用于保障单位正常运转、人员经费及日常疾病预防控制业务开展</w:t>
      </w:r>
      <w:r>
        <w:rPr>
          <w:rFonts w:hint="eastAsia" w:ascii="Times New Roman" w:hAnsi="Times New Roman" w:eastAsia="仿宋" w:cs="Times New Roman"/>
          <w:sz w:val="32"/>
          <w:szCs w:val="32"/>
          <w:lang w:val="en-US" w:eastAsia="zh-CN"/>
        </w:rPr>
        <w:t>。</w:t>
      </w:r>
    </w:p>
    <w:p w14:paraId="429FA25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卫生健康支出（类）公共卫生（款）重大公共卫生服务（项）</w:t>
      </w:r>
    </w:p>
    <w:p w14:paraId="241F708F">
      <w:pPr>
        <w:pStyle w:val="13"/>
        <w:overflowPunct w:val="0"/>
        <w:autoSpaceDE/>
        <w:autoSpaceDN/>
        <w:spacing w:line="600" w:lineRule="exact"/>
        <w:ind w:firstLine="640" w:firstLineChars="200"/>
        <w:jc w:val="both"/>
        <w:rPr>
          <w:rFonts w:ascii="Times New Roman" w:hAnsi="Times New Roman" w:eastAsia="仿宋" w:cs="Times New Roman"/>
          <w:color w:val="0000FF"/>
          <w:sz w:val="32"/>
          <w:szCs w:val="32"/>
        </w:rPr>
      </w:pP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初预算为0万元，支出决算为186.45万元，预算数小于决算数的主要原因是：追加了2025年中央补助重大传染病防控经费</w:t>
      </w:r>
      <w:r>
        <w:rPr>
          <w:rFonts w:hint="eastAsia" w:ascii="Times New Roman" w:hAnsi="Times New Roman" w:eastAsia="仿宋_GB2312" w:cs="Times New Roman"/>
          <w:sz w:val="32"/>
          <w:szCs w:val="32"/>
        </w:rPr>
        <w:t>。</w:t>
      </w:r>
    </w:p>
    <w:p w14:paraId="73AAD6E3">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卫生健康支出（类）公共卫生（款）突发公共卫生事件应急处置（项）。</w:t>
      </w:r>
    </w:p>
    <w:p w14:paraId="657618A5">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初预算为0万元，支出决算为1158.32万元，决算数大于预算数的主要原因是：追加了2022年疫情期间市中医医院中药款及湖南医药学院总医院疫情期间方舱实验室核酸检测相关费用。</w:t>
      </w:r>
    </w:p>
    <w:p w14:paraId="32DDFBB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卫生健康支出（类）公共卫生（款）其他公共卫生支出（项）</w:t>
      </w:r>
    </w:p>
    <w:p w14:paraId="64E93899">
      <w:pPr>
        <w:spacing w:line="600" w:lineRule="exact"/>
        <w:ind w:firstLine="800" w:firstLineChars="25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初预算为0万元，支出决算为20万元，决算数大于预算数的主要原因是：年中追加了2025年预防性健康体检专项经费20万元。</w:t>
      </w:r>
    </w:p>
    <w:p w14:paraId="33A8EC2D">
      <w:pPr>
        <w:numPr>
          <w:ilvl w:val="0"/>
          <w:numId w:val="1"/>
        </w:numPr>
        <w:spacing w:line="600" w:lineRule="exact"/>
        <w:ind w:firstLine="800" w:firstLineChars="25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卫生健康支出（类）行政事业单位医疗（款）</w:t>
      </w:r>
      <w:r>
        <w:rPr>
          <w:rFonts w:hint="eastAsia" w:ascii="Times New Roman" w:hAnsi="Times New Roman" w:eastAsia="仿宋_GB2312" w:cs="Times New Roman"/>
          <w:sz w:val="32"/>
          <w:szCs w:val="32"/>
          <w:lang w:eastAsia="zh-CN"/>
        </w:rPr>
        <w:t>行政单位医疗</w:t>
      </w:r>
      <w:r>
        <w:rPr>
          <w:rFonts w:hint="eastAsia"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810ECF4">
      <w:pPr>
        <w:numPr>
          <w:ilvl w:val="0"/>
          <w:numId w:val="0"/>
        </w:numPr>
        <w:spacing w:line="600" w:lineRule="exact"/>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81.21万元</w:t>
      </w:r>
      <w:r>
        <w:rPr>
          <w:rFonts w:hint="eastAsia"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84.76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主要为</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lang w:eastAsia="zh-CN"/>
        </w:rPr>
        <w:t>职工医疗保险。</w:t>
      </w:r>
    </w:p>
    <w:p w14:paraId="0F53905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卫生健康支出（类）行政事业单位医疗（款）</w:t>
      </w:r>
      <w:r>
        <w:rPr>
          <w:rFonts w:hint="eastAsia" w:ascii="Times New Roman" w:hAnsi="Times New Roman" w:eastAsia="仿宋_GB2312" w:cs="Times New Roman"/>
          <w:sz w:val="32"/>
          <w:szCs w:val="32"/>
          <w:lang w:eastAsia="zh-CN"/>
        </w:rPr>
        <w:t>其他行政</w:t>
      </w:r>
      <w:r>
        <w:rPr>
          <w:rFonts w:hint="eastAsia" w:ascii="Times New Roman" w:hAnsi="Times New Roman" w:eastAsia="仿宋_GB2312" w:cs="Times New Roman"/>
          <w:sz w:val="32"/>
          <w:szCs w:val="32"/>
        </w:rPr>
        <w:t>单位医疗</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5A31DCD7">
      <w:pPr>
        <w:numPr>
          <w:ilvl w:val="0"/>
          <w:numId w:val="0"/>
        </w:numPr>
        <w:spacing w:line="600" w:lineRule="exact"/>
        <w:ind w:firstLine="960" w:firstLineChars="3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0万元</w:t>
      </w:r>
      <w:r>
        <w:rPr>
          <w:rFonts w:hint="eastAsia"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0.8</w:t>
      </w:r>
      <w:r>
        <w:rPr>
          <w:rFonts w:hint="eastAsia" w:ascii="Times New Roman" w:hAnsi="Times New Roman" w:eastAsia="仿宋_GB2312" w:cs="Times New Roman"/>
          <w:sz w:val="32"/>
          <w:szCs w:val="32"/>
        </w:rPr>
        <w:t>万元，决算数大于预算数的主要原因是：</w:t>
      </w:r>
      <w:r>
        <w:rPr>
          <w:rFonts w:hint="eastAsia" w:ascii="Times New Roman" w:hAnsi="Times New Roman" w:eastAsia="仿宋_GB2312" w:cs="Times New Roman"/>
          <w:sz w:val="32"/>
          <w:szCs w:val="32"/>
          <w:lang w:eastAsia="zh-CN"/>
        </w:rPr>
        <w:t>追加了建国初期退休干部医疗补贴</w:t>
      </w:r>
      <w:r>
        <w:rPr>
          <w:rFonts w:hint="eastAsia" w:ascii="Times New Roman" w:hAnsi="Times New Roman" w:eastAsia="仿宋_GB2312" w:cs="Times New Roman"/>
          <w:sz w:val="32"/>
          <w:szCs w:val="32"/>
        </w:rPr>
        <w:t>。</w:t>
      </w:r>
    </w:p>
    <w:p w14:paraId="164163BB">
      <w:pPr>
        <w:numPr>
          <w:ilvl w:val="0"/>
          <w:numId w:val="1"/>
        </w:numPr>
        <w:spacing w:line="600" w:lineRule="exact"/>
        <w:ind w:left="0" w:leftChars="0" w:firstLine="800" w:firstLineChars="25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卫生健康支出（类）</w:t>
      </w:r>
      <w:r>
        <w:rPr>
          <w:rFonts w:hint="eastAsia" w:ascii="Times New Roman" w:hAnsi="Times New Roman" w:eastAsia="仿宋_GB2312" w:cs="Times New Roman"/>
          <w:sz w:val="32"/>
          <w:szCs w:val="32"/>
          <w:lang w:eastAsia="zh-CN"/>
        </w:rPr>
        <w:t>疾病预防控制事务</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其他疾病预防控制事务支出</w:t>
      </w:r>
      <w:r>
        <w:rPr>
          <w:rFonts w:hint="eastAsia"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7C8A70B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0万元</w:t>
      </w:r>
      <w:r>
        <w:rPr>
          <w:rFonts w:hint="eastAsia"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万元，决算数大于</w:t>
      </w:r>
      <w:r>
        <w:rPr>
          <w:rFonts w:hint="eastAsia" w:ascii="Times New Roman" w:hAnsi="Times New Roman" w:eastAsia="仿宋_GB2312" w:cs="Times New Roman"/>
          <w:sz w:val="32"/>
          <w:szCs w:val="32"/>
          <w:lang w:eastAsia="zh-CN"/>
        </w:rPr>
        <w:t>预</w:t>
      </w:r>
      <w:r>
        <w:rPr>
          <w:rFonts w:hint="eastAsia" w:ascii="Times New Roman" w:hAnsi="Times New Roman" w:eastAsia="仿宋_GB2312" w:cs="Times New Roman"/>
          <w:sz w:val="32"/>
          <w:szCs w:val="32"/>
        </w:rPr>
        <w:t>算数的主要原因是：追加了</w:t>
      </w:r>
      <w:r>
        <w:rPr>
          <w:rFonts w:hint="eastAsia"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5年市直企事业单位引进人才补贴。</w:t>
      </w:r>
    </w:p>
    <w:p w14:paraId="1433455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卫生健康支出（类）其他卫生健康支出（款）其他卫生健康支出（项）</w:t>
      </w:r>
    </w:p>
    <w:p w14:paraId="533A0DF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年初预算为0，支出预算为</w:t>
      </w:r>
      <w:r>
        <w:rPr>
          <w:rFonts w:hint="eastAsia" w:ascii="Times New Roman" w:hAnsi="Times New Roman" w:eastAsia="仿宋_GB2312" w:cs="Times New Roman"/>
          <w:sz w:val="32"/>
          <w:szCs w:val="32"/>
          <w:lang w:val="en-US" w:eastAsia="zh-CN"/>
        </w:rPr>
        <w:t>102</w:t>
      </w:r>
      <w:r>
        <w:rPr>
          <w:rFonts w:hint="eastAsia" w:ascii="Times New Roman" w:hAnsi="Times New Roman" w:eastAsia="仿宋_GB2312" w:cs="Times New Roman"/>
          <w:sz w:val="32"/>
          <w:szCs w:val="32"/>
        </w:rPr>
        <w:t>万元，决算数大于预算数的主要原因是：结转</w:t>
      </w:r>
      <w:r>
        <w:rPr>
          <w:rFonts w:hint="eastAsia" w:ascii="Times New Roman" w:hAnsi="Times New Roman" w:eastAsia="仿宋_GB2312" w:cs="Times New Roman"/>
          <w:sz w:val="32"/>
          <w:szCs w:val="32"/>
          <w:lang w:eastAsia="zh-CN"/>
        </w:rPr>
        <w:t>了上年</w:t>
      </w:r>
      <w:r>
        <w:rPr>
          <w:rFonts w:hint="eastAsia" w:ascii="Times New Roman" w:hAnsi="Times New Roman" w:eastAsia="仿宋_GB2312" w:cs="Times New Roman"/>
          <w:sz w:val="32"/>
          <w:szCs w:val="32"/>
          <w:lang w:val="en-US" w:eastAsia="zh-CN"/>
        </w:rPr>
        <w:t>市公共卫生中心一期建设项目（即怀化市疾病预防控制中心建设项目）经费</w:t>
      </w:r>
      <w:r>
        <w:rPr>
          <w:rFonts w:hint="eastAsia" w:ascii="Times New Roman" w:hAnsi="Times New Roman" w:eastAsia="仿宋_GB2312" w:cs="Times New Roman"/>
          <w:sz w:val="32"/>
          <w:szCs w:val="32"/>
        </w:rPr>
        <w:t>。</w:t>
      </w:r>
    </w:p>
    <w:p w14:paraId="30946AF7">
      <w:pPr>
        <w:spacing w:line="600" w:lineRule="exact"/>
        <w:ind w:firstLine="800" w:firstLineChars="250"/>
        <w:jc w:val="left"/>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12</w:t>
      </w:r>
      <w:r>
        <w:rPr>
          <w:rFonts w:ascii="Times New Roman" w:hAnsi="Times New Roman" w:eastAsia="仿宋" w:cs="Times New Roman"/>
          <w:sz w:val="32"/>
          <w:szCs w:val="32"/>
        </w:rPr>
        <w:t>、住房保障支出（类）住房改革支出（款）住房公积金（项）。</w:t>
      </w:r>
    </w:p>
    <w:p w14:paraId="2D60B08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172.83万元</w:t>
      </w:r>
      <w:r>
        <w:rPr>
          <w:rFonts w:hint="eastAsia"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191.99</w:t>
      </w:r>
      <w:r>
        <w:rPr>
          <w:rFonts w:hint="eastAsia" w:ascii="Times New Roman" w:hAnsi="Times New Roman" w:eastAsia="仿宋_GB2312" w:cs="Times New Roman"/>
          <w:sz w:val="32"/>
          <w:szCs w:val="32"/>
        </w:rPr>
        <w:t>万元，决算数大于预算数的主要原因是：</w:t>
      </w:r>
      <w:r>
        <w:rPr>
          <w:rFonts w:hint="eastAsia" w:ascii="Times New Roman" w:hAnsi="Times New Roman" w:eastAsia="仿宋_GB2312" w:cs="Times New Roman"/>
          <w:sz w:val="32"/>
          <w:szCs w:val="32"/>
          <w:lang w:eastAsia="zh-CN"/>
        </w:rPr>
        <w:t>追加了住房公积金财政配套指标</w:t>
      </w:r>
      <w:r>
        <w:rPr>
          <w:rFonts w:hint="eastAsia" w:ascii="Times New Roman" w:hAnsi="Times New Roman" w:eastAsia="仿宋_GB2312" w:cs="Times New Roman"/>
          <w:sz w:val="32"/>
          <w:szCs w:val="32"/>
          <w:lang w:val="en-US" w:eastAsia="zh-CN"/>
        </w:rPr>
        <w:t>.</w:t>
      </w:r>
    </w:p>
    <w:p w14:paraId="1A4589D0">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按照支出功能分类，卫生健康方面支出规模较大，占财政拨款支出总额的比重较高，主要是：疾病预防控制机构（科目），2025年度决算数为2208.25万元，占财政拨款支出总额的48.48%，主要用于保障单位人员经费、日常运转及疾病预防控制、传染病监测、突发公共卫生事件应急处置等业务开展。</w:t>
      </w:r>
    </w:p>
    <w:p w14:paraId="68D49BC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2C41C47">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2025年度一般公共预算财政拨款基本支出2878.98万元，其中：</w:t>
      </w:r>
    </w:p>
    <w:p w14:paraId="3B2BDE40">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人员经费2667.57万元，占基本支出的92.66%，主要包括基本工资、津贴补贴、奖金、伙食补助费、绩效工资、机关事业单位基本养老保险缴费、职工基本医疗保险缴费、其他社会保障缴费、住房公积金、其他工资福利支出、抚恤金、生活补助、医疗费补助、奖励金、其他对个人和家庭的补助。</w:t>
      </w:r>
    </w:p>
    <w:p w14:paraId="7948138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 w:cs="Times New Roman"/>
          <w:b/>
          <w:bCs/>
          <w:sz w:val="32"/>
          <w:szCs w:val="32"/>
        </w:rPr>
        <w:t>公用经费211.40万元，占基本支出的7.34%，主要包括办公费、水费、电费、邮电费、差旅费、维修（护）费、培训费、公务接待费、专用材料费、劳务费、委托业务费、工会经费、福利费、公务用车运行维护费、其他交通费用、其他商品和服务支出、办公设备购置。</w:t>
      </w:r>
    </w:p>
    <w:p w14:paraId="46EC4457">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C44A10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A36BEE3">
      <w:pPr>
        <w:pStyle w:val="13"/>
        <w:overflowPunct w:val="0"/>
        <w:autoSpaceDE/>
        <w:autoSpaceDN/>
        <w:spacing w:line="600" w:lineRule="exact"/>
        <w:ind w:firstLine="640" w:firstLineChars="200"/>
        <w:jc w:val="both"/>
        <w:rPr>
          <w:rFonts w:ascii="Times New Roman" w:hAnsi="Times New Roman" w:eastAsia="仿宋" w:cs="Times New Roman"/>
          <w:sz w:val="32"/>
          <w:szCs w:val="32"/>
          <w:highlight w:val="yellow"/>
        </w:rPr>
      </w:pPr>
      <w:r>
        <w:rPr>
          <w:rFonts w:ascii="Times New Roman" w:hAnsi="Times New Roman" w:eastAsia="仿宋" w:cs="Times New Roman"/>
          <w:sz w:val="32"/>
          <w:szCs w:val="32"/>
        </w:rPr>
        <w:t>2025年度“三公”经费财政拨款支出预算为29.15万元，支出决算为29.15万元，完成预算的100%；与上年相比减少3.05万元，降低9.47%。决算数与预算数持平，决算数小于上年数的主要原因是：严格执行《党政机关厉行节约反对浪费条例》等有关规定，从严从紧安排“三公”经费，杜绝浪费。</w:t>
      </w:r>
    </w:p>
    <w:p w14:paraId="7E9B444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9982031">
      <w:pPr>
        <w:pStyle w:val="13"/>
        <w:overflowPunct w:val="0"/>
        <w:autoSpaceDE/>
        <w:autoSpaceDN/>
        <w:spacing w:line="600" w:lineRule="exact"/>
        <w:ind w:firstLine="640" w:firstLineChars="200"/>
        <w:jc w:val="both"/>
        <w:rPr>
          <w:rFonts w:ascii="Times New Roman" w:hAnsi="Times New Roman" w:eastAsia="仿宋" w:cs="Times New Roman"/>
          <w:sz w:val="32"/>
          <w:szCs w:val="32"/>
          <w:highlight w:val="yellow"/>
        </w:rPr>
      </w:pPr>
      <w:r>
        <w:rPr>
          <w:rFonts w:ascii="Times New Roman" w:hAnsi="Times New Roman" w:eastAsia="仿宋" w:cs="Times New Roman"/>
          <w:sz w:val="32"/>
          <w:szCs w:val="32"/>
        </w:rPr>
        <w:t>1.因公出国（境）费支出预算为0万元，支出决算为0万元，完成预算的100%，本单位无此项开支。</w:t>
      </w:r>
    </w:p>
    <w:p w14:paraId="38C4247E">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2.公务用车购置费及运行维护费支出预算为28.48万元，支出决算为28.48万元，完成预算的100%；与上年相比减少1.78万元，降低5.88%。其中：</w:t>
      </w:r>
    </w:p>
    <w:p w14:paraId="6D101148">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公务用车购置费支出预算为0万元，支出决算为0万元，完成预算的100%，本单位无此项开支。</w:t>
      </w:r>
    </w:p>
    <w:p w14:paraId="6180F5A6">
      <w:pPr>
        <w:pStyle w:val="13"/>
        <w:overflowPunct w:val="0"/>
        <w:autoSpaceDE/>
        <w:autoSpaceDN/>
        <w:spacing w:line="60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公务用车运行维护费支出预算为28.48万元，支出决算为28.48万元，主要是车辆油料费、维修费、保险费及过路年检费用等支出，完成预算的100%；与上年相比减少1.78万元，降低5.88%，决算数小于上年数的主要原因是加强公务用车管理，严格执行车辆管理制度。截止2025年12月31日，我单位开支财政拨款的公务用车保有量为6辆。</w:t>
      </w:r>
    </w:p>
    <w:p w14:paraId="42BBFC6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 w:cs="Times New Roman"/>
          <w:sz w:val="32"/>
          <w:szCs w:val="32"/>
        </w:rPr>
        <w:t>3.公务接待费支出预算为0.67万元，支出决算为0.67万元，完成预算的100%；与上年相比减少1.26万元，降低65.28%。决算数小于上年数的主要原因是本单位严格执行《党政机关厉行节约反对浪费条例》《党政机关国内公务接待管理规定》和《湖南省党政机关国内公务接待管理办法》，进一步规范公务用餐。2025年度共接待来访团组</w:t>
      </w:r>
      <w:r>
        <w:rPr>
          <w:rFonts w:hint="eastAsia" w:ascii="Times New Roman" w:hAnsi="Times New Roman" w:eastAsia="仿宋" w:cs="Times New Roman"/>
          <w:sz w:val="32"/>
          <w:szCs w:val="32"/>
          <w:lang w:val="en-US" w:eastAsia="zh-CN"/>
        </w:rPr>
        <w:t>8</w:t>
      </w:r>
      <w:r>
        <w:rPr>
          <w:rFonts w:ascii="Times New Roman" w:hAnsi="Times New Roman" w:eastAsia="仿宋" w:cs="Times New Roman"/>
          <w:sz w:val="32"/>
          <w:szCs w:val="32"/>
        </w:rPr>
        <w:t>个、来宾</w:t>
      </w:r>
      <w:r>
        <w:rPr>
          <w:rFonts w:hint="eastAsia" w:ascii="Times New Roman" w:hAnsi="Times New Roman" w:eastAsia="仿宋" w:cs="Times New Roman"/>
          <w:sz w:val="32"/>
          <w:szCs w:val="32"/>
          <w:lang w:val="en-US" w:eastAsia="zh-CN"/>
        </w:rPr>
        <w:t>40</w:t>
      </w:r>
      <w:r>
        <w:rPr>
          <w:rFonts w:ascii="Times New Roman" w:hAnsi="Times New Roman" w:eastAsia="仿宋" w:cs="Times New Roman"/>
          <w:sz w:val="32"/>
          <w:szCs w:val="32"/>
        </w:rPr>
        <w:t>人次，主要是区外相关单位交流学习发生的接待支出。</w:t>
      </w:r>
    </w:p>
    <w:p w14:paraId="0C5BCAB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C193707">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default"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ascii="Times New Roman" w:hAnsi="Times New Roman" w:eastAsia="仿宋" w:cs="Times New Roman"/>
          <w:sz w:val="32"/>
          <w:szCs w:val="32"/>
        </w:rPr>
        <w:t>我单位没有政府性基金收入，也没有使用政府性基金安排的支出。</w:t>
      </w:r>
    </w:p>
    <w:p w14:paraId="366D5AFE">
      <w:pPr>
        <w:pStyle w:val="13"/>
        <w:overflowPunct w:val="0"/>
        <w:autoSpaceDE/>
        <w:autoSpaceDN/>
        <w:spacing w:line="600" w:lineRule="exact"/>
        <w:ind w:firstLine="640" w:firstLineChars="200"/>
        <w:jc w:val="both"/>
        <w:rPr>
          <w:rFonts w:hint="eastAsia" w:ascii="Times New Roman" w:hAnsi="Times New Roman" w:eastAsia="仿宋_GB2312"/>
          <w:b/>
          <w:color w:val="auto"/>
          <w:sz w:val="32"/>
          <w:szCs w:val="32"/>
          <w:lang w:eastAsia="zh-CN"/>
        </w:rPr>
      </w:pPr>
      <w:r>
        <w:rPr>
          <w:rFonts w:hint="eastAsia" w:ascii="Times New Roman" w:hAnsi="Times New Roman" w:cs="Times New Roman"/>
          <w:bCs/>
          <w:sz w:val="32"/>
          <w:szCs w:val="32"/>
          <w:lang w:eastAsia="zh-CN"/>
        </w:rPr>
        <w:t>九、</w:t>
      </w:r>
      <w:r>
        <w:rPr>
          <w:rFonts w:hint="eastAsia" w:ascii="Times New Roman" w:hAnsi="Times New Roman" w:cs="Times New Roman"/>
          <w:bCs/>
          <w:sz w:val="32"/>
          <w:szCs w:val="32"/>
        </w:rPr>
        <w:t>国有资本经营预算财政拨款支出决算</w:t>
      </w:r>
      <w:r>
        <w:rPr>
          <w:rFonts w:hint="eastAsia" w:ascii="Times New Roman" w:hAnsi="Times New Roman" w:cs="Times New Roman"/>
          <w:bCs/>
          <w:sz w:val="32"/>
          <w:szCs w:val="32"/>
          <w:lang w:eastAsia="zh-CN"/>
        </w:rPr>
        <w:t>情况</w:t>
      </w:r>
    </w:p>
    <w:p w14:paraId="15E919D6">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b/>
          <w:color w:val="auto"/>
          <w:sz w:val="32"/>
          <w:szCs w:val="32"/>
          <w:lang w:val="en-US" w:eastAsia="zh-CN"/>
        </w:rPr>
        <w:t xml:space="preserve">   </w:t>
      </w:r>
      <w:r>
        <w:rPr>
          <w:rFonts w:hint="eastAsia" w:ascii="Times New Roman" w:hAnsi="Times New Roman" w:eastAsia="仿宋_GB2312"/>
          <w:b w:val="0"/>
          <w:bCs/>
          <w:color w:val="auto"/>
          <w:sz w:val="32"/>
          <w:szCs w:val="32"/>
          <w:lang w:val="en-US" w:eastAsia="zh-CN"/>
        </w:rPr>
        <w:t xml:space="preserve"> 202</w:t>
      </w:r>
      <w:r>
        <w:rPr>
          <w:rFonts w:hint="default" w:ascii="Times New Roman" w:hAnsi="Times New Roman" w:eastAsia="仿宋_GB2312"/>
          <w:b w:val="0"/>
          <w:bCs/>
          <w:color w:val="auto"/>
          <w:sz w:val="32"/>
          <w:szCs w:val="32"/>
          <w:lang w:val="en-US" w:eastAsia="zh-CN"/>
        </w:rPr>
        <w:t>5</w:t>
      </w:r>
      <w:r>
        <w:rPr>
          <w:rFonts w:hint="eastAsia" w:ascii="Times New Roman" w:hAnsi="Times New Roman" w:eastAsia="仿宋_GB2312"/>
          <w:b w:val="0"/>
          <w:bCs/>
          <w:color w:val="auto"/>
          <w:sz w:val="32"/>
          <w:szCs w:val="32"/>
          <w:lang w:val="en-US" w:eastAsia="zh-CN"/>
        </w:rPr>
        <w:t>年国有资本经营预算财政拨款收入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3074131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7BECB62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 w:cs="Times New Roman"/>
          <w:sz w:val="32"/>
          <w:szCs w:val="32"/>
        </w:rPr>
        <w:t>本部门2025年度机关运行经费支出0万元。我单位为公益一类事业单位，不参照公务员法管理，无机关运行经费支出。</w:t>
      </w:r>
    </w:p>
    <w:p w14:paraId="149510E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16FB18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 w:cs="Times New Roman"/>
          <w:sz w:val="32"/>
          <w:szCs w:val="32"/>
        </w:rPr>
        <w:t>2025年本部门开支会议费0万元；开支培训费0.09万元，主要用于相关人员业务培训。本部门未举办节庆、晚会、论坛、赛事等活动。</w:t>
      </w:r>
      <w:r>
        <w:rPr>
          <w:rFonts w:ascii="Times New Roman" w:hAnsi="Times New Roman" w:eastAsia="楷体" w:cs="Times New Roman"/>
          <w:b/>
          <w:bCs/>
          <w:i/>
          <w:color w:val="auto"/>
          <w:sz w:val="32"/>
          <w:szCs w:val="32"/>
        </w:rPr>
        <w:t>（注：三类会议、培训活动，节庆、晚会、论坛、赛事等活动，请分项列明活动计划及经费预算情况）</w:t>
      </w:r>
    </w:p>
    <w:p w14:paraId="63F6D39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7035CC0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554.37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525.91</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28.46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554.37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28.46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5.13</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（政府采购金额的计算口径为：本部门纳入2024年度部门预算范围的各项政府采购支出金额之和，不包括涉密采购项目的支出金额）</w:t>
      </w:r>
    </w:p>
    <w:p w14:paraId="41896358">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7AD0F5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 w:cs="Times New Roman"/>
          <w:color w:val="auto"/>
          <w:sz w:val="32"/>
          <w:szCs w:val="32"/>
        </w:rPr>
        <w:t>截至2025年12月31日，部门（单位）共有车辆6辆，均为其他用车（主要是业务用车），主要用于疾病预防控制业务开展；单位价值100万元以上设备（不含车辆）8台（套）。</w:t>
      </w:r>
    </w:p>
    <w:p w14:paraId="6B08AB8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5</w:t>
      </w:r>
      <w:r>
        <w:rPr>
          <w:rFonts w:ascii="Times New Roman" w:hAnsi="Times New Roman" w:cs="Times New Roman"/>
          <w:bCs/>
          <w:color w:val="auto"/>
          <w:sz w:val="32"/>
          <w:szCs w:val="32"/>
        </w:rPr>
        <w:t>年度预算绩效情况的说明</w:t>
      </w:r>
    </w:p>
    <w:p w14:paraId="66A4CDBD">
      <w:pPr>
        <w:overflowPunct w:val="0"/>
        <w:spacing w:line="600" w:lineRule="exact"/>
        <w:ind w:left="18" w:leftChars="9" w:firstLine="617" w:firstLineChars="193"/>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w:t>
      </w:r>
      <w:r>
        <w:rPr>
          <w:rFonts w:ascii="Times New Roman" w:hAnsi="Times New Roman" w:eastAsia="仿宋_GB2312" w:cs="Times New Roman"/>
          <w:color w:val="000000"/>
          <w:kern w:val="0"/>
          <w:sz w:val="32"/>
          <w:szCs w:val="32"/>
          <w:lang w:val="en-US" w:eastAsia="zh-CN" w:bidi="ar-SA"/>
        </w:rPr>
        <w:t>织对202</w:t>
      </w:r>
      <w:r>
        <w:rPr>
          <w:rFonts w:hint="default"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年度本部门（单位）整体支出开展绩效自评，涉及</w:t>
      </w:r>
      <w:r>
        <w:rPr>
          <w:rFonts w:hint="eastAsia" w:ascii="Times New Roman" w:hAnsi="Times New Roman" w:eastAsia="仿宋_GB2312" w:cs="Times New Roman"/>
          <w:color w:val="000000"/>
          <w:kern w:val="0"/>
          <w:sz w:val="32"/>
          <w:szCs w:val="32"/>
          <w:lang w:val="en-US" w:eastAsia="zh-CN" w:bidi="ar-SA"/>
        </w:rPr>
        <w:t>资金</w:t>
      </w:r>
      <w:r>
        <w:rPr>
          <w:rFonts w:hint="default" w:ascii="Times New Roman" w:hAnsi="Times New Roman" w:eastAsia="仿宋_GB2312" w:cs="Times New Roman"/>
          <w:color w:val="000000"/>
          <w:kern w:val="0"/>
          <w:sz w:val="32"/>
          <w:szCs w:val="32"/>
          <w:lang w:val="en-US" w:eastAsia="zh-CN" w:bidi="ar-SA"/>
        </w:rPr>
        <w:t>1676.22</w:t>
      </w:r>
      <w:r>
        <w:rPr>
          <w:rFonts w:ascii="Times New Roman" w:hAnsi="Times New Roman" w:eastAsia="仿宋_GB2312" w:cs="Times New Roman"/>
          <w:color w:val="000000"/>
          <w:kern w:val="0"/>
          <w:sz w:val="32"/>
          <w:szCs w:val="32"/>
          <w:lang w:val="en-US" w:eastAsia="zh-CN" w:bidi="ar-SA"/>
        </w:rPr>
        <w:t>万元，</w:t>
      </w:r>
      <w:r>
        <w:rPr>
          <w:rFonts w:hint="eastAsia" w:ascii="Times New Roman" w:hAnsi="Times New Roman" w:eastAsia="仿宋_GB2312" w:cs="Times New Roman"/>
          <w:color w:val="000000"/>
          <w:kern w:val="0"/>
          <w:sz w:val="32"/>
          <w:szCs w:val="32"/>
          <w:lang w:val="en-US" w:eastAsia="zh-CN" w:bidi="ar-SA"/>
        </w:rPr>
        <w:t>涵盖新冠防控、艾滋病、免疫规划、结核病、食品安全风险监测、饮用水监测、慢病地方病、职业病、学校卫生、人才激励等 26 类专项</w:t>
      </w:r>
      <w:r>
        <w:rPr>
          <w:rFonts w:ascii="Times New Roman" w:hAnsi="Times New Roman" w:eastAsia="仿宋_GB2312" w:cs="Times New Roman"/>
          <w:color w:val="000000"/>
          <w:kern w:val="0"/>
          <w:sz w:val="32"/>
          <w:szCs w:val="32"/>
          <w:lang w:val="en-US" w:eastAsia="zh-CN" w:bidi="ar-SA"/>
        </w:rPr>
        <w:t>，其中，一般公共预算项目</w:t>
      </w:r>
      <w:r>
        <w:rPr>
          <w:rFonts w:hint="default" w:ascii="Times New Roman" w:hAnsi="Times New Roman" w:eastAsia="仿宋_GB2312" w:cs="Times New Roman"/>
          <w:color w:val="000000"/>
          <w:kern w:val="0"/>
          <w:sz w:val="32"/>
          <w:szCs w:val="32"/>
          <w:lang w:val="en-US" w:eastAsia="zh-CN" w:bidi="ar-SA"/>
        </w:rPr>
        <w:t>26</w:t>
      </w:r>
      <w:r>
        <w:rPr>
          <w:rFonts w:ascii="Times New Roman" w:hAnsi="Times New Roman" w:eastAsia="仿宋_GB2312" w:cs="Times New Roman"/>
          <w:color w:val="000000"/>
          <w:kern w:val="0"/>
          <w:sz w:val="32"/>
          <w:szCs w:val="32"/>
          <w:lang w:val="en-US" w:eastAsia="zh-CN" w:bidi="ar-SA"/>
        </w:rPr>
        <w:t>个</w:t>
      </w:r>
      <w:r>
        <w:rPr>
          <w:rFonts w:hint="eastAsia" w:ascii="Times New Roman" w:hAnsi="Times New Roman" w:eastAsia="仿宋_GB2312" w:cs="Times New Roman"/>
          <w:color w:val="000000"/>
          <w:kern w:val="0"/>
          <w:sz w:val="32"/>
          <w:szCs w:val="32"/>
          <w:lang w:val="en-US" w:eastAsia="zh-CN" w:bidi="ar-SA"/>
        </w:rPr>
        <w:t>1676.22</w:t>
      </w:r>
      <w:r>
        <w:rPr>
          <w:rFonts w:ascii="Times New Roman" w:hAnsi="Times New Roman" w:eastAsia="仿宋_GB2312" w:cs="Times New Roman"/>
          <w:color w:val="000000"/>
          <w:kern w:val="0"/>
          <w:sz w:val="32"/>
          <w:szCs w:val="32"/>
          <w:lang w:val="en-US" w:eastAsia="zh-CN" w:bidi="ar-SA"/>
        </w:rPr>
        <w:t>万元，占一般公共预算支出总额的</w:t>
      </w:r>
      <w:r>
        <w:rPr>
          <w:rFonts w:hint="eastAsia" w:ascii="Times New Roman" w:hAnsi="Times New Roman" w:eastAsia="仿宋_GB2312" w:cs="Times New Roman"/>
          <w:color w:val="000000"/>
          <w:kern w:val="0"/>
          <w:sz w:val="32"/>
          <w:szCs w:val="32"/>
          <w:lang w:val="en-US" w:eastAsia="zh-CN" w:bidi="ar-SA"/>
        </w:rPr>
        <w:t>100</w:t>
      </w:r>
      <w:r>
        <w:rPr>
          <w:rFonts w:ascii="Times New Roman" w:hAnsi="Times New Roman" w:eastAsia="仿宋_GB2312" w:cs="Times New Roman"/>
          <w:color w:val="000000"/>
          <w:kern w:val="0"/>
          <w:sz w:val="32"/>
          <w:szCs w:val="32"/>
          <w:lang w:val="en-US" w:eastAsia="zh-CN" w:bidi="ar-SA"/>
        </w:rPr>
        <w:t>%；政府性基金预算项目</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 xml:space="preserve"> 个</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万元，占政府性基金预算支出总额的</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%；国有资本经营预算项目</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个</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万元，占国有资本经营预算支出总额的</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%；社会保险基金预算项目</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 xml:space="preserve"> 个</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万元，占社会保险基金预算支出总额的</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en-US" w:eastAsia="zh-CN" w:bidi="ar-SA"/>
        </w:rPr>
        <w:t>%。全部实行项目支出绩效目标管理。二是部门评价开展情况。我单位为二级预算单位，无下属单位，未开展部门评价。三是事前绩效评估开展情况。未开展事前绩效评估。</w:t>
      </w:r>
    </w:p>
    <w:p w14:paraId="46DB5E18">
      <w:pPr>
        <w:overflowPunct w:val="0"/>
        <w:spacing w:line="600" w:lineRule="exact"/>
        <w:ind w:firstLine="640" w:firstLineChars="20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b/>
          <w:bCs/>
          <w:color w:val="000000"/>
          <w:kern w:val="0"/>
          <w:sz w:val="32"/>
          <w:szCs w:val="32"/>
          <w:lang w:val="en-US" w:eastAsia="zh-CN" w:bidi="ar-SA"/>
        </w:rPr>
        <w:t>（</w:t>
      </w:r>
      <w:r>
        <w:rPr>
          <w:rFonts w:ascii="Times New Roman" w:hAnsi="Times New Roman" w:eastAsia="楷体_GB2312" w:cs="Times New Roman"/>
          <w:b/>
          <w:bCs/>
          <w:sz w:val="32"/>
          <w:szCs w:val="32"/>
          <w:lang w:val="en-US" w:eastAsia="zh-CN"/>
        </w:rPr>
        <w:t>二）绩效评价结果。一是绩效自评结果。</w:t>
      </w:r>
      <w:r>
        <w:rPr>
          <w:rFonts w:ascii="Times New Roman" w:hAnsi="Times New Roman" w:eastAsia="仿宋_GB2312" w:cs="Times New Roman"/>
          <w:color w:val="000000"/>
          <w:kern w:val="0"/>
          <w:sz w:val="32"/>
          <w:szCs w:val="32"/>
          <w:lang w:val="en-US" w:eastAsia="zh-CN" w:bidi="ar-SA"/>
        </w:rPr>
        <w:t>2025年度本部门（单位）整体支出全年预算数3010.23万元，执行数5025.50万元，完成预算的166.95%，绩效自评得分</w:t>
      </w:r>
      <w:r>
        <w:rPr>
          <w:rFonts w:hint="eastAsia" w:ascii="Times New Roman" w:hAnsi="Times New Roman" w:eastAsia="仿宋_GB2312" w:cs="Times New Roman"/>
          <w:color w:val="000000"/>
          <w:kern w:val="0"/>
          <w:sz w:val="32"/>
          <w:szCs w:val="32"/>
          <w:lang w:val="en-US" w:eastAsia="zh-CN" w:bidi="ar-SA"/>
        </w:rPr>
        <w:t>97</w:t>
      </w:r>
      <w:r>
        <w:rPr>
          <w:rFonts w:ascii="Times New Roman" w:hAnsi="Times New Roman" w:eastAsia="仿宋_GB2312" w:cs="Times New Roman"/>
          <w:color w:val="000000"/>
          <w:kern w:val="0"/>
          <w:sz w:val="32"/>
          <w:szCs w:val="32"/>
          <w:lang w:val="en-US" w:eastAsia="zh-CN" w:bidi="ar-SA"/>
        </w:rPr>
        <w:t>分，评价等级为“</w:t>
      </w:r>
      <w:r>
        <w:rPr>
          <w:rFonts w:hint="eastAsia" w:ascii="Times New Roman" w:hAnsi="Times New Roman" w:eastAsia="仿宋_GB2312" w:cs="Times New Roman"/>
          <w:color w:val="000000"/>
          <w:kern w:val="0"/>
          <w:sz w:val="32"/>
          <w:szCs w:val="32"/>
          <w:lang w:val="en-US" w:eastAsia="zh-CN" w:bidi="ar-SA"/>
        </w:rPr>
        <w:t>A</w:t>
      </w:r>
      <w:r>
        <w:rPr>
          <w:rFonts w:ascii="Times New Roman" w:hAnsi="Times New Roman" w:eastAsia="仿宋_GB2312" w:cs="Times New Roman"/>
          <w:color w:val="000000"/>
          <w:kern w:val="0"/>
          <w:sz w:val="32"/>
          <w:szCs w:val="32"/>
          <w:lang w:val="en-US" w:eastAsia="zh-CN" w:bidi="ar-SA"/>
        </w:rPr>
        <w:t>”。绩效目标完成情况：一是保障单位正常运转和疾病预防控制各项业务有序开展；二是加大重大传染病防控、突发公共卫生事件应急处置等资金投入，有效提升疾病预防控制能力；三是强化资金使用管理和绩效监控，提高财政资金使用效益。发现的主要问题、原因及下一步改进措施详见《怀化市疾病预防控制中心2025年度整体支出绩效自评报告》。</w:t>
      </w:r>
    </w:p>
    <w:p w14:paraId="3485C854">
      <w:pPr>
        <w:pStyle w:val="13"/>
        <w:overflowPunct w:val="0"/>
        <w:autoSpaceDE/>
        <w:autoSpaceDN/>
        <w:spacing w:line="600" w:lineRule="exact"/>
        <w:ind w:firstLine="640" w:firstLineChars="200"/>
        <w:jc w:val="both"/>
        <w:rPr>
          <w:rFonts w:ascii="Times New Roman" w:hAnsi="Times New Roman" w:eastAsia="仿宋_GB2312" w:cs="Times New Roman"/>
          <w:color w:val="000000"/>
          <w:kern w:val="0"/>
          <w:sz w:val="32"/>
          <w:szCs w:val="32"/>
          <w:lang w:val="en-US" w:eastAsia="zh-CN" w:bidi="ar-SA"/>
        </w:rPr>
      </w:pPr>
      <w:r>
        <w:rPr>
          <w:rFonts w:ascii="Times New Roman" w:hAnsi="Times New Roman" w:eastAsia="楷体_GB2312" w:cs="Times New Roman"/>
          <w:b/>
          <w:bCs/>
          <w:color w:val="auto"/>
          <w:kern w:val="2"/>
          <w:sz w:val="32"/>
          <w:szCs w:val="32"/>
          <w:lang w:val="en-US" w:eastAsia="zh-CN"/>
        </w:rPr>
        <w:t>（三）评价结果应用情况。</w:t>
      </w:r>
      <w:r>
        <w:rPr>
          <w:rFonts w:ascii="Times New Roman" w:hAnsi="Times New Roman" w:eastAsia="仿宋_GB2312" w:cs="Times New Roman"/>
          <w:color w:val="000000"/>
          <w:kern w:val="0"/>
          <w:sz w:val="32"/>
          <w:szCs w:val="32"/>
          <w:lang w:val="en-US" w:eastAsia="zh-CN" w:bidi="ar-SA"/>
        </w:rPr>
        <w:t>根据2025年度绩效自评结果，进一步完善预算编制和支出安排，优化支出结构，强化资金使用管理和绩效监控，将绩效评价结果作为下一年度预算安排和支出调整的重要依据，提高财政资金使用效益。</w:t>
      </w:r>
    </w:p>
    <w:p w14:paraId="75CDFB41">
      <w:pPr>
        <w:pStyle w:val="13"/>
        <w:jc w:val="both"/>
        <w:rPr>
          <w:rFonts w:ascii="Times New Roman" w:hAnsi="Times New Roman" w:cs="Times New Roman"/>
          <w:sz w:val="72"/>
          <w:szCs w:val="72"/>
        </w:rPr>
      </w:pPr>
      <w:bookmarkStart w:id="3" w:name="_GoBack"/>
      <w:bookmarkEnd w:id="3"/>
    </w:p>
    <w:p w14:paraId="18B6A84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A1A000B">
      <w:pPr>
        <w:widowControl/>
        <w:ind w:firstLine="640" w:firstLineChars="200"/>
        <w:jc w:val="left"/>
        <w:rPr>
          <w:rFonts w:ascii="Times New Roman" w:hAnsi="Times New Roman" w:eastAsia="仿宋_GB2312" w:cs="Times New Roman"/>
          <w:color w:val="000000"/>
          <w:kern w:val="0"/>
          <w:sz w:val="32"/>
          <w:szCs w:val="32"/>
        </w:rPr>
      </w:pPr>
    </w:p>
    <w:p w14:paraId="58F34395">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财政拨款收入：指本年度从本级财政部门取得的财政拨款，包括一般公共预算财政拨款和政府性基金预算财政拨款。</w:t>
      </w:r>
    </w:p>
    <w:p w14:paraId="0A442BA0">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w:t>
      </w:r>
      <w:r>
        <w:rPr>
          <w:rFonts w:hint="eastAsia" w:ascii="Times New Roman" w:hAnsi="Times New Roman" w:eastAsia="仿宋_GB2312" w:cs="Times New Roman"/>
          <w:color w:val="000000"/>
          <w:kern w:val="0"/>
          <w:sz w:val="32"/>
          <w:szCs w:val="32"/>
        </w:rPr>
        <w:t>事业收入：指事业单位开展专业业务活动及其辅助活动取得的收入；事业单位收到的财政专户实际核拨的教育收费等资金在此反映。</w:t>
      </w:r>
    </w:p>
    <w:p w14:paraId="0D63F833">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三、</w:t>
      </w:r>
      <w:r>
        <w:rPr>
          <w:rFonts w:hint="eastAsia" w:ascii="Times New Roman" w:hAnsi="Times New Roman" w:eastAsia="仿宋_GB2312" w:cs="Times New Roman"/>
          <w:color w:val="000000"/>
          <w:kern w:val="0"/>
          <w:sz w:val="32"/>
          <w:szCs w:val="32"/>
        </w:rPr>
        <w:t>其他收入：指单位取得的除“财政拨款收入”、“事业收入”、“经营收入”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填列在本项内。</w:t>
      </w:r>
    </w:p>
    <w:p w14:paraId="3B30E108">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四、</w:t>
      </w:r>
      <w:r>
        <w:rPr>
          <w:rFonts w:hint="eastAsia" w:ascii="Times New Roman" w:hAnsi="Times New Roman" w:eastAsia="仿宋_GB2312" w:cs="Times New Roman"/>
          <w:color w:val="000000"/>
          <w:kern w:val="0"/>
          <w:sz w:val="32"/>
          <w:szCs w:val="32"/>
        </w:rPr>
        <w:t>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14:paraId="6B9BE327">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五、</w:t>
      </w: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14:paraId="3DCA16CE">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六、“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14:paraId="26D79B2F">
      <w:pPr>
        <w:widowControl/>
        <w:ind w:firstLine="640" w:firstLineChars="200"/>
        <w:jc w:val="left"/>
        <w:rPr>
          <w:rFonts w:ascii="Times New Roman" w:hAnsi="Times New Roman" w:eastAsia="仿宋_GB2312" w:cs="Times New Roman"/>
          <w:color w:val="000000"/>
          <w:kern w:val="0"/>
          <w:sz w:val="32"/>
          <w:szCs w:val="32"/>
        </w:rPr>
      </w:pPr>
    </w:p>
    <w:p w14:paraId="062DD560">
      <w:pPr>
        <w:pStyle w:val="13"/>
        <w:ind w:firstLine="640" w:firstLineChars="200"/>
        <w:rPr>
          <w:rFonts w:ascii="Times New Roman" w:hAnsi="Times New Roman" w:cs="Times New Roman" w:eastAsiaTheme="minorEastAsia"/>
          <w:sz w:val="32"/>
          <w:szCs w:val="32"/>
        </w:rPr>
      </w:pPr>
    </w:p>
    <w:p w14:paraId="4CDCD347">
      <w:pPr>
        <w:pStyle w:val="13"/>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（名词解释应包含本部门专有名词，如省财政厅应有对“财政事务”科目的解释，可参考中央相关部门的名词解释）</w:t>
      </w:r>
    </w:p>
    <w:p w14:paraId="14DBA5CA">
      <w:pPr>
        <w:pStyle w:val="13"/>
        <w:jc w:val="center"/>
        <w:rPr>
          <w:rFonts w:ascii="Times New Roman" w:hAnsi="Times New Roman" w:cs="Times New Roman"/>
          <w:sz w:val="72"/>
          <w:szCs w:val="72"/>
        </w:rPr>
      </w:pPr>
    </w:p>
    <w:p w14:paraId="02062C65">
      <w:pPr>
        <w:pStyle w:val="13"/>
        <w:jc w:val="center"/>
        <w:rPr>
          <w:rFonts w:ascii="Times New Roman" w:hAnsi="Times New Roman" w:cs="Times New Roman"/>
          <w:sz w:val="72"/>
          <w:szCs w:val="72"/>
        </w:rPr>
      </w:pPr>
    </w:p>
    <w:p w14:paraId="36B5819C">
      <w:pPr>
        <w:pStyle w:val="13"/>
        <w:jc w:val="center"/>
        <w:rPr>
          <w:rFonts w:ascii="Times New Roman" w:hAnsi="Times New Roman" w:cs="Times New Roman"/>
          <w:sz w:val="72"/>
          <w:szCs w:val="72"/>
        </w:rPr>
      </w:pPr>
    </w:p>
    <w:p w14:paraId="499ACDC4">
      <w:pPr>
        <w:pStyle w:val="13"/>
        <w:jc w:val="center"/>
        <w:rPr>
          <w:rFonts w:ascii="Times New Roman" w:hAnsi="Times New Roman" w:cs="Times New Roman"/>
          <w:sz w:val="72"/>
          <w:szCs w:val="72"/>
        </w:rPr>
      </w:pPr>
    </w:p>
    <w:p w14:paraId="19CBF6D8">
      <w:pPr>
        <w:pStyle w:val="13"/>
        <w:jc w:val="center"/>
        <w:rPr>
          <w:rFonts w:ascii="Times New Roman" w:hAnsi="Times New Roman" w:cs="Times New Roman"/>
          <w:sz w:val="72"/>
          <w:szCs w:val="72"/>
        </w:rPr>
      </w:pPr>
    </w:p>
    <w:p w14:paraId="1FB031CC">
      <w:pPr>
        <w:pStyle w:val="13"/>
        <w:jc w:val="center"/>
        <w:rPr>
          <w:rFonts w:ascii="Times New Roman" w:hAnsi="Times New Roman" w:cs="Times New Roman"/>
          <w:sz w:val="72"/>
          <w:szCs w:val="72"/>
        </w:rPr>
      </w:pPr>
    </w:p>
    <w:p w14:paraId="603867C7">
      <w:pPr>
        <w:pStyle w:val="13"/>
        <w:jc w:val="center"/>
        <w:rPr>
          <w:rFonts w:ascii="Times New Roman" w:hAnsi="Times New Roman" w:cs="Times New Roman"/>
          <w:sz w:val="72"/>
          <w:szCs w:val="72"/>
        </w:rPr>
      </w:pPr>
    </w:p>
    <w:p w14:paraId="1B25B39E">
      <w:pPr>
        <w:pStyle w:val="13"/>
        <w:jc w:val="both"/>
        <w:rPr>
          <w:rFonts w:ascii="Times New Roman" w:hAnsi="Times New Roman" w:cs="Times New Roman"/>
          <w:sz w:val="72"/>
          <w:szCs w:val="72"/>
        </w:rPr>
      </w:pPr>
    </w:p>
    <w:p w14:paraId="1419ABB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048BB08">
      <w:pPr>
        <w:rPr>
          <w:rFonts w:ascii="Times New Roman" w:hAnsi="Times New Roman" w:cs="Times New Roman"/>
          <w:sz w:val="72"/>
          <w:szCs w:val="72"/>
        </w:rPr>
      </w:pPr>
    </w:p>
    <w:p w14:paraId="76EBA795">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2024年度部门(单位)整体支出绩效自评报告。</w:t>
      </w:r>
    </w:p>
    <w:p w14:paraId="5005763D">
      <w:pPr>
        <w:pStyle w:val="13"/>
        <w:ind w:firstLine="1280" w:firstLineChars="400"/>
        <w:rPr>
          <w:rFonts w:ascii="Times New Roman" w:hAnsi="Times New Roman" w:eastAsia="仿宋_GB2312" w:cs="Times New Roman"/>
          <w:sz w:val="32"/>
          <w:szCs w:val="32"/>
        </w:rPr>
      </w:pPr>
    </w:p>
    <w:p w14:paraId="62A4E2A6">
      <w:pPr>
        <w:pStyle w:val="13"/>
        <w:spacing w:line="600" w:lineRule="exact"/>
        <w:ind w:firstLine="640" w:firstLineChars="200"/>
        <w:rPr>
          <w:rFonts w:ascii="Times New Roman" w:hAnsi="Times New Roman" w:eastAsia="仿宋_GB2312" w:cs="Times New Roman"/>
          <w:sz w:val="32"/>
          <w:szCs w:val="32"/>
        </w:rPr>
      </w:pPr>
    </w:p>
    <w:p w14:paraId="7B494CC8">
      <w:pPr>
        <w:pStyle w:val="13"/>
        <w:jc w:val="center"/>
        <w:rPr>
          <w:rFonts w:ascii="Times New Roman" w:hAnsi="Times New Roman" w:cs="Times New Roman"/>
          <w:sz w:val="72"/>
          <w:szCs w:val="72"/>
        </w:rPr>
      </w:pPr>
    </w:p>
    <w:p w14:paraId="4CD46A28">
      <w:pPr>
        <w:pStyle w:val="13"/>
        <w:jc w:val="center"/>
        <w:rPr>
          <w:rFonts w:ascii="Times New Roman" w:hAnsi="Times New Roman" w:cs="Times New Roman"/>
          <w:sz w:val="72"/>
          <w:szCs w:val="72"/>
        </w:rPr>
      </w:pPr>
    </w:p>
    <w:p w14:paraId="5899B08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C009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D25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C0C1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E26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6AB88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C6AB88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FD092"/>
    <w:multiLevelType w:val="singleLevel"/>
    <w:tmpl w:val="A29FD092"/>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526BB"/>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3411E7"/>
    <w:rsid w:val="09495FEF"/>
    <w:rsid w:val="0AE11AAD"/>
    <w:rsid w:val="1C4B395F"/>
    <w:rsid w:val="1CE92ABB"/>
    <w:rsid w:val="1D97DEFF"/>
    <w:rsid w:val="1DFF72E5"/>
    <w:rsid w:val="1EFC6F07"/>
    <w:rsid w:val="291A489C"/>
    <w:rsid w:val="2C484235"/>
    <w:rsid w:val="2FDF85B8"/>
    <w:rsid w:val="2FFFEE04"/>
    <w:rsid w:val="320771EA"/>
    <w:rsid w:val="33925D96"/>
    <w:rsid w:val="34DF85B0"/>
    <w:rsid w:val="34F83874"/>
    <w:rsid w:val="368263DD"/>
    <w:rsid w:val="36C95EC8"/>
    <w:rsid w:val="37402742"/>
    <w:rsid w:val="395E5707"/>
    <w:rsid w:val="3B8F36BC"/>
    <w:rsid w:val="3CD235BE"/>
    <w:rsid w:val="491FF225"/>
    <w:rsid w:val="4FBC6CB2"/>
    <w:rsid w:val="4FFD214C"/>
    <w:rsid w:val="5777D4F5"/>
    <w:rsid w:val="57A92DF9"/>
    <w:rsid w:val="59CC52AE"/>
    <w:rsid w:val="59DD8326"/>
    <w:rsid w:val="5ABE17D2"/>
    <w:rsid w:val="5DEF592A"/>
    <w:rsid w:val="5EDB21BD"/>
    <w:rsid w:val="5FC6BB1E"/>
    <w:rsid w:val="5FF720F1"/>
    <w:rsid w:val="62BF00A6"/>
    <w:rsid w:val="671C36AF"/>
    <w:rsid w:val="67FF5C0B"/>
    <w:rsid w:val="68FB6810"/>
    <w:rsid w:val="6EFC0924"/>
    <w:rsid w:val="6FB74722"/>
    <w:rsid w:val="6FEF8B7E"/>
    <w:rsid w:val="71A6591B"/>
    <w:rsid w:val="72567839"/>
    <w:rsid w:val="737D59BA"/>
    <w:rsid w:val="77C37683"/>
    <w:rsid w:val="79D19834"/>
    <w:rsid w:val="79FF515B"/>
    <w:rsid w:val="7D1E3873"/>
    <w:rsid w:val="7E9E1962"/>
    <w:rsid w:val="7E9F11B4"/>
    <w:rsid w:val="7EAA64E6"/>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1326</Words>
  <Characters>1358</Characters>
  <Lines>69</Lines>
  <Paragraphs>19</Paragraphs>
  <TotalTime>7</TotalTime>
  <ScaleCrop>false</ScaleCrop>
  <LinksUpToDate>false</LinksUpToDate>
  <CharactersWithSpaces>1482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九月</cp:lastModifiedBy>
  <cp:lastPrinted>2024-08-08T18:20:00Z</cp:lastPrinted>
  <dcterms:modified xsi:type="dcterms:W3CDTF">2026-09-22T08:27:20Z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eyJoZGlkIjoiMTQ3NjcyZmViZGMxZDk3MWUzMTZkYjFlZDE0NzUwMjQiLCJ1c2VySWQiOiIzMjQyMjY2MzEifQ==</vt:lpwstr>
  </property>
</Properties>
</file>