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B51A1">
      <w:pPr>
        <w:widowControl/>
        <w:shd w:val="clear" w:color="auto" w:fill="FFFFFF"/>
        <w:spacing w:line="600" w:lineRule="atLeast"/>
        <w:rPr>
          <w:rFonts w:eastAsia="仿宋_GB2312"/>
          <w:spacing w:val="-2"/>
          <w:sz w:val="28"/>
          <w:szCs w:val="28"/>
        </w:rPr>
      </w:pPr>
    </w:p>
    <w:p w14:paraId="54738673">
      <w:pPr>
        <w:rPr>
          <w:rFonts w:hint="default" w:eastAsia="黑体"/>
          <w:sz w:val="32"/>
          <w:szCs w:val="32"/>
          <w:lang w:val="en-US"/>
        </w:rPr>
      </w:pPr>
      <w:r>
        <w:rPr>
          <w:rFonts w:eastAsia="黑体"/>
          <w:sz w:val="32"/>
          <w:szCs w:val="32"/>
        </w:rPr>
        <w:t>附件</w:t>
      </w:r>
      <w:r>
        <w:rPr>
          <w:rFonts w:hint="default" w:eastAsia="黑体"/>
          <w:sz w:val="32"/>
          <w:szCs w:val="32"/>
          <w:lang w:val="en-US"/>
        </w:rPr>
        <w:t>5</w:t>
      </w:r>
    </w:p>
    <w:p w14:paraId="4A64C0F0">
      <w:pPr>
        <w:spacing w:line="600" w:lineRule="exact"/>
        <w:rPr>
          <w:rFonts w:eastAsia="黑体"/>
          <w:sz w:val="32"/>
          <w:szCs w:val="32"/>
        </w:rPr>
      </w:pPr>
    </w:p>
    <w:p w14:paraId="1B5B06E5">
      <w:pPr>
        <w:spacing w:line="600" w:lineRule="exact"/>
        <w:rPr>
          <w:rFonts w:eastAsia="黑体"/>
          <w:sz w:val="32"/>
          <w:szCs w:val="32"/>
        </w:rPr>
      </w:pPr>
    </w:p>
    <w:p w14:paraId="3FCCFB52">
      <w:pPr>
        <w:spacing w:line="600" w:lineRule="exact"/>
        <w:rPr>
          <w:rFonts w:eastAsia="黑体"/>
          <w:sz w:val="32"/>
          <w:szCs w:val="32"/>
        </w:rPr>
      </w:pPr>
    </w:p>
    <w:p w14:paraId="5BA5A990">
      <w:pPr>
        <w:spacing w:line="600" w:lineRule="exact"/>
        <w:rPr>
          <w:rFonts w:eastAsia="黑体"/>
          <w:sz w:val="32"/>
          <w:szCs w:val="32"/>
        </w:rPr>
      </w:pPr>
    </w:p>
    <w:p w14:paraId="787A19C3">
      <w:pPr>
        <w:jc w:val="center"/>
        <w:rPr>
          <w:rFonts w:ascii="方正小标宋_GBK" w:hAnsi="方正小标宋_GBK" w:eastAsia="方正小标宋_GBK" w:cs="方正小标宋_GBK"/>
          <w:color w:val="000000"/>
          <w:kern w:val="0"/>
          <w:sz w:val="44"/>
          <w:szCs w:val="44"/>
          <w:shd w:val="clear" w:color="auto" w:fill="FFFFFF"/>
        </w:rPr>
      </w:pPr>
      <w:r>
        <w:rPr>
          <w:rFonts w:hint="eastAsia" w:ascii="方正小标宋_GBK" w:hAnsi="方正小标宋_GBK" w:eastAsia="方正小标宋_GBK" w:cs="方正小标宋_GBK"/>
          <w:color w:val="000000"/>
          <w:kern w:val="0"/>
          <w:sz w:val="44"/>
          <w:szCs w:val="44"/>
          <w:shd w:val="clear" w:color="auto" w:fill="FFFFFF"/>
        </w:rPr>
        <w:t>202</w:t>
      </w:r>
      <w:r>
        <w:rPr>
          <w:rFonts w:hint="default" w:ascii="方正小标宋_GBK" w:hAnsi="方正小标宋_GBK" w:eastAsia="方正小标宋_GBK" w:cs="方正小标宋_GBK"/>
          <w:color w:val="000000"/>
          <w:kern w:val="0"/>
          <w:sz w:val="44"/>
          <w:szCs w:val="44"/>
          <w:shd w:val="clear" w:color="auto" w:fill="FFFFFF"/>
          <w:lang w:val="en-US"/>
        </w:rPr>
        <w:t>5</w:t>
      </w:r>
      <w:r>
        <w:rPr>
          <w:rFonts w:hint="eastAsia" w:ascii="方正小标宋_GBK" w:hAnsi="方正小标宋_GBK" w:eastAsia="方正小标宋_GBK" w:cs="方正小标宋_GBK"/>
          <w:color w:val="000000"/>
          <w:kern w:val="0"/>
          <w:sz w:val="44"/>
          <w:szCs w:val="44"/>
          <w:shd w:val="clear" w:color="auto" w:fill="FFFFFF"/>
        </w:rPr>
        <w:t>年度怀化市疾病预防控制中心整体</w:t>
      </w:r>
    </w:p>
    <w:p w14:paraId="07A736CD">
      <w:pPr>
        <w:jc w:val="center"/>
        <w:rPr>
          <w:rFonts w:ascii="方正小标宋_GBK" w:hAnsi="方正小标宋_GBK" w:eastAsia="方正小标宋_GBK" w:cs="方正小标宋_GBK"/>
          <w:color w:val="000000"/>
          <w:kern w:val="0"/>
          <w:sz w:val="44"/>
          <w:szCs w:val="44"/>
          <w:shd w:val="clear" w:color="auto" w:fill="FFFFFF"/>
        </w:rPr>
      </w:pPr>
      <w:r>
        <w:rPr>
          <w:rFonts w:hint="eastAsia" w:ascii="方正小标宋_GBK" w:hAnsi="方正小标宋_GBK" w:eastAsia="方正小标宋_GBK" w:cs="方正小标宋_GBK"/>
          <w:color w:val="000000"/>
          <w:kern w:val="0"/>
          <w:sz w:val="44"/>
          <w:szCs w:val="44"/>
          <w:shd w:val="clear" w:color="auto" w:fill="FFFFFF"/>
        </w:rPr>
        <w:t>支出绩效自评报告</w:t>
      </w:r>
    </w:p>
    <w:p w14:paraId="590335D6">
      <w:pPr>
        <w:rPr>
          <w:rFonts w:eastAsia="楷体_GB2312"/>
          <w:b/>
          <w:sz w:val="32"/>
          <w:szCs w:val="32"/>
        </w:rPr>
      </w:pPr>
    </w:p>
    <w:p w14:paraId="3900DF70">
      <w:pPr>
        <w:jc w:val="center"/>
        <w:rPr>
          <w:rFonts w:eastAsia="黑体"/>
          <w:sz w:val="32"/>
          <w:szCs w:val="32"/>
        </w:rPr>
      </w:pPr>
    </w:p>
    <w:p w14:paraId="0DBEC456">
      <w:pPr>
        <w:jc w:val="center"/>
        <w:rPr>
          <w:rFonts w:eastAsia="黑体"/>
          <w:sz w:val="32"/>
          <w:szCs w:val="32"/>
        </w:rPr>
      </w:pPr>
    </w:p>
    <w:p w14:paraId="7D9941E8">
      <w:pPr>
        <w:jc w:val="center"/>
        <w:rPr>
          <w:rFonts w:eastAsia="黑体"/>
          <w:sz w:val="32"/>
          <w:szCs w:val="32"/>
        </w:rPr>
      </w:pPr>
    </w:p>
    <w:p w14:paraId="6F19D9C4">
      <w:pPr>
        <w:jc w:val="center"/>
        <w:rPr>
          <w:rFonts w:eastAsia="黑体"/>
          <w:sz w:val="32"/>
          <w:szCs w:val="32"/>
        </w:rPr>
      </w:pPr>
      <w:r>
        <w:rPr>
          <w:rFonts w:hint="eastAsia" w:eastAsia="黑体"/>
          <w:sz w:val="32"/>
          <w:szCs w:val="32"/>
        </w:rPr>
        <w:tab/>
      </w:r>
      <w:r>
        <w:rPr>
          <w:rFonts w:hint="eastAsia" w:eastAsia="黑体"/>
          <w:sz w:val="32"/>
          <w:szCs w:val="32"/>
        </w:rPr>
        <w:tab/>
      </w:r>
    </w:p>
    <w:p w14:paraId="71DDACDA">
      <w:pPr>
        <w:jc w:val="center"/>
        <w:rPr>
          <w:rFonts w:eastAsia="黑体"/>
          <w:sz w:val="32"/>
          <w:szCs w:val="32"/>
        </w:rPr>
      </w:pPr>
    </w:p>
    <w:p w14:paraId="1CF866C8">
      <w:pPr>
        <w:jc w:val="center"/>
        <w:rPr>
          <w:rFonts w:eastAsia="黑体"/>
          <w:sz w:val="32"/>
          <w:szCs w:val="32"/>
        </w:rPr>
      </w:pPr>
    </w:p>
    <w:p w14:paraId="4269A61E">
      <w:pPr>
        <w:rPr>
          <w:rFonts w:eastAsia="黑体"/>
          <w:sz w:val="32"/>
          <w:szCs w:val="32"/>
        </w:rPr>
      </w:pPr>
    </w:p>
    <w:p w14:paraId="49743251">
      <w:pPr>
        <w:jc w:val="center"/>
        <w:rPr>
          <w:rFonts w:eastAsia="黑体"/>
          <w:sz w:val="32"/>
          <w:szCs w:val="32"/>
        </w:rPr>
      </w:pPr>
    </w:p>
    <w:p w14:paraId="4B935D16">
      <w:pPr>
        <w:spacing w:line="600" w:lineRule="exact"/>
        <w:ind w:firstLine="1920" w:firstLineChars="600"/>
        <w:rPr>
          <w:rFonts w:eastAsia="仿宋_GB2312"/>
          <w:sz w:val="32"/>
          <w:szCs w:val="32"/>
          <w:u w:val="single"/>
        </w:rPr>
      </w:pPr>
      <w:r>
        <w:rPr>
          <w:rFonts w:eastAsia="仿宋_GB2312"/>
          <w:sz w:val="32"/>
          <w:szCs w:val="32"/>
        </w:rPr>
        <w:t>单位名称：</w:t>
      </w:r>
      <w:r>
        <w:rPr>
          <w:rFonts w:eastAsia="仿宋_GB2312"/>
          <w:sz w:val="32"/>
          <w:szCs w:val="32"/>
          <w:u w:val="single"/>
        </w:rPr>
        <w:t xml:space="preserve">（盖章）        </w:t>
      </w:r>
    </w:p>
    <w:p w14:paraId="119F6EAB">
      <w:pPr>
        <w:spacing w:line="600" w:lineRule="exact"/>
        <w:ind w:firstLine="3200" w:firstLineChars="1000"/>
        <w:rPr>
          <w:rFonts w:eastAsia="楷体_GB2312"/>
          <w:sz w:val="32"/>
          <w:szCs w:val="32"/>
        </w:rPr>
      </w:pPr>
      <w:r>
        <w:rPr>
          <w:rFonts w:hint="eastAsia" w:eastAsia="楷体_GB2312"/>
          <w:sz w:val="32"/>
          <w:szCs w:val="32"/>
        </w:rPr>
        <w:t>202</w:t>
      </w:r>
      <w:r>
        <w:rPr>
          <w:rFonts w:hint="default" w:eastAsia="楷体_GB2312"/>
          <w:sz w:val="32"/>
          <w:szCs w:val="32"/>
          <w:lang w:val="en-US"/>
        </w:rPr>
        <w:t>6</w:t>
      </w:r>
      <w:r>
        <w:rPr>
          <w:rFonts w:eastAsia="楷体_GB2312"/>
          <w:sz w:val="32"/>
          <w:szCs w:val="32"/>
        </w:rPr>
        <w:t>年</w:t>
      </w:r>
      <w:r>
        <w:rPr>
          <w:rFonts w:hint="eastAsia" w:eastAsia="楷体_GB2312"/>
          <w:sz w:val="32"/>
          <w:szCs w:val="32"/>
        </w:rPr>
        <w:t>6</w:t>
      </w:r>
      <w:r>
        <w:rPr>
          <w:rFonts w:eastAsia="楷体_GB2312"/>
          <w:sz w:val="32"/>
          <w:szCs w:val="32"/>
        </w:rPr>
        <w:t>月</w:t>
      </w:r>
      <w:r>
        <w:rPr>
          <w:rFonts w:hint="default" w:eastAsia="楷体_GB2312"/>
          <w:sz w:val="32"/>
          <w:szCs w:val="32"/>
          <w:lang w:val="en-US"/>
        </w:rPr>
        <w:t>28</w:t>
      </w:r>
      <w:r>
        <w:rPr>
          <w:rFonts w:eastAsia="楷体_GB2312"/>
          <w:sz w:val="32"/>
          <w:szCs w:val="32"/>
        </w:rPr>
        <w:t>日</w:t>
      </w:r>
    </w:p>
    <w:p w14:paraId="063B896C">
      <w:pPr>
        <w:jc w:val="center"/>
        <w:rPr>
          <w:rFonts w:eastAsia="黑体"/>
          <w:sz w:val="32"/>
          <w:szCs w:val="32"/>
        </w:rPr>
      </w:pPr>
    </w:p>
    <w:p w14:paraId="44B1E28E">
      <w:pPr>
        <w:widowControl/>
        <w:shd w:val="clear" w:color="auto" w:fill="FFFFFF"/>
        <w:spacing w:line="600" w:lineRule="atLeast"/>
        <w:rPr>
          <w:rFonts w:eastAsia="仿宋_GB2312"/>
          <w:b/>
          <w:spacing w:val="-2"/>
          <w:sz w:val="32"/>
          <w:szCs w:val="44"/>
        </w:rPr>
      </w:pPr>
    </w:p>
    <w:p w14:paraId="6A9B3DD2">
      <w:pPr>
        <w:widowControl/>
        <w:numPr>
          <w:ilvl w:val="0"/>
          <w:numId w:val="1"/>
        </w:numPr>
        <w:shd w:val="clear" w:color="auto" w:fill="FFFFFF"/>
        <w:spacing w:line="600" w:lineRule="atLeast"/>
        <w:ind w:firstLine="640"/>
        <w:rPr>
          <w:rFonts w:ascii="黑体" w:hAnsi="黑体" w:eastAsia="黑体" w:cs="黑体"/>
          <w:color w:val="000000"/>
          <w:sz w:val="32"/>
          <w:szCs w:val="32"/>
          <w:shd w:val="clear" w:color="auto" w:fill="FFFFFF"/>
        </w:rPr>
      </w:pPr>
      <w:r>
        <w:rPr>
          <w:rFonts w:hint="eastAsia" w:ascii="黑体" w:hAnsi="黑体" w:eastAsia="黑体" w:cs="黑体"/>
          <w:color w:val="000000"/>
          <w:sz w:val="32"/>
          <w:szCs w:val="32"/>
          <w:shd w:val="clear" w:color="auto" w:fill="FFFFFF"/>
        </w:rPr>
        <w:t>部门</w:t>
      </w:r>
      <w:r>
        <w:rPr>
          <w:rFonts w:hint="eastAsia" w:ascii="黑体" w:hAnsi="黑体" w:eastAsia="黑体" w:cs="黑体"/>
          <w:color w:val="000000"/>
          <w:sz w:val="32"/>
          <w:szCs w:val="32"/>
          <w:shd w:val="clear" w:color="auto" w:fill="FFFFFF"/>
          <w:lang w:eastAsia="zh-CN"/>
        </w:rPr>
        <w:t>概况</w:t>
      </w:r>
    </w:p>
    <w:p w14:paraId="75FF12F2">
      <w:pPr>
        <w:widowControl/>
        <w:numPr>
          <w:ilvl w:val="0"/>
          <w:numId w:val="2"/>
        </w:numPr>
        <w:shd w:val="clear" w:color="auto" w:fill="FFFFFF"/>
        <w:spacing w:line="520" w:lineRule="exact"/>
        <w:ind w:firstLine="640" w:firstLineChars="200"/>
        <w:rPr>
          <w:rFonts w:ascii="楷体_GB2312" w:eastAsia="楷体_GB2312" w:cs="楷体_GB2312"/>
          <w:color w:val="000000"/>
          <w:sz w:val="32"/>
          <w:szCs w:val="32"/>
          <w:shd w:val="clear" w:color="auto" w:fill="FFFFFF"/>
        </w:rPr>
      </w:pPr>
      <w:r>
        <w:rPr>
          <w:rFonts w:hint="eastAsia" w:ascii="楷体_GB2312" w:eastAsia="楷体_GB2312" w:cs="楷体_GB2312"/>
          <w:color w:val="000000"/>
          <w:sz w:val="32"/>
          <w:szCs w:val="32"/>
          <w:shd w:val="clear" w:color="auto" w:fill="FFFFFF"/>
          <w:lang w:eastAsia="zh-CN"/>
        </w:rPr>
        <w:t>部门（单位）基本情况</w:t>
      </w:r>
    </w:p>
    <w:p w14:paraId="1745B597">
      <w:pPr>
        <w:widowControl/>
        <w:shd w:val="clear" w:color="auto" w:fill="FFFFFF"/>
        <w:spacing w:line="520" w:lineRule="exact"/>
        <w:ind w:firstLine="640" w:firstLineChars="200"/>
        <w:rPr>
          <w:rFonts w:ascii="楷体_GB2312" w:eastAsia="楷体_GB2312" w:cs="楷体_GB2312"/>
          <w:color w:val="000000"/>
          <w:sz w:val="32"/>
          <w:szCs w:val="32"/>
          <w:shd w:val="clear" w:color="auto" w:fill="FFFFFF"/>
        </w:rPr>
      </w:pPr>
      <w:r>
        <w:rPr>
          <w:rFonts w:ascii="仿宋" w:hAnsi="仿宋" w:eastAsia="仿宋"/>
          <w:bCs/>
          <w:sz w:val="32"/>
          <w:szCs w:val="32"/>
        </w:rPr>
        <w:t>我中心于</w:t>
      </w:r>
      <w:r>
        <w:rPr>
          <w:rFonts w:hint="eastAsia" w:ascii="仿宋" w:hAnsi="仿宋" w:eastAsia="仿宋"/>
          <w:bCs/>
          <w:sz w:val="32"/>
          <w:szCs w:val="32"/>
        </w:rPr>
        <w:t>2002年5月在原市卫生防疫站、市皮肤病防治所、市劳动卫生职业病防治所的基础上重新组建了怀化市疾病预防控制中心，按怀编发【2008】44号文件，定事业编制160名、行政隶属于市卫健委主管的副处级I类事业单位。现实际工作人员154名，其中正式在职在编人员为</w:t>
      </w:r>
      <w:r>
        <w:rPr>
          <w:rFonts w:hint="default" w:ascii="仿宋" w:hAnsi="仿宋" w:eastAsia="仿宋"/>
          <w:bCs/>
          <w:sz w:val="32"/>
          <w:szCs w:val="32"/>
          <w:lang w:val="en-US"/>
        </w:rPr>
        <w:t>142</w:t>
      </w:r>
      <w:r>
        <w:rPr>
          <w:rFonts w:hint="eastAsia" w:ascii="仿宋" w:hAnsi="仿宋" w:eastAsia="仿宋"/>
          <w:bCs/>
          <w:sz w:val="32"/>
          <w:szCs w:val="32"/>
        </w:rPr>
        <w:t>人，临聘人员5人，目前为止退休工作人员14</w:t>
      </w:r>
      <w:r>
        <w:rPr>
          <w:rFonts w:hint="default" w:ascii="仿宋" w:hAnsi="仿宋" w:eastAsia="仿宋"/>
          <w:bCs/>
          <w:sz w:val="32"/>
          <w:szCs w:val="32"/>
          <w:lang w:val="en-US"/>
        </w:rPr>
        <w:t>2</w:t>
      </w:r>
      <w:r>
        <w:rPr>
          <w:rFonts w:hint="eastAsia" w:ascii="仿宋" w:hAnsi="仿宋" w:eastAsia="仿宋"/>
          <w:bCs/>
          <w:sz w:val="32"/>
          <w:szCs w:val="32"/>
        </w:rPr>
        <w:t>人。</w:t>
      </w:r>
      <w:r>
        <w:rPr>
          <w:rFonts w:hint="eastAsia" w:ascii="仿宋" w:hAnsi="仿宋" w:eastAsia="仿宋"/>
          <w:bCs/>
          <w:sz w:val="32"/>
          <w:szCs w:val="32"/>
          <w:lang w:val="en-US" w:eastAsia="zh-CN"/>
        </w:rPr>
        <w:t>内设办公室、人事科、财务科、流行病预防控制科、皮肤病性病防治科、卫生监测科、地方病慢病控制科、结核病防治科、职业病防治科、检验科、健康教育科、生物制品科、行政后勤科共计 13 个内设职能科室。</w:t>
      </w:r>
    </w:p>
    <w:p w14:paraId="6D720756">
      <w:pPr>
        <w:pStyle w:val="6"/>
        <w:shd w:val="clear" w:color="auto" w:fill="FFFFFF"/>
        <w:snapToGrid w:val="0"/>
        <w:spacing w:line="520" w:lineRule="exact"/>
        <w:ind w:firstLine="640" w:firstLineChars="200"/>
        <w:rPr>
          <w:rFonts w:hint="eastAsia" w:ascii="仿宋" w:hAnsi="仿宋" w:eastAsia="仿宋" w:cs="Times New Roman"/>
          <w:bCs/>
          <w:kern w:val="2"/>
          <w:sz w:val="32"/>
          <w:szCs w:val="32"/>
        </w:rPr>
      </w:pPr>
      <w:r>
        <w:rPr>
          <w:rFonts w:hint="eastAsia" w:ascii="仿宋" w:hAnsi="仿宋" w:eastAsia="仿宋" w:cs="Times New Roman"/>
          <w:bCs/>
          <w:kern w:val="2"/>
          <w:sz w:val="32"/>
          <w:szCs w:val="32"/>
          <w:lang w:val="en-US" w:eastAsia="zh-CN" w:bidi="ar-SA"/>
        </w:rPr>
        <w:t>单</w:t>
      </w:r>
      <w:r>
        <w:rPr>
          <w:rFonts w:hint="eastAsia" w:ascii="仿宋" w:hAnsi="仿宋" w:eastAsia="仿宋" w:cs="Times New Roman"/>
          <w:bCs/>
          <w:kern w:val="2"/>
          <w:sz w:val="32"/>
          <w:szCs w:val="32"/>
          <w:lang w:val="en-US" w:eastAsia="zh-CN" w:bidi="ar-SA"/>
        </w:rPr>
        <w:t>位法定履职包含七大核心职能：传染病与慢性病预防控制、突发公共卫生事件应急处置、健康教育与健康促进、疫情及健康危害因素信息监测管理、健康风险因素监测与干预、实验室检验检测评价、公共卫生技术指导与应用研究，承担全市全域公共卫生安全技术支撑保障职责。</w:t>
      </w:r>
    </w:p>
    <w:p w14:paraId="004B9F98">
      <w:pPr>
        <w:widowControl/>
        <w:shd w:val="clear" w:color="auto" w:fill="FFFFFF"/>
        <w:spacing w:line="520" w:lineRule="exact"/>
        <w:ind w:firstLine="640" w:firstLineChars="200"/>
        <w:rPr>
          <w:rFonts w:hint="eastAsia" w:ascii="仿宋" w:hAnsi="仿宋" w:eastAsia="仿宋"/>
          <w:bCs/>
          <w:sz w:val="32"/>
          <w:szCs w:val="32"/>
          <w:lang w:val="en-US" w:eastAsia="zh-CN"/>
        </w:rPr>
      </w:pPr>
      <w:r>
        <w:rPr>
          <w:rFonts w:hint="default" w:ascii="仿宋" w:hAnsi="仿宋" w:eastAsia="仿宋" w:cs="Times New Roman"/>
          <w:bCs/>
          <w:kern w:val="2"/>
          <w:sz w:val="32"/>
          <w:szCs w:val="32"/>
          <w:lang w:val="en-US" w:eastAsia="zh-CN"/>
        </w:rPr>
        <w:t>(</w:t>
      </w:r>
      <w:r>
        <w:rPr>
          <w:rFonts w:hint="eastAsia" w:ascii="仿宋" w:hAnsi="仿宋" w:eastAsia="仿宋" w:cs="Times New Roman"/>
          <w:bCs/>
          <w:kern w:val="2"/>
          <w:sz w:val="32"/>
          <w:szCs w:val="32"/>
          <w:lang w:val="en-US" w:eastAsia="zh-CN"/>
        </w:rPr>
        <w:t>二）</w:t>
      </w:r>
      <w:r>
        <w:rPr>
          <w:rFonts w:hint="eastAsia" w:ascii="仿宋" w:hAnsi="仿宋" w:eastAsia="仿宋" w:cs="Times New Roman"/>
          <w:bCs/>
          <w:kern w:val="2"/>
          <w:sz w:val="32"/>
          <w:szCs w:val="32"/>
          <w:lang w:eastAsia="zh-CN"/>
        </w:rPr>
        <w:t>部门（单位）整体支出规模、使用方向和主要内容、涉</w:t>
      </w:r>
      <w:r>
        <w:rPr>
          <w:rFonts w:hint="eastAsia" w:ascii="仿宋" w:hAnsi="仿宋" w:eastAsia="仿宋"/>
          <w:bCs/>
          <w:sz w:val="32"/>
          <w:szCs w:val="32"/>
          <w:lang w:val="en-US" w:eastAsia="zh-CN"/>
        </w:rPr>
        <w:t>及范围等。</w:t>
      </w:r>
    </w:p>
    <w:p w14:paraId="08DF530C">
      <w:pPr>
        <w:widowControl/>
        <w:shd w:val="clear" w:color="auto" w:fill="FFFFFF"/>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1、收支总体规模：2025 年度部门全年整体支出 5025.50 万元，年度批复总预算 5058.42 万元，预算执行率 99.35%。</w:t>
      </w:r>
    </w:p>
    <w:p w14:paraId="25DF7E57">
      <w:pPr>
        <w:widowControl/>
        <w:shd w:val="clear" w:color="auto" w:fill="FFFFFF"/>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2、资金来源结构：一般公共预算财政拨款 4555.20 万元、财政专户管理非税收入 153.09 万元、其他资金（疫苗经营成本收入、社会捐赠）317.21 万元。</w:t>
      </w:r>
    </w:p>
    <w:p w14:paraId="12CA0105">
      <w:pPr>
        <w:widowControl/>
        <w:shd w:val="clear" w:color="auto" w:fill="FFFFFF"/>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3、资金使用范围：统筹用于全市传染病与慢性非传染性疾病综合防控、免疫规划实施、食品安全与生活饮用水风险监测、公共场所及学校卫生监管、职业病危害干预、结核病 、艾滋病 、麻风病等重点专病防控、从业人员预防性健康体检、健康科普宣教、突发公共卫生事件应急保障、实验室检测能力建设、专业人才引进激励、机构基本运行保障等公共卫生核心业务。</w:t>
      </w:r>
    </w:p>
    <w:p w14:paraId="473CF77E">
      <w:pPr>
        <w:widowControl/>
        <w:shd w:val="clear" w:color="auto" w:fill="FFFFFF"/>
        <w:spacing w:line="520" w:lineRule="exact"/>
        <w:ind w:firstLine="640" w:firstLineChars="200"/>
        <w:rPr>
          <w:rFonts w:ascii="Calibri" w:hAnsi="Calibri"/>
          <w:szCs w:val="21"/>
        </w:rPr>
      </w:pPr>
      <w:r>
        <w:rPr>
          <w:rFonts w:hint="eastAsia" w:ascii="仿宋" w:hAnsi="仿宋" w:eastAsia="仿宋"/>
          <w:bCs/>
          <w:sz w:val="32"/>
          <w:szCs w:val="32"/>
          <w:lang w:val="en-US" w:eastAsia="zh-CN"/>
        </w:rPr>
        <w:t>4、年度核心工作目标：全面完成各类健康危害因素常规监测任务，规范开展从业人员预防性健康体检；压实艾滋病、麻风病及重大传染病常态化监测管控；持续开展全民健康素养提升行动；强化预算全流程管控，落实专项资金专款专用，最大化财政资金公共卫生社会效益。</w:t>
      </w:r>
    </w:p>
    <w:p w14:paraId="7703761E">
      <w:pPr>
        <w:snapToGrid w:val="0"/>
        <w:spacing w:line="520" w:lineRule="exact"/>
        <w:ind w:firstLine="640" w:firstLineChars="200"/>
        <w:rPr>
          <w:rFonts w:hint="eastAsia" w:ascii="黑体" w:hAnsi="黑体" w:eastAsia="黑体" w:cs="黑体"/>
          <w:color w:val="000000"/>
          <w:kern w:val="0"/>
          <w:sz w:val="32"/>
          <w:szCs w:val="32"/>
          <w:shd w:val="clear" w:color="auto" w:fill="FFFFFF"/>
          <w:lang w:eastAsia="zh-CN"/>
        </w:rPr>
      </w:pPr>
      <w:r>
        <w:rPr>
          <w:rFonts w:hint="eastAsia" w:ascii="黑体" w:hAnsi="黑体" w:eastAsia="黑体" w:cs="黑体"/>
          <w:color w:val="000000"/>
          <w:kern w:val="0"/>
          <w:sz w:val="32"/>
          <w:szCs w:val="32"/>
          <w:shd w:val="clear" w:color="auto" w:fill="FFFFFF"/>
        </w:rPr>
        <w:t>二、</w:t>
      </w:r>
      <w:r>
        <w:rPr>
          <w:rFonts w:hint="eastAsia" w:ascii="黑体" w:hAnsi="黑体" w:eastAsia="黑体" w:cs="黑体"/>
          <w:color w:val="000000"/>
          <w:kern w:val="0"/>
          <w:sz w:val="32"/>
          <w:szCs w:val="32"/>
          <w:shd w:val="clear" w:color="auto" w:fill="FFFFFF"/>
          <w:lang w:eastAsia="zh-CN"/>
        </w:rPr>
        <w:t>一般公共预算支出情况</w:t>
      </w:r>
    </w:p>
    <w:p w14:paraId="311DD115">
      <w:pPr>
        <w:pStyle w:val="6"/>
        <w:shd w:val="clear" w:color="auto" w:fill="FFFFFF"/>
        <w:snapToGrid w:val="0"/>
        <w:spacing w:line="520" w:lineRule="exact"/>
        <w:ind w:firstLine="640" w:firstLineChars="200"/>
        <w:rPr>
          <w:rFonts w:ascii="仿宋_GB2312" w:eastAsia="仿宋_GB2312" w:cs="仿宋_GB2312"/>
          <w:color w:val="000000"/>
          <w:sz w:val="32"/>
          <w:szCs w:val="32"/>
          <w:shd w:val="clear" w:color="auto" w:fill="FFFFFF"/>
        </w:rPr>
      </w:pPr>
      <w:r>
        <w:rPr>
          <w:rFonts w:ascii="楷体_GB2312" w:eastAsia="楷体_GB2312" w:cs="楷体_GB2312"/>
          <w:color w:val="000000"/>
          <w:sz w:val="32"/>
          <w:szCs w:val="32"/>
          <w:shd w:val="clear" w:color="auto" w:fill="FFFFFF"/>
        </w:rPr>
        <w:t>（一）</w:t>
      </w:r>
      <w:r>
        <w:rPr>
          <w:rFonts w:ascii="仿宋_GB2312" w:eastAsia="仿宋_GB2312" w:cs="仿宋_GB2312"/>
          <w:color w:val="000000"/>
          <w:sz w:val="32"/>
          <w:szCs w:val="32"/>
          <w:shd w:val="clear" w:color="auto" w:fill="FFFFFF"/>
        </w:rPr>
        <w:t>基本支出情况</w:t>
      </w:r>
    </w:p>
    <w:p w14:paraId="4F175C38">
      <w:pPr>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2025 年度基本支出合计 3338.71 万元，全部用于人员保障与机构日常运转，支出分类明细：工资福利支出 2509.65 万元、对个人和家庭补助 262.32 万元、商品和服务支出 563.47 万元、其他资本性支出 3.27 万元。</w:t>
      </w:r>
    </w:p>
    <w:p w14:paraId="014655F3">
      <w:pPr>
        <w:spacing w:line="520" w:lineRule="exact"/>
        <w:ind w:firstLine="640" w:firstLineChars="200"/>
        <w:rPr>
          <w:color w:val="000000"/>
          <w:sz w:val="24"/>
          <w:szCs w:val="24"/>
        </w:rPr>
      </w:pPr>
      <w:r>
        <w:rPr>
          <w:rFonts w:hint="eastAsia" w:ascii="仿宋" w:hAnsi="仿宋" w:eastAsia="仿宋"/>
          <w:bCs/>
          <w:sz w:val="32"/>
          <w:szCs w:val="32"/>
          <w:lang w:val="en-US" w:eastAsia="zh-CN"/>
        </w:rPr>
        <w:t>本单位严格遵循《预算法》《会计法》《政府会计制度》，落实单位财务内控制度，从严审核原始凭证、报销附件；单独制定政府采购专项内控办法，设备、物资采购全流程闭环管理，从源头防范资金使用风险。</w:t>
      </w:r>
    </w:p>
    <w:p w14:paraId="114B056E">
      <w:pPr>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“三公” 经费管控：建立公务用车、公务接待专项管理制度，严格落实中</w:t>
      </w:r>
      <w:r>
        <w:rPr>
          <w:rFonts w:hint="eastAsia" w:ascii="仿宋" w:hAnsi="仿宋" w:eastAsia="仿宋"/>
          <w:bCs/>
          <w:sz w:val="32"/>
          <w:szCs w:val="32"/>
          <w:lang w:val="en-US" w:eastAsia="zh-CN"/>
        </w:rPr>
        <w:t xml:space="preserve">央八项规定及厉行节约要求，全年三公经费实际支出均控制在预算额度以内，较上年同比压降。 </w:t>
      </w:r>
    </w:p>
    <w:p w14:paraId="2A244217">
      <w:pPr>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公务接待费：实际支出 0.67 万元，年度预算 3 万元，节约预算资金 2.33 万元；</w:t>
      </w:r>
    </w:p>
    <w:p w14:paraId="7D792B89">
      <w:pPr>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公务用车运行维护费：实际支出 28.48 万元，年度预算 28.50 万元；</w:t>
      </w:r>
    </w:p>
    <w:p w14:paraId="47BCA143">
      <w:pPr>
        <w:spacing w:line="520" w:lineRule="exact"/>
        <w:ind w:firstLine="640" w:firstLineChars="200"/>
        <w:rPr>
          <w:rFonts w:hint="eastAsia" w:ascii="仿宋" w:hAnsi="仿宋" w:eastAsia="仿宋"/>
          <w:bCs/>
          <w:sz w:val="32"/>
          <w:szCs w:val="32"/>
          <w:lang w:val="en-US" w:eastAsia="zh-CN"/>
        </w:rPr>
      </w:pPr>
      <w:r>
        <w:rPr>
          <w:rFonts w:hint="eastAsia" w:ascii="仿宋" w:hAnsi="仿宋" w:eastAsia="仿宋"/>
          <w:bCs/>
          <w:sz w:val="32"/>
          <w:szCs w:val="32"/>
          <w:lang w:val="en-US" w:eastAsia="zh-CN"/>
        </w:rPr>
        <w:t>因公出国（境）经费：全年无发生额。</w:t>
      </w:r>
    </w:p>
    <w:p w14:paraId="02186837">
      <w:pPr>
        <w:spacing w:line="520" w:lineRule="exact"/>
        <w:ind w:firstLine="640" w:firstLineChars="200"/>
        <w:rPr>
          <w:rFonts w:hint="eastAsia" w:ascii="仿宋" w:hAnsi="仿宋" w:eastAsia="仿宋"/>
          <w:bCs/>
          <w:sz w:val="32"/>
          <w:szCs w:val="32"/>
          <w:lang w:val="en-US" w:eastAsia="zh-CN"/>
        </w:rPr>
      </w:pPr>
    </w:p>
    <w:p w14:paraId="64D652EC">
      <w:pPr>
        <w:pStyle w:val="6"/>
        <w:numPr>
          <w:ilvl w:val="0"/>
          <w:numId w:val="0"/>
        </w:numPr>
        <w:shd w:val="clear" w:color="auto" w:fill="FFFFFF"/>
        <w:snapToGrid w:val="0"/>
        <w:spacing w:line="520" w:lineRule="exact"/>
        <w:ind w:leftChars="200" w:firstLine="320" w:firstLineChars="100"/>
        <w:rPr>
          <w:rFonts w:ascii="仿宋_GB2312" w:eastAsia="仿宋_GB2312" w:cs="仿宋_GB2312"/>
          <w:color w:val="000000"/>
          <w:sz w:val="32"/>
          <w:szCs w:val="32"/>
          <w:shd w:val="clear" w:color="auto" w:fill="FFFFFF"/>
        </w:rPr>
      </w:pPr>
      <w:r>
        <w:rPr>
          <w:rFonts w:hint="eastAsia" w:ascii="仿宋_GB2312" w:eastAsia="仿宋_GB2312" w:cs="仿宋_GB2312"/>
          <w:color w:val="000000"/>
          <w:sz w:val="32"/>
          <w:szCs w:val="32"/>
          <w:shd w:val="clear" w:color="auto" w:fill="FFFFFF"/>
          <w:lang w:eastAsia="zh-CN"/>
        </w:rPr>
        <w:t>（二）</w:t>
      </w:r>
      <w:r>
        <w:rPr>
          <w:rFonts w:ascii="仿宋_GB2312" w:eastAsia="仿宋_GB2312" w:cs="仿宋_GB2312"/>
          <w:color w:val="000000"/>
          <w:sz w:val="32"/>
          <w:szCs w:val="32"/>
          <w:shd w:val="clear" w:color="auto" w:fill="FFFFFF"/>
        </w:rPr>
        <w:t>项目支出</w:t>
      </w:r>
    </w:p>
    <w:p w14:paraId="60ECAE73">
      <w:pPr>
        <w:pStyle w:val="6"/>
        <w:numPr>
          <w:ilvl w:val="0"/>
          <w:numId w:val="0"/>
        </w:numPr>
        <w:shd w:val="clear" w:color="auto" w:fill="FFFFFF"/>
        <w:snapToGrid w:val="0"/>
        <w:spacing w:line="520" w:lineRule="exact"/>
        <w:ind w:leftChars="200" w:firstLine="320" w:firstLineChars="100"/>
        <w:rPr>
          <w:rFonts w:hint="eastAsia" w:ascii="仿宋_GB2312" w:eastAsia="仿宋_GB2312" w:cs="仿宋_GB2312"/>
          <w:color w:val="000000"/>
          <w:sz w:val="32"/>
          <w:szCs w:val="32"/>
          <w:shd w:val="clear" w:color="auto" w:fill="FFFFFF"/>
          <w:lang w:val="en-US" w:eastAsia="zh-CN"/>
        </w:rPr>
      </w:pPr>
      <w:r>
        <w:rPr>
          <w:rFonts w:hint="eastAsia" w:ascii="仿宋_GB2312" w:eastAsia="仿宋_GB2312" w:cs="仿宋_GB2312"/>
          <w:color w:val="000000"/>
          <w:sz w:val="32"/>
          <w:szCs w:val="32"/>
          <w:shd w:val="clear" w:color="auto" w:fill="FFFFFF"/>
          <w:lang w:val="en-US" w:eastAsia="zh-CN"/>
        </w:rPr>
        <w:t>1、项目资金安排落实、总投入情况</w:t>
      </w:r>
    </w:p>
    <w:p w14:paraId="3EEDCBDA">
      <w:pPr>
        <w:spacing w:line="520" w:lineRule="exact"/>
        <w:ind w:firstLine="630"/>
        <w:rPr>
          <w:color w:val="000000"/>
          <w:sz w:val="24"/>
          <w:szCs w:val="24"/>
        </w:rPr>
      </w:pPr>
      <w:r>
        <w:rPr>
          <w:rFonts w:hint="eastAsia" w:ascii="仿宋" w:hAnsi="仿宋" w:eastAsia="仿宋"/>
          <w:sz w:val="32"/>
          <w:szCs w:val="32"/>
          <w:lang w:val="en-US" w:eastAsia="zh-CN"/>
        </w:rPr>
        <w:t>2025 年统筹中央、省、市三级财政公共卫生专项经费 1676.22 万元，覆盖新冠防控、艾滋病、免疫规划、结核病、食品安全风险监测、饮用水监测、慢病地方病、职业病、学校卫生、人才激励等 26 类专项。资金层级构成：中央财政补助 1618.13 万元、省级财政配套 0 万元、市本级财政配套 58.09 万元。 其中新冠肺炎防控经费实行全市统筹专户核算，资金总额 1158.32 万元全部为中央补助资金，统一归集、统筹保障全市各级新冠防控相关支出。</w:t>
      </w:r>
    </w:p>
    <w:p w14:paraId="665E5B29">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2、项目资金实际使用情况分析</w:t>
      </w:r>
    </w:p>
    <w:p w14:paraId="619CD031">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项目总支出 1676.22 万元，支出经济分类：商品和服务支出 1404.01 万元、对个人和家庭补助 11.01 万元、资本性购置支出 261.20 万元。市本级配套 58.09 万元专项实施情况如下：</w:t>
      </w:r>
    </w:p>
    <w:p w14:paraId="00FD4401">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1.人才引进专项资金 8.2 万元：按照 4.2 万元 / 人 / 年标准发放生活补助、4 万元 / 人标准发放住房补贴，落实 1 名紧缺公卫技术人才激励政策，稳定专业技术队伍。</w:t>
      </w:r>
    </w:p>
    <w:p w14:paraId="1514E54C">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2.市直学校新生结核病筛查经费 14.95 万元：覆盖市直高中、中职、初中、幼儿园新生，计划筛查 14111 人，实际完成筛查 14051 人；资金用于检测试剂采购、联合医疗机构开展结核菌素皮试及胸片筛查，实现校园结核传染源早发现、早处置。</w:t>
      </w:r>
    </w:p>
    <w:p w14:paraId="5D422A60">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3.公共场所卫生监测经费 3 万元：完成 238 家经营场所卫生监测、市直医疗机构消毒效果专项抽检，资金保障现场采样、业务培训、交通差旅开支。</w:t>
      </w:r>
    </w:p>
    <w:p w14:paraId="21BE7D11">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4.水质监测经费 3 万元：完成城区水样 256 份、农村监测点位水样 1426 份，同步完成丰水期新增指标水样 7 份检测；列支检测耗材、基层采样外勤经费。</w:t>
      </w:r>
    </w:p>
    <w:p w14:paraId="11A96565">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5、健康教育专项经费 3.94 万元：印制 13 类健康折页、5 类宣传海报、26 种宣教实物；更新宣传栏 13 块、展板 5 块、宣传横幅 15 条；开展 28 次卫生主题日集中宣传、1 期健康促进专题业务培训，持续提升居民健康素养水平。</w:t>
      </w:r>
    </w:p>
    <w:p w14:paraId="0623CEED">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6、食品安全风险监测经费 3 万元：完成 13 大类 276 份食品样品，共计 5488 项指标监测、数据审核上报，经费用于样品采集、检测耗材购置。</w:t>
      </w:r>
    </w:p>
    <w:p w14:paraId="46AEDFD5">
      <w:pPr>
        <w:spacing w:line="520" w:lineRule="exact"/>
        <w:ind w:firstLine="630"/>
        <w:rPr>
          <w:color w:val="000000"/>
          <w:sz w:val="24"/>
          <w:szCs w:val="24"/>
        </w:rPr>
      </w:pPr>
      <w:r>
        <w:rPr>
          <w:rFonts w:hint="eastAsia" w:ascii="仿宋" w:hAnsi="仿宋" w:eastAsia="仿宋"/>
          <w:sz w:val="32"/>
          <w:szCs w:val="32"/>
          <w:lang w:val="en-US" w:eastAsia="zh-CN"/>
        </w:rPr>
        <w:t>7、从业人员预防性健康体检经费 20 万元：完成公共场所从业人员体检 7831 人次，发放合格健康证 7791 张；筛查发现活动性肺结核 3 人、疑似结核 10 人、肝功能异常 110 人、手部湿疹 13 人，分类处置、复查合格后方准予从业，有效阻断职业相关传染病传播链条。</w:t>
      </w:r>
    </w:p>
    <w:p w14:paraId="3F37233D">
      <w:pPr>
        <w:spacing w:line="520" w:lineRule="exact"/>
        <w:ind w:firstLine="630"/>
        <w:rPr>
          <w:rFonts w:hint="default" w:ascii="仿宋" w:hAnsi="仿宋" w:eastAsia="仿宋"/>
          <w:sz w:val="32"/>
          <w:szCs w:val="32"/>
          <w:lang w:val="en-US" w:eastAsia="zh-CN"/>
        </w:rPr>
      </w:pPr>
    </w:p>
    <w:p w14:paraId="6D69FF26">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3、项目资金管理情况</w:t>
      </w:r>
    </w:p>
    <w:p w14:paraId="36CF0615">
      <w:pPr>
        <w:spacing w:line="520" w:lineRule="exact"/>
        <w:ind w:firstLine="640" w:firstLineChars="200"/>
        <w:rPr>
          <w:color w:val="000000"/>
          <w:sz w:val="24"/>
          <w:szCs w:val="24"/>
        </w:rPr>
      </w:pPr>
      <w:r>
        <w:rPr>
          <w:rFonts w:hint="eastAsia" w:ascii="仿宋" w:hAnsi="仿宋" w:eastAsia="仿宋"/>
          <w:sz w:val="32"/>
          <w:szCs w:val="32"/>
          <w:lang w:val="en-US" w:eastAsia="zh-CN"/>
        </w:rPr>
        <w:t>制定出台《怀化市疾控中心专项资金管理办法》，建立经办人初审→财务负责人复核→分管领导终审三级支付审核流程，实行专项资金专款专账、专项核算。应急、设备采购类支出强制附实施方案、采购合同、验收报告等佐证材料，做到支出有据、全程可追溯。</w:t>
      </w:r>
    </w:p>
    <w:p w14:paraId="5A0F9334">
      <w:pPr>
        <w:spacing w:line="520" w:lineRule="exact"/>
        <w:ind w:firstLine="630"/>
        <w:rPr>
          <w:rFonts w:hint="default" w:ascii="仿宋" w:hAnsi="仿宋" w:eastAsia="仿宋"/>
          <w:sz w:val="32"/>
          <w:szCs w:val="32"/>
          <w:lang w:val="en-US" w:eastAsia="zh-CN"/>
        </w:rPr>
      </w:pPr>
    </w:p>
    <w:p w14:paraId="60F78ADA">
      <w:pPr>
        <w:pStyle w:val="6"/>
        <w:shd w:val="clear" w:color="auto" w:fill="FFFFFF"/>
        <w:snapToGrid w:val="0"/>
        <w:spacing w:line="520" w:lineRule="exact"/>
        <w:rPr>
          <w:rFonts w:hint="eastAsia" w:ascii="黑体" w:hAnsi="黑体" w:eastAsia="黑体" w:cs="黑体"/>
          <w:color w:val="000000"/>
          <w:sz w:val="32"/>
          <w:szCs w:val="32"/>
          <w:shd w:val="clear" w:color="auto" w:fill="FFFFFF"/>
          <w:lang w:eastAsia="zh-CN"/>
        </w:rPr>
      </w:pPr>
      <w:r>
        <w:rPr>
          <w:rFonts w:hint="eastAsia" w:ascii="黑体" w:hAnsi="黑体" w:eastAsia="黑体" w:cs="黑体"/>
          <w:color w:val="000000"/>
          <w:sz w:val="32"/>
          <w:szCs w:val="32"/>
          <w:shd w:val="clear" w:color="auto" w:fill="FFFFFF"/>
        </w:rPr>
        <w:t>三、</w:t>
      </w:r>
      <w:r>
        <w:rPr>
          <w:rFonts w:hint="eastAsia" w:ascii="黑体" w:hAnsi="黑体" w:eastAsia="黑体" w:cs="黑体"/>
          <w:color w:val="000000"/>
          <w:sz w:val="32"/>
          <w:szCs w:val="32"/>
          <w:shd w:val="clear" w:color="auto" w:fill="FFFFFF"/>
          <w:lang w:eastAsia="zh-CN"/>
        </w:rPr>
        <w:t>项目组织实施情况</w:t>
      </w:r>
    </w:p>
    <w:p w14:paraId="6FBA7A36">
      <w:pPr>
        <w:pStyle w:val="6"/>
        <w:shd w:val="clear" w:color="auto" w:fill="FFFFFF"/>
        <w:snapToGrid w:val="0"/>
        <w:spacing w:line="520" w:lineRule="exact"/>
        <w:ind w:firstLine="640" w:firstLineChars="200"/>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（一)项目组织情况分析</w:t>
      </w:r>
    </w:p>
    <w:p w14:paraId="08D83328">
      <w:pPr>
        <w:spacing w:line="520" w:lineRule="exact"/>
        <w:ind w:firstLine="630"/>
        <w:rPr>
          <w:rFonts w:hint="eastAsia" w:ascii="仿宋" w:hAnsi="仿宋" w:eastAsia="仿宋" w:cs="Times New Roman"/>
          <w:kern w:val="2"/>
          <w:sz w:val="32"/>
          <w:szCs w:val="32"/>
          <w:lang w:val="en-US" w:eastAsia="zh-CN" w:bidi="ar-SA"/>
        </w:rPr>
      </w:pPr>
      <w:r>
        <w:rPr>
          <w:rFonts w:hint="eastAsia" w:ascii="仿宋" w:hAnsi="仿宋" w:eastAsia="仿宋"/>
          <w:sz w:val="32"/>
          <w:szCs w:val="32"/>
          <w:lang w:val="en-US" w:eastAsia="zh-CN"/>
        </w:rPr>
        <w:t>1、</w:t>
      </w:r>
      <w:r>
        <w:rPr>
          <w:rFonts w:hint="eastAsia" w:ascii="仿宋" w:hAnsi="仿宋" w:eastAsia="仿宋" w:cs="Times New Roman"/>
          <w:kern w:val="2"/>
          <w:sz w:val="32"/>
          <w:szCs w:val="32"/>
          <w:lang w:val="en-US" w:eastAsia="zh-CN" w:bidi="ar-SA"/>
        </w:rPr>
        <w:t>采购及预算调整管理</w:t>
      </w:r>
    </w:p>
    <w:p w14:paraId="003AD75E">
      <w:pPr>
        <w:spacing w:line="520" w:lineRule="exact"/>
        <w:ind w:firstLine="630"/>
        <w:rPr>
          <w:rFonts w:hint="eastAsia" w:ascii="仿宋" w:hAnsi="仿宋" w:eastAsia="仿宋"/>
          <w:sz w:val="32"/>
          <w:szCs w:val="32"/>
          <w:lang w:val="en-US" w:eastAsia="zh-CN"/>
        </w:rPr>
      </w:pPr>
      <w:r>
        <w:rPr>
          <w:rFonts w:hint="eastAsia" w:ascii="仿宋" w:hAnsi="仿宋" w:eastAsia="仿宋" w:cs="Times New Roman"/>
          <w:kern w:val="2"/>
          <w:sz w:val="32"/>
          <w:szCs w:val="32"/>
          <w:lang w:val="en-US" w:eastAsia="zh-CN" w:bidi="ar-SA"/>
        </w:rPr>
        <w:t>政府采购管理：单项采</w:t>
      </w:r>
      <w:r>
        <w:rPr>
          <w:rFonts w:hint="eastAsia" w:ascii="仿宋" w:hAnsi="仿宋" w:eastAsia="仿宋"/>
          <w:sz w:val="32"/>
          <w:szCs w:val="32"/>
          <w:lang w:val="en-US" w:eastAsia="zh-CN"/>
        </w:rPr>
        <w:t>购金额未达 40 万元政府采购限额标准的试剂、设备维保、耗材等项目，执行三家以上单位询价比价，择优选择本地服务商；限额内货物、服务严格按照湖南省政府采购电子卖场管理规定执行，10 万元及以下直购、10 万 —40 万元竞价采购；超限额项目履行完整公开政府采购程序。</w:t>
      </w:r>
    </w:p>
    <w:p w14:paraId="52BCA81A">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预算调剂追加：本年度无年中项目经费追加事项，所有项目均按年初批复预算组织实施，如需内部调剂严格履行科室申报、专家论证、财政备案流程。</w:t>
      </w:r>
    </w:p>
    <w:p w14:paraId="0956C42A">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2、项目验收管理</w:t>
      </w:r>
    </w:p>
    <w:p w14:paraId="09538370">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人才激励类项目：验收标准为劳动合同有效存续、社保连续缴纳满 3 个月，本年度引进人才全部通过资格复核验收。</w:t>
      </w:r>
    </w:p>
    <w:p w14:paraId="5F444558">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设备、耗材采购类项目：实行业务使用科室、行政后勤科、财务科三方联合现场验收，核对规格、数量、性能并签署验收台账。</w:t>
      </w:r>
    </w:p>
    <w:p w14:paraId="006E4F6F">
      <w:pPr>
        <w:spacing w:line="520" w:lineRule="exact"/>
        <w:ind w:firstLine="630"/>
        <w:rPr>
          <w:rFonts w:hint="eastAsia" w:ascii="仿宋" w:hAnsi="仿宋" w:eastAsia="仿宋"/>
          <w:sz w:val="32"/>
          <w:szCs w:val="32"/>
          <w:lang w:val="en-US" w:eastAsia="zh-CN"/>
        </w:rPr>
      </w:pPr>
      <w:r>
        <w:rPr>
          <w:rFonts w:hint="eastAsia" w:ascii="仿宋" w:hAnsi="仿宋" w:eastAsia="仿宋" w:cs="Times New Roman"/>
          <w:kern w:val="2"/>
          <w:sz w:val="32"/>
          <w:szCs w:val="32"/>
          <w:lang w:val="en-US" w:eastAsia="zh-CN" w:bidi="ar-SA"/>
        </w:rPr>
        <w:t>（二）项目管理情况分析</w:t>
      </w:r>
    </w:p>
    <w:p w14:paraId="7F63D3A1">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严格执行怀化市本级专项资金、政府投资预决算、集中采购目录及限额标准等市级财政管理文件，全面落实项目负责人责任制。单位主要负责人牵头开展项目常态化督导检查，压实业务科室执行主体责任，全过程把控项目进度、资金支付、产出成效。</w:t>
      </w:r>
    </w:p>
    <w:p w14:paraId="0250491D">
      <w:pPr>
        <w:spacing w:line="520" w:lineRule="exact"/>
        <w:ind w:firstLine="630"/>
        <w:rPr>
          <w:rFonts w:hint="eastAsia" w:ascii="仿宋" w:hAnsi="仿宋" w:eastAsia="仿宋"/>
          <w:sz w:val="32"/>
          <w:szCs w:val="32"/>
          <w:lang w:val="en-US" w:eastAsia="zh-CN"/>
        </w:rPr>
      </w:pPr>
    </w:p>
    <w:p w14:paraId="39802959">
      <w:pPr>
        <w:pStyle w:val="6"/>
        <w:numPr>
          <w:ilvl w:val="0"/>
          <w:numId w:val="3"/>
        </w:numPr>
        <w:shd w:val="clear" w:color="auto" w:fill="FFFFFF"/>
        <w:snapToGrid w:val="0"/>
        <w:spacing w:line="520" w:lineRule="exact"/>
        <w:rPr>
          <w:rFonts w:hint="eastAsia" w:ascii="黑体" w:hAnsi="黑体" w:eastAsia="黑体" w:cs="黑体"/>
          <w:color w:val="000000"/>
          <w:sz w:val="32"/>
          <w:szCs w:val="32"/>
          <w:shd w:val="clear" w:color="auto" w:fill="FFFFFF"/>
          <w:lang w:val="en-US" w:eastAsia="zh-CN"/>
        </w:rPr>
      </w:pPr>
      <w:r>
        <w:rPr>
          <w:rFonts w:hint="eastAsia" w:ascii="黑体" w:hAnsi="黑体" w:eastAsia="黑体" w:cs="黑体"/>
          <w:color w:val="000000"/>
          <w:sz w:val="32"/>
          <w:szCs w:val="32"/>
          <w:shd w:val="clear" w:color="auto" w:fill="FFFFFF"/>
          <w:lang w:val="en-US" w:eastAsia="zh-CN"/>
        </w:rPr>
        <w:t>资产管理情况</w:t>
      </w:r>
    </w:p>
    <w:p w14:paraId="53B6D2D2">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1、资产制度与系统管理：建立完整固定资产全生命周期管理制度，统一使用财政资产管理信息系统，一物一码建立资产电子卡片，覆盖资产购置、领用、维保、处置全流程，确保账实、账卡、账账相符。同步完善政府采购内控制度，规范电子卖场及限额以上采购操作流程。</w:t>
      </w:r>
    </w:p>
    <w:p w14:paraId="3E6108C2">
      <w:pPr>
        <w:spacing w:line="520" w:lineRule="exact"/>
        <w:ind w:firstLine="630"/>
        <w:rPr>
          <w:color w:val="000000"/>
          <w:sz w:val="24"/>
          <w:szCs w:val="24"/>
        </w:rPr>
      </w:pPr>
      <w:r>
        <w:rPr>
          <w:rFonts w:hint="eastAsia" w:ascii="仿宋" w:hAnsi="仿宋" w:eastAsia="仿宋"/>
          <w:sz w:val="32"/>
          <w:szCs w:val="32"/>
          <w:lang w:val="en-US" w:eastAsia="zh-CN"/>
        </w:rPr>
        <w:t>2、资产配置、维保与处置：2025 年新增固定资产5.86万元；全年分两批次开展实验室、业务设备定期维保，保障监测检验设备稳定运行。严格履行财政资产处置审批流程，处置残值全额上缴财政非税专户，无违规处置情形。</w:t>
      </w:r>
    </w:p>
    <w:p w14:paraId="4A2CC782">
      <w:pPr>
        <w:numPr>
          <w:ilvl w:val="0"/>
          <w:numId w:val="0"/>
        </w:numPr>
        <w:spacing w:line="520" w:lineRule="exact"/>
        <w:ind w:firstLine="640" w:firstLineChars="200"/>
        <w:rPr>
          <w:rFonts w:hint="eastAsia" w:ascii="黑体" w:hAnsi="黑体" w:eastAsia="黑体" w:cs="黑体"/>
          <w:color w:val="000000"/>
          <w:sz w:val="32"/>
          <w:szCs w:val="32"/>
          <w:shd w:val="clear" w:color="auto" w:fill="FFFFFF"/>
          <w:lang w:val="en-US" w:eastAsia="zh-CN"/>
        </w:rPr>
      </w:pPr>
    </w:p>
    <w:p w14:paraId="04321741">
      <w:pPr>
        <w:pStyle w:val="6"/>
        <w:numPr>
          <w:ilvl w:val="0"/>
          <w:numId w:val="0"/>
        </w:numPr>
        <w:shd w:val="clear" w:color="auto" w:fill="FFFFFF"/>
        <w:snapToGrid w:val="0"/>
        <w:spacing w:line="520" w:lineRule="exact"/>
        <w:rPr>
          <w:rFonts w:hint="default" w:ascii="仿宋" w:hAnsi="仿宋" w:eastAsia="仿宋" w:cs="Times New Roman"/>
          <w:kern w:val="2"/>
          <w:sz w:val="32"/>
          <w:szCs w:val="32"/>
          <w:lang w:val="en-US" w:eastAsia="zh-CN" w:bidi="ar-SA"/>
        </w:rPr>
      </w:pPr>
      <w:r>
        <w:rPr>
          <w:rFonts w:hint="eastAsia" w:ascii="黑体" w:hAnsi="黑体" w:eastAsia="黑体" w:cs="黑体"/>
          <w:color w:val="000000"/>
          <w:sz w:val="32"/>
          <w:szCs w:val="32"/>
          <w:shd w:val="clear" w:color="auto" w:fill="FFFFFF"/>
          <w:lang w:val="en-US" w:eastAsia="zh-CN"/>
        </w:rPr>
        <w:t>五、政府性基金预算支出情况</w:t>
      </w:r>
    </w:p>
    <w:p w14:paraId="41F579C1">
      <w:pPr>
        <w:pStyle w:val="6"/>
        <w:shd w:val="clear" w:color="auto" w:fill="FFFFFF"/>
        <w:snapToGrid w:val="0"/>
        <w:spacing w:line="520" w:lineRule="exact"/>
        <w:ind w:firstLine="960" w:firstLineChars="300"/>
        <w:rPr>
          <w:rFonts w:ascii="黑体" w:hAnsi="黑体" w:eastAsia="黑体" w:cs="黑体"/>
          <w:color w:val="000000"/>
          <w:sz w:val="32"/>
          <w:szCs w:val="32"/>
          <w:shd w:val="clear" w:color="auto" w:fill="FFFFFF"/>
        </w:rPr>
      </w:pPr>
      <w:r>
        <w:rPr>
          <w:rFonts w:hint="eastAsia" w:ascii="仿宋" w:hAnsi="仿宋" w:eastAsia="仿宋" w:cs="黑体"/>
          <w:bCs/>
          <w:color w:val="333333"/>
          <w:sz w:val="32"/>
          <w:szCs w:val="32"/>
          <w:shd w:val="clear" w:color="auto" w:fill="FFFFFF"/>
        </w:rPr>
        <w:t>无</w:t>
      </w:r>
    </w:p>
    <w:p w14:paraId="31112B34">
      <w:pPr>
        <w:pStyle w:val="6"/>
        <w:numPr>
          <w:ilvl w:val="0"/>
          <w:numId w:val="0"/>
        </w:numPr>
        <w:shd w:val="clear" w:color="auto" w:fill="FFFFFF"/>
        <w:snapToGrid w:val="0"/>
        <w:spacing w:line="520" w:lineRule="exact"/>
        <w:rPr>
          <w:rFonts w:ascii="黑体" w:hAnsi="黑体" w:eastAsia="黑体" w:cs="黑体"/>
          <w:color w:val="000000"/>
          <w:sz w:val="32"/>
          <w:szCs w:val="32"/>
          <w:shd w:val="clear" w:color="auto" w:fill="FFFFFF"/>
        </w:rPr>
      </w:pPr>
      <w:r>
        <w:rPr>
          <w:rFonts w:hint="eastAsia" w:ascii="黑体" w:hAnsi="黑体" w:eastAsia="黑体" w:cs="黑体"/>
          <w:color w:val="000000"/>
          <w:sz w:val="32"/>
          <w:szCs w:val="32"/>
          <w:shd w:val="clear" w:color="auto" w:fill="FFFFFF"/>
          <w:lang w:eastAsia="zh-CN"/>
        </w:rPr>
        <w:t>六、</w:t>
      </w:r>
      <w:r>
        <w:rPr>
          <w:rFonts w:hint="eastAsia" w:ascii="黑体" w:hAnsi="黑体" w:eastAsia="黑体" w:cs="黑体"/>
          <w:color w:val="000000"/>
          <w:sz w:val="32"/>
          <w:szCs w:val="32"/>
          <w:shd w:val="clear" w:color="auto" w:fill="FFFFFF"/>
        </w:rPr>
        <w:t>国有资本经营预算支出情况</w:t>
      </w:r>
    </w:p>
    <w:p w14:paraId="6406B39D">
      <w:pPr>
        <w:pStyle w:val="6"/>
        <w:shd w:val="clear" w:color="auto" w:fill="FFFFFF"/>
        <w:snapToGrid w:val="0"/>
        <w:spacing w:line="520" w:lineRule="exact"/>
        <w:ind w:firstLine="800" w:firstLineChars="250"/>
        <w:rPr>
          <w:rFonts w:ascii="黑体" w:hAnsi="黑体" w:eastAsia="黑体" w:cs="黑体"/>
          <w:color w:val="000000"/>
          <w:sz w:val="32"/>
          <w:szCs w:val="32"/>
          <w:shd w:val="clear" w:color="auto" w:fill="FFFFFF"/>
        </w:rPr>
      </w:pPr>
      <w:r>
        <w:rPr>
          <w:rFonts w:hint="eastAsia" w:ascii="仿宋" w:hAnsi="仿宋" w:eastAsia="仿宋" w:cs="黑体"/>
          <w:bCs/>
          <w:color w:val="333333"/>
          <w:sz w:val="32"/>
          <w:szCs w:val="32"/>
          <w:shd w:val="clear" w:color="auto" w:fill="FFFFFF"/>
        </w:rPr>
        <w:t>无</w:t>
      </w:r>
    </w:p>
    <w:p w14:paraId="259F5974">
      <w:pPr>
        <w:pStyle w:val="6"/>
        <w:shd w:val="clear" w:color="auto" w:fill="FFFFFF"/>
        <w:snapToGrid w:val="0"/>
        <w:spacing w:line="520" w:lineRule="exact"/>
        <w:rPr>
          <w:rFonts w:ascii="黑体" w:hAnsi="黑体" w:eastAsia="黑体" w:cs="黑体"/>
          <w:color w:val="000000"/>
          <w:sz w:val="32"/>
          <w:szCs w:val="32"/>
        </w:rPr>
      </w:pPr>
      <w:r>
        <w:rPr>
          <w:rFonts w:hint="eastAsia" w:ascii="黑体" w:hAnsi="黑体" w:eastAsia="黑体" w:cs="黑体"/>
          <w:color w:val="000000"/>
          <w:sz w:val="32"/>
          <w:szCs w:val="32"/>
          <w:shd w:val="clear" w:color="auto" w:fill="FFFFFF"/>
          <w:lang w:eastAsia="zh-CN"/>
        </w:rPr>
        <w:t>七</w:t>
      </w:r>
      <w:r>
        <w:rPr>
          <w:rFonts w:hint="eastAsia" w:ascii="黑体" w:hAnsi="黑体" w:eastAsia="黑体" w:cs="黑体"/>
          <w:color w:val="000000"/>
          <w:sz w:val="32"/>
          <w:szCs w:val="32"/>
          <w:shd w:val="clear" w:color="auto" w:fill="FFFFFF"/>
        </w:rPr>
        <w:t>、社会保险基金预算支出情况</w:t>
      </w:r>
    </w:p>
    <w:p w14:paraId="108E677F">
      <w:pPr>
        <w:spacing w:line="520" w:lineRule="exact"/>
        <w:ind w:firstLine="630"/>
        <w:rPr>
          <w:rFonts w:ascii="仿宋" w:hAnsi="仿宋" w:eastAsia="仿宋"/>
          <w:sz w:val="32"/>
          <w:szCs w:val="32"/>
        </w:rPr>
      </w:pPr>
      <w:r>
        <w:rPr>
          <w:rFonts w:hint="eastAsia" w:ascii="仿宋" w:hAnsi="仿宋" w:eastAsia="仿宋"/>
          <w:sz w:val="32"/>
          <w:szCs w:val="32"/>
        </w:rPr>
        <w:t xml:space="preserve"> 无</w:t>
      </w:r>
    </w:p>
    <w:p w14:paraId="48515272">
      <w:pPr>
        <w:pStyle w:val="6"/>
        <w:shd w:val="clear" w:color="auto" w:fill="FFFFFF"/>
        <w:snapToGrid w:val="0"/>
        <w:spacing w:line="520" w:lineRule="exact"/>
        <w:rPr>
          <w:rFonts w:ascii="黑体" w:hAnsi="黑体" w:eastAsia="黑体" w:cs="黑体"/>
          <w:color w:val="000000"/>
          <w:sz w:val="32"/>
          <w:szCs w:val="32"/>
        </w:rPr>
      </w:pPr>
      <w:r>
        <w:rPr>
          <w:rFonts w:hint="eastAsia" w:ascii="黑体" w:hAnsi="黑体" w:eastAsia="黑体" w:cs="黑体"/>
          <w:color w:val="000000"/>
          <w:sz w:val="32"/>
          <w:szCs w:val="32"/>
          <w:shd w:val="clear" w:color="auto" w:fill="FFFFFF"/>
          <w:lang w:eastAsia="zh-CN"/>
        </w:rPr>
        <w:t>八</w:t>
      </w:r>
      <w:r>
        <w:rPr>
          <w:rFonts w:hint="eastAsia" w:ascii="黑体" w:hAnsi="黑体" w:eastAsia="黑体" w:cs="黑体"/>
          <w:color w:val="000000"/>
          <w:sz w:val="32"/>
          <w:szCs w:val="32"/>
          <w:shd w:val="clear" w:color="auto" w:fill="FFFFFF"/>
        </w:rPr>
        <w:t>、部门整体支出绩效情况</w:t>
      </w:r>
    </w:p>
    <w:p w14:paraId="417820B4">
      <w:pPr>
        <w:pStyle w:val="6"/>
        <w:shd w:val="clear" w:color="auto" w:fill="FFFFFF"/>
        <w:snapToGrid w:val="0"/>
        <w:spacing w:line="520" w:lineRule="exact"/>
        <w:rPr>
          <w:rFonts w:ascii="仿宋_GB2312" w:eastAsia="仿宋_GB2312" w:cs="仿宋_GB2312"/>
          <w:color w:val="000000"/>
          <w:sz w:val="32"/>
          <w:szCs w:val="32"/>
          <w:shd w:val="clear" w:color="auto" w:fill="FFFFFF"/>
        </w:rPr>
      </w:pPr>
      <w:r>
        <w:rPr>
          <w:rFonts w:ascii="楷体_GB2312" w:eastAsia="楷体_GB2312" w:cs="楷体_GB2312"/>
          <w:color w:val="000000"/>
          <w:sz w:val="32"/>
          <w:szCs w:val="32"/>
          <w:shd w:val="clear" w:color="auto" w:fill="FFFFFF"/>
        </w:rPr>
        <w:t>（一）综合评价结论。</w:t>
      </w:r>
    </w:p>
    <w:p w14:paraId="58669BEC">
      <w:pPr>
        <w:spacing w:line="520" w:lineRule="exact"/>
        <w:ind w:firstLine="630"/>
        <w:rPr>
          <w:color w:val="000000"/>
          <w:sz w:val="24"/>
          <w:szCs w:val="24"/>
        </w:rPr>
      </w:pPr>
      <w:r>
        <w:rPr>
          <w:rFonts w:hint="eastAsia" w:ascii="仿宋" w:hAnsi="仿宋" w:eastAsia="仿宋"/>
          <w:sz w:val="32"/>
          <w:szCs w:val="32"/>
          <w:lang w:val="en-US" w:eastAsia="zh-CN"/>
        </w:rPr>
        <w:t>2025 年度本单位高度重视全面预算绩效管理工作，以绩效目标为导向优化内部收支管控流程，完善内控制度体系，预算约束、成本管控、资金统筹使用能力持续提升。统筹盘活车辆资源、严控非必要开支，保障人员保障、核心业务支出可持续运转。对照财政部门部门整体支出绩效评价指标体系开展自评，年度综合得分 97分，绩效等级为优秀。</w:t>
      </w:r>
    </w:p>
    <w:p w14:paraId="56AAF145">
      <w:pPr>
        <w:spacing w:line="520" w:lineRule="exact"/>
        <w:ind w:firstLine="630"/>
        <w:rPr>
          <w:rFonts w:hint="eastAsia" w:ascii="仿宋" w:hAnsi="仿宋" w:eastAsia="仿宋"/>
          <w:sz w:val="32"/>
          <w:szCs w:val="32"/>
        </w:rPr>
      </w:pPr>
      <w:r>
        <w:rPr>
          <w:rFonts w:hint="eastAsia" w:ascii="仿宋" w:hAnsi="仿宋" w:eastAsia="仿宋"/>
          <w:sz w:val="32"/>
          <w:szCs w:val="32"/>
        </w:rPr>
        <w:t>1、部门预算管理制度建设情况</w:t>
      </w:r>
    </w:p>
    <w:p w14:paraId="37361E88">
      <w:pPr>
        <w:spacing w:line="520" w:lineRule="exact"/>
        <w:ind w:firstLine="630"/>
        <w:rPr>
          <w:rFonts w:hint="eastAsia" w:ascii="仿宋" w:hAnsi="仿宋" w:eastAsia="仿宋"/>
          <w:sz w:val="32"/>
          <w:szCs w:val="32"/>
        </w:rPr>
      </w:pPr>
      <w:r>
        <w:rPr>
          <w:rFonts w:hint="eastAsia" w:ascii="仿宋" w:hAnsi="仿宋" w:eastAsia="仿宋"/>
          <w:sz w:val="32"/>
          <w:szCs w:val="32"/>
        </w:rPr>
        <w:t>认真执行《中华人民共和国会计法》、《中华人民共和国预算法》、《政府会计制度》，结合实际制定《怀化市疾病预防控制中心预算管理制度》等内部控制制度，部门预算管理制度健全并有效执行。</w:t>
      </w:r>
    </w:p>
    <w:p w14:paraId="0E625A3F">
      <w:pPr>
        <w:spacing w:line="520" w:lineRule="exact"/>
        <w:ind w:firstLine="630"/>
        <w:rPr>
          <w:rFonts w:hint="eastAsia" w:ascii="仿宋" w:hAnsi="仿宋" w:eastAsia="仿宋"/>
          <w:sz w:val="32"/>
          <w:szCs w:val="32"/>
        </w:rPr>
      </w:pPr>
      <w:r>
        <w:rPr>
          <w:rFonts w:hint="eastAsia" w:ascii="仿宋" w:hAnsi="仿宋" w:eastAsia="仿宋"/>
          <w:sz w:val="32"/>
          <w:szCs w:val="32"/>
        </w:rPr>
        <w:t>2、评价情况分析及综合评价结论</w:t>
      </w:r>
    </w:p>
    <w:p w14:paraId="20E8EA69">
      <w:pPr>
        <w:spacing w:line="520" w:lineRule="exact"/>
        <w:ind w:firstLine="630"/>
        <w:rPr>
          <w:rFonts w:hint="eastAsia" w:ascii="仿宋" w:hAnsi="仿宋" w:eastAsia="仿宋"/>
          <w:sz w:val="32"/>
          <w:szCs w:val="32"/>
        </w:rPr>
      </w:pPr>
      <w:r>
        <w:rPr>
          <w:rFonts w:hint="eastAsia" w:ascii="仿宋" w:hAnsi="仿宋" w:eastAsia="仿宋"/>
          <w:sz w:val="32"/>
          <w:szCs w:val="32"/>
        </w:rPr>
        <w:t>产出指标完成情况 数量指标：足额保障 154 名在岗人员薪酬发放；全部 26 项公共卫生专项任务 100% 按期完成； 质量指标：各项监测、筛查、检验、宣教工作均达到国家、省级疾控工作规范标准，公共卫生技术服务质量稳定达标； 时效指标：资金支付、业务实施均按预算时序推进，保障机构日常运转与应急工作及时落地。</w:t>
      </w:r>
    </w:p>
    <w:p w14:paraId="670508C0">
      <w:pPr>
        <w:spacing w:line="520" w:lineRule="exact"/>
        <w:ind w:firstLine="630"/>
        <w:rPr>
          <w:rFonts w:hint="eastAsia" w:ascii="仿宋" w:hAnsi="仿宋" w:eastAsia="仿宋"/>
          <w:sz w:val="32"/>
          <w:szCs w:val="32"/>
        </w:rPr>
      </w:pPr>
      <w:r>
        <w:rPr>
          <w:rFonts w:hint="eastAsia" w:ascii="仿宋" w:hAnsi="仿宋" w:eastAsia="仿宋"/>
          <w:sz w:val="32"/>
          <w:szCs w:val="32"/>
        </w:rPr>
        <w:t>效益指标完成情况 持续夯实全市传染病、食源性、饮用水、职业卫生风险防控屏障，公共卫生应急处置与监测预警能力稳步提升，有力支撑全市卫生健康事业高质量发展，社会效益显著。</w:t>
      </w:r>
    </w:p>
    <w:p w14:paraId="553CA13D">
      <w:pPr>
        <w:spacing w:line="520" w:lineRule="exact"/>
        <w:ind w:firstLine="630"/>
        <w:rPr>
          <w:rFonts w:hint="eastAsia" w:ascii="仿宋" w:hAnsi="仿宋" w:eastAsia="仿宋"/>
          <w:sz w:val="32"/>
          <w:szCs w:val="32"/>
        </w:rPr>
      </w:pPr>
      <w:r>
        <w:rPr>
          <w:rFonts w:hint="eastAsia" w:ascii="仿宋" w:hAnsi="仿宋" w:eastAsia="仿宋"/>
          <w:sz w:val="32"/>
          <w:szCs w:val="32"/>
        </w:rPr>
        <w:t>服务对象满意度 分别面向群众服务对象、单位内部职工开展满意度自评调查，各项满意度指标均达到预设绩效目标值。</w:t>
      </w:r>
    </w:p>
    <w:p w14:paraId="25507128">
      <w:pPr>
        <w:spacing w:line="520" w:lineRule="exact"/>
        <w:ind w:firstLine="630"/>
        <w:rPr>
          <w:color w:val="000000"/>
          <w:sz w:val="24"/>
          <w:szCs w:val="24"/>
        </w:rPr>
      </w:pPr>
      <w:r>
        <w:rPr>
          <w:rFonts w:hint="eastAsia" w:ascii="仿宋" w:hAnsi="仿宋" w:eastAsia="仿宋"/>
          <w:sz w:val="32"/>
          <w:szCs w:val="32"/>
        </w:rPr>
        <w:t>我单位严格执行《怀化市本级财政专项资金管理办法》、《怀化市本级政府投资项目工程预结（决）算管理办法》、《怀化市2020年政府集中采购目录及政府采购限额标准》等相关制度，严格落实市级专项资金管理、政府采购、项目全过程监管制度，实行项目负责人责任制，常态化开展项目督导，项目立项、实施、支付、验收全流程管理规范有序。</w:t>
      </w:r>
    </w:p>
    <w:p w14:paraId="400E1293">
      <w:pPr>
        <w:spacing w:line="520" w:lineRule="exact"/>
        <w:ind w:firstLine="630"/>
        <w:rPr>
          <w:rFonts w:hint="eastAsia" w:ascii="仿宋" w:hAnsi="仿宋" w:eastAsia="仿宋"/>
          <w:sz w:val="32"/>
          <w:szCs w:val="32"/>
        </w:rPr>
      </w:pPr>
    </w:p>
    <w:p w14:paraId="3FB7BD7C">
      <w:pPr>
        <w:pStyle w:val="6"/>
        <w:shd w:val="clear" w:color="auto" w:fill="FFFFFF"/>
        <w:snapToGrid w:val="0"/>
        <w:spacing w:line="520" w:lineRule="exact"/>
        <w:rPr>
          <w:rFonts w:ascii="黑体" w:hAnsi="黑体" w:eastAsia="黑体" w:cs="黑体"/>
          <w:color w:val="000000"/>
          <w:sz w:val="32"/>
          <w:szCs w:val="32"/>
        </w:rPr>
      </w:pPr>
      <w:r>
        <w:rPr>
          <w:rFonts w:hint="eastAsia" w:ascii="黑体" w:hAnsi="黑体" w:eastAsia="黑体" w:cs="黑体"/>
          <w:color w:val="000000"/>
          <w:sz w:val="32"/>
          <w:szCs w:val="32"/>
          <w:shd w:val="clear" w:color="auto" w:fill="FFFFFF"/>
          <w:lang w:eastAsia="zh-CN"/>
        </w:rPr>
        <w:t>九</w:t>
      </w:r>
      <w:r>
        <w:rPr>
          <w:rFonts w:hint="eastAsia" w:ascii="黑体" w:hAnsi="黑体" w:eastAsia="黑体" w:cs="黑体"/>
          <w:color w:val="000000"/>
          <w:sz w:val="32"/>
          <w:szCs w:val="32"/>
          <w:shd w:val="clear" w:color="auto" w:fill="FFFFFF"/>
        </w:rPr>
        <w:t>、存在的问题及原因分析</w:t>
      </w:r>
    </w:p>
    <w:p w14:paraId="45F94CDC">
      <w:pPr>
        <w:spacing w:line="520" w:lineRule="exact"/>
        <w:ind w:firstLine="630"/>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绩效管理体系建设不完善：绩效工作常态化运行机制不健全，业务科室、财务科室协同开展全过程绩效管理的工作流程未完全固化。</w:t>
      </w:r>
    </w:p>
    <w:p w14:paraId="4B57EDC1">
      <w:pPr>
        <w:spacing w:line="520" w:lineRule="exact"/>
        <w:ind w:firstLine="630"/>
        <w:rPr>
          <w:rFonts w:ascii="宋体" w:hAnsi="宋体"/>
          <w:color w:val="333333"/>
          <w:shd w:val="clear" w:color="auto" w:fill="FFFFFF"/>
        </w:rPr>
      </w:pPr>
      <w:r>
        <w:rPr>
          <w:rFonts w:hint="eastAsia" w:ascii="仿宋" w:hAnsi="仿宋" w:eastAsia="仿宋"/>
          <w:sz w:val="32"/>
          <w:szCs w:val="32"/>
          <w:lang w:val="en-US" w:eastAsia="zh-CN"/>
        </w:rPr>
        <w:t>2、</w:t>
      </w:r>
      <w:r>
        <w:rPr>
          <w:rFonts w:hint="eastAsia" w:ascii="仿宋" w:hAnsi="仿宋" w:eastAsia="仿宋"/>
          <w:sz w:val="32"/>
          <w:szCs w:val="32"/>
        </w:rPr>
        <w:t>绩效管理重视程度不足：各业务科室重业务实施、轻绩效全过程管控，事前绩效研判、事中绩效监控、事后绩效分析深度不足，绩效监督常态化力度偏弱。</w:t>
      </w:r>
    </w:p>
    <w:p w14:paraId="42E4135A">
      <w:pPr>
        <w:pStyle w:val="6"/>
        <w:numPr>
          <w:ilvl w:val="0"/>
          <w:numId w:val="0"/>
        </w:numPr>
        <w:shd w:val="clear" w:color="auto" w:fill="FFFFFF"/>
        <w:snapToGrid w:val="0"/>
        <w:spacing w:line="520" w:lineRule="exact"/>
        <w:rPr>
          <w:rFonts w:ascii="黑体" w:hAnsi="黑体" w:eastAsia="黑体" w:cs="黑体"/>
          <w:color w:val="000000"/>
          <w:sz w:val="32"/>
          <w:szCs w:val="32"/>
          <w:shd w:val="clear" w:color="auto" w:fill="FFFFFF"/>
        </w:rPr>
      </w:pPr>
      <w:r>
        <w:rPr>
          <w:rFonts w:hint="eastAsia" w:ascii="黑体" w:hAnsi="黑体" w:eastAsia="黑体" w:cs="黑体"/>
          <w:color w:val="000000"/>
          <w:sz w:val="32"/>
          <w:szCs w:val="32"/>
          <w:shd w:val="clear" w:color="auto" w:fill="FFFFFF"/>
          <w:lang w:eastAsia="zh-CN"/>
        </w:rPr>
        <w:t>十、</w:t>
      </w:r>
      <w:r>
        <w:rPr>
          <w:rFonts w:hint="eastAsia" w:ascii="黑体" w:hAnsi="黑体" w:eastAsia="黑体" w:cs="黑体"/>
          <w:color w:val="000000"/>
          <w:sz w:val="32"/>
          <w:szCs w:val="32"/>
          <w:shd w:val="clear" w:color="auto" w:fill="FFFFFF"/>
        </w:rPr>
        <w:t>下一步改进措施</w:t>
      </w:r>
    </w:p>
    <w:p w14:paraId="2F24A01B">
      <w:pPr>
        <w:spacing w:line="520" w:lineRule="exact"/>
        <w:ind w:firstLine="630"/>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实行预算与绩效一体化编制：结合年度公共卫生工作任务科学编制年度预算，细化分月度执行计划，均衡全年资金支付时序，避免集中支付、资金沉淀。</w:t>
      </w:r>
    </w:p>
    <w:p w14:paraId="2E038C37">
      <w:pPr>
        <w:spacing w:line="520" w:lineRule="exact"/>
        <w:ind w:firstLine="630"/>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建立绩效动态监控机制：按月统计各科室、各项目经费执行数据，定期反馈预算执行与绩效完成匹配情况；对偏离绩效目标、执行滞后的业务及时纠偏调整，提升财政资金配置与使用效益。</w:t>
      </w:r>
    </w:p>
    <w:p w14:paraId="36B97179">
      <w:pPr>
        <w:spacing w:line="520" w:lineRule="exact"/>
        <w:ind w:firstLine="630"/>
        <w:rPr>
          <w:rFonts w:ascii="黑体" w:hAnsi="黑体" w:eastAsia="黑体" w:cs="黑体"/>
          <w:color w:val="000000"/>
          <w:sz w:val="32"/>
          <w:szCs w:val="32"/>
          <w:shd w:val="clear" w:color="auto" w:fill="FFFFFF"/>
        </w:rPr>
      </w:pPr>
      <w:r>
        <w:rPr>
          <w:rFonts w:hint="eastAsia" w:ascii="仿宋" w:hAnsi="仿宋" w:eastAsia="仿宋"/>
          <w:sz w:val="32"/>
          <w:szCs w:val="32"/>
          <w:lang w:val="en-US" w:eastAsia="zh-CN"/>
        </w:rPr>
        <w:t>3、</w:t>
      </w:r>
      <w:r>
        <w:rPr>
          <w:rFonts w:hint="eastAsia" w:ascii="仿宋" w:hAnsi="仿宋" w:eastAsia="仿宋"/>
          <w:sz w:val="32"/>
          <w:szCs w:val="32"/>
        </w:rPr>
        <w:t>健全跨科室协同绩效机制：明确业务科室绩效主体责任，将绩效监控、目标完成情况纳入科室年度考核，强化事前、事中、事后全链条绩效管理</w:t>
      </w:r>
    </w:p>
    <w:p w14:paraId="3D465CF8">
      <w:pPr>
        <w:numPr>
          <w:ilvl w:val="0"/>
          <w:numId w:val="4"/>
        </w:numPr>
        <w:spacing w:line="520" w:lineRule="exact"/>
        <w:rPr>
          <w:rFonts w:hint="eastAsia" w:ascii="黑体" w:hAnsi="黑体" w:eastAsia="黑体" w:cs="黑体"/>
          <w:color w:val="000000"/>
          <w:sz w:val="32"/>
          <w:szCs w:val="32"/>
          <w:shd w:val="clear" w:color="auto" w:fill="FFFFFF"/>
          <w:lang w:eastAsia="zh-CN"/>
        </w:rPr>
      </w:pPr>
      <w:r>
        <w:rPr>
          <w:rFonts w:hint="eastAsia" w:ascii="黑体" w:hAnsi="黑体" w:eastAsia="黑体" w:cs="黑体"/>
          <w:color w:val="000000"/>
          <w:sz w:val="32"/>
          <w:szCs w:val="32"/>
          <w:shd w:val="clear" w:color="auto" w:fill="FFFFFF"/>
          <w:lang w:eastAsia="zh-CN"/>
        </w:rPr>
        <w:t>绩效自评结果拟应用和公开情况</w:t>
      </w:r>
    </w:p>
    <w:p w14:paraId="3A1B6AB1">
      <w:pPr>
        <w:spacing w:line="520" w:lineRule="exact"/>
        <w:ind w:firstLine="630"/>
        <w:rPr>
          <w:color w:val="000000"/>
          <w:sz w:val="24"/>
          <w:szCs w:val="24"/>
        </w:rPr>
      </w:pPr>
      <w:r>
        <w:rPr>
          <w:rFonts w:hint="eastAsia" w:ascii="仿宋" w:hAnsi="仿宋" w:eastAsia="仿宋"/>
          <w:sz w:val="32"/>
          <w:szCs w:val="32"/>
          <w:lang w:val="en-US" w:eastAsia="zh-CN"/>
        </w:rPr>
        <w:t>将本次部门整体支出自评结果作为 2026 年度预算编制、项目资金测算核心依据。结合本年度监测业务短板，申请将食品安全风险监测专项预算由 5 万元调增至 10 万元，专项用于便携式气相色谱仪等新型检测设备购置，补齐实验室风险监测硬件短板。</w:t>
      </w:r>
    </w:p>
    <w:p w14:paraId="014F91F2">
      <w:pPr>
        <w:spacing w:line="520" w:lineRule="exact"/>
        <w:ind w:firstLine="630"/>
        <w:rPr>
          <w:rFonts w:hint="eastAsia" w:ascii="仿宋" w:hAnsi="仿宋" w:eastAsia="仿宋"/>
          <w:sz w:val="32"/>
          <w:szCs w:val="32"/>
          <w:lang w:val="en-US" w:eastAsia="zh-CN"/>
        </w:rPr>
      </w:pPr>
      <w:r>
        <w:rPr>
          <w:rFonts w:hint="eastAsia" w:ascii="仿宋" w:hAnsi="仿宋" w:eastAsia="仿宋"/>
          <w:sz w:val="32"/>
          <w:szCs w:val="32"/>
          <w:lang w:val="en-US" w:eastAsia="zh-CN"/>
        </w:rPr>
        <w:t>按照财政预算信息公开管理要求，《2025 年度部门整体支出绩效自评表》将在怀化市卫生健康委员会官方网站政务公开专栏按期对外公示，主动接受社会监督。</w:t>
      </w:r>
    </w:p>
    <w:p w14:paraId="0E616804">
      <w:pPr>
        <w:numPr>
          <w:ilvl w:val="0"/>
          <w:numId w:val="0"/>
        </w:numPr>
        <w:spacing w:line="520" w:lineRule="exact"/>
        <w:rPr>
          <w:rFonts w:hint="eastAsia" w:ascii="黑体" w:hAnsi="黑体" w:eastAsia="黑体" w:cs="黑体"/>
          <w:color w:val="000000"/>
          <w:sz w:val="32"/>
          <w:szCs w:val="32"/>
          <w:shd w:val="clear" w:color="auto" w:fill="FFFFFF"/>
          <w:lang w:eastAsia="zh-CN"/>
        </w:rPr>
      </w:pPr>
    </w:p>
    <w:p w14:paraId="49FD8F5E">
      <w:pPr>
        <w:numPr>
          <w:ilvl w:val="0"/>
          <w:numId w:val="4"/>
        </w:numPr>
        <w:spacing w:line="520" w:lineRule="exact"/>
        <w:rPr>
          <w:rFonts w:hint="eastAsia" w:ascii="黑体" w:hAnsi="黑体" w:eastAsia="黑体" w:cs="黑体"/>
          <w:color w:val="000000"/>
          <w:sz w:val="32"/>
          <w:szCs w:val="32"/>
          <w:shd w:val="clear" w:color="auto" w:fill="FFFFFF"/>
          <w:lang w:eastAsia="zh-CN"/>
        </w:rPr>
      </w:pPr>
      <w:r>
        <w:rPr>
          <w:rFonts w:hint="eastAsia" w:ascii="黑体" w:hAnsi="黑体" w:eastAsia="黑体" w:cs="黑体"/>
          <w:color w:val="000000"/>
          <w:sz w:val="32"/>
          <w:szCs w:val="32"/>
          <w:shd w:val="clear" w:color="auto" w:fill="FFFFFF"/>
          <w:lang w:eastAsia="zh-CN"/>
        </w:rPr>
        <w:t>其他需要说明的情况</w:t>
      </w:r>
    </w:p>
    <w:p w14:paraId="5BB79C75">
      <w:pPr>
        <w:numPr>
          <w:ilvl w:val="0"/>
          <w:numId w:val="0"/>
        </w:numPr>
        <w:spacing w:line="520" w:lineRule="exact"/>
        <w:ind w:firstLine="640" w:firstLineChars="200"/>
        <w:rPr>
          <w:rFonts w:hint="eastAsia" w:ascii="黑体" w:hAnsi="黑体" w:eastAsia="黑体" w:cs="黑体"/>
          <w:color w:val="000000"/>
          <w:sz w:val="32"/>
          <w:szCs w:val="32"/>
          <w:shd w:val="clear" w:color="auto" w:fill="FFFFFF"/>
          <w:lang w:eastAsia="zh-CN"/>
        </w:rPr>
      </w:pPr>
      <w:r>
        <w:rPr>
          <w:rFonts w:hint="eastAsia" w:ascii="仿宋" w:hAnsi="仿宋" w:eastAsia="仿宋"/>
          <w:sz w:val="32"/>
          <w:szCs w:val="32"/>
          <w:lang w:val="en-US" w:eastAsia="zh-CN"/>
        </w:rPr>
        <w:t>本报告涉及预算、执行、资产、项目绩效相关数据均以单位 2025 年度财务决算、资产台账、项目业务台账原始资料为依据，数据真实完整；本年度无其他需要专项说明的特殊事项。</w:t>
      </w:r>
    </w:p>
    <w:p w14:paraId="7990F265">
      <w:pPr>
        <w:rPr>
          <w:rFonts w:ascii="仿宋" w:hAnsi="仿宋" w:eastAsia="仿宋"/>
          <w:sz w:val="32"/>
          <w:szCs w:val="32"/>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E3295"/>
    <w:multiLevelType w:val="singleLevel"/>
    <w:tmpl w:val="91FE3295"/>
    <w:lvl w:ilvl="0" w:tentative="0">
      <w:start w:val="11"/>
      <w:numFmt w:val="chineseCounting"/>
      <w:suff w:val="nothing"/>
      <w:lvlText w:val="%1、"/>
      <w:lvlJc w:val="left"/>
      <w:rPr>
        <w:rFonts w:hint="eastAsia"/>
      </w:rPr>
    </w:lvl>
  </w:abstractNum>
  <w:abstractNum w:abstractNumId="1">
    <w:nsid w:val="D3AB893B"/>
    <w:multiLevelType w:val="singleLevel"/>
    <w:tmpl w:val="D3AB893B"/>
    <w:lvl w:ilvl="0" w:tentative="0">
      <w:start w:val="4"/>
      <w:numFmt w:val="chineseCounting"/>
      <w:suff w:val="nothing"/>
      <w:lvlText w:val="%1、"/>
      <w:lvlJc w:val="left"/>
      <w:rPr>
        <w:rFonts w:hint="eastAsia"/>
      </w:rPr>
    </w:lvl>
  </w:abstractNum>
  <w:abstractNum w:abstractNumId="2">
    <w:nsid w:val="1E834381"/>
    <w:multiLevelType w:val="singleLevel"/>
    <w:tmpl w:val="1E834381"/>
    <w:lvl w:ilvl="0" w:tentative="0">
      <w:start w:val="1"/>
      <w:numFmt w:val="chineseCounting"/>
      <w:suff w:val="nothing"/>
      <w:lvlText w:val="（%1）"/>
      <w:lvlJc w:val="left"/>
      <w:rPr>
        <w:rFonts w:hint="eastAsia"/>
      </w:rPr>
    </w:lvl>
  </w:abstractNum>
  <w:abstractNum w:abstractNumId="3">
    <w:nsid w:val="61FEAD5D"/>
    <w:multiLevelType w:val="singleLevel"/>
    <w:tmpl w:val="61FEAD5D"/>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Q3NjcyZmViZGMxZDk3MWUzMTZkYjFlZDE0NzUwMjQifQ=="/>
  </w:docVars>
  <w:rsids>
    <w:rsidRoot w:val="004E0CA8"/>
    <w:rsid w:val="00056D27"/>
    <w:rsid w:val="00064FB7"/>
    <w:rsid w:val="0008251B"/>
    <w:rsid w:val="00104BC1"/>
    <w:rsid w:val="00147F31"/>
    <w:rsid w:val="001829F4"/>
    <w:rsid w:val="001E08F2"/>
    <w:rsid w:val="001E5F5A"/>
    <w:rsid w:val="001E63E3"/>
    <w:rsid w:val="00234CFE"/>
    <w:rsid w:val="0024045C"/>
    <w:rsid w:val="00270C89"/>
    <w:rsid w:val="002938A8"/>
    <w:rsid w:val="002D12F5"/>
    <w:rsid w:val="00323F5A"/>
    <w:rsid w:val="0032436F"/>
    <w:rsid w:val="00346009"/>
    <w:rsid w:val="00364C7B"/>
    <w:rsid w:val="003D2781"/>
    <w:rsid w:val="003F7867"/>
    <w:rsid w:val="004026BE"/>
    <w:rsid w:val="00432A06"/>
    <w:rsid w:val="004E0CA8"/>
    <w:rsid w:val="0050478F"/>
    <w:rsid w:val="00572867"/>
    <w:rsid w:val="005862D1"/>
    <w:rsid w:val="005B2E4E"/>
    <w:rsid w:val="005E31D2"/>
    <w:rsid w:val="005F7C14"/>
    <w:rsid w:val="0062350A"/>
    <w:rsid w:val="006C59E8"/>
    <w:rsid w:val="006D26B9"/>
    <w:rsid w:val="006F65E9"/>
    <w:rsid w:val="00737A0F"/>
    <w:rsid w:val="00755B25"/>
    <w:rsid w:val="007755CC"/>
    <w:rsid w:val="0081177C"/>
    <w:rsid w:val="00821966"/>
    <w:rsid w:val="00872035"/>
    <w:rsid w:val="0087550D"/>
    <w:rsid w:val="00895708"/>
    <w:rsid w:val="00897BA3"/>
    <w:rsid w:val="00902408"/>
    <w:rsid w:val="00952DC6"/>
    <w:rsid w:val="00964437"/>
    <w:rsid w:val="00985CB9"/>
    <w:rsid w:val="009A0A7B"/>
    <w:rsid w:val="009F13B8"/>
    <w:rsid w:val="00A8091C"/>
    <w:rsid w:val="00A80A0E"/>
    <w:rsid w:val="00A82A87"/>
    <w:rsid w:val="00AD7BED"/>
    <w:rsid w:val="00B21B47"/>
    <w:rsid w:val="00B445A7"/>
    <w:rsid w:val="00BC3AE8"/>
    <w:rsid w:val="00C3230E"/>
    <w:rsid w:val="00C71365"/>
    <w:rsid w:val="00C74A47"/>
    <w:rsid w:val="00C9373D"/>
    <w:rsid w:val="00C93A61"/>
    <w:rsid w:val="00C95294"/>
    <w:rsid w:val="00CB4A54"/>
    <w:rsid w:val="00CE0B5B"/>
    <w:rsid w:val="00D27BEC"/>
    <w:rsid w:val="00D62147"/>
    <w:rsid w:val="00DD2E14"/>
    <w:rsid w:val="00DF5667"/>
    <w:rsid w:val="00E66743"/>
    <w:rsid w:val="00EA78FF"/>
    <w:rsid w:val="00EB232D"/>
    <w:rsid w:val="00EB55B9"/>
    <w:rsid w:val="00F36259"/>
    <w:rsid w:val="00F43F3F"/>
    <w:rsid w:val="00F64479"/>
    <w:rsid w:val="00F833CB"/>
    <w:rsid w:val="00FF5A40"/>
    <w:rsid w:val="02413E63"/>
    <w:rsid w:val="046539DE"/>
    <w:rsid w:val="0EBE12AE"/>
    <w:rsid w:val="0FA758D1"/>
    <w:rsid w:val="10532CDF"/>
    <w:rsid w:val="1343554A"/>
    <w:rsid w:val="166517B0"/>
    <w:rsid w:val="175D5384"/>
    <w:rsid w:val="17DB021A"/>
    <w:rsid w:val="1B386369"/>
    <w:rsid w:val="1B60591D"/>
    <w:rsid w:val="1C4D2A35"/>
    <w:rsid w:val="1CE01EF0"/>
    <w:rsid w:val="1F330AE4"/>
    <w:rsid w:val="211B7987"/>
    <w:rsid w:val="213E00FA"/>
    <w:rsid w:val="2292481F"/>
    <w:rsid w:val="251A2B13"/>
    <w:rsid w:val="278F1EC2"/>
    <w:rsid w:val="28830C8B"/>
    <w:rsid w:val="2AA0716A"/>
    <w:rsid w:val="2CAC09AD"/>
    <w:rsid w:val="2E505623"/>
    <w:rsid w:val="30771A93"/>
    <w:rsid w:val="317A69D8"/>
    <w:rsid w:val="31F0559F"/>
    <w:rsid w:val="3548361E"/>
    <w:rsid w:val="379351E9"/>
    <w:rsid w:val="37C14E9C"/>
    <w:rsid w:val="3A050C63"/>
    <w:rsid w:val="3B247C11"/>
    <w:rsid w:val="3B363B9B"/>
    <w:rsid w:val="400D7D3D"/>
    <w:rsid w:val="4C482D70"/>
    <w:rsid w:val="4CE03B68"/>
    <w:rsid w:val="50B816C5"/>
    <w:rsid w:val="59A878EC"/>
    <w:rsid w:val="5C5960FF"/>
    <w:rsid w:val="62D404DA"/>
    <w:rsid w:val="66DF7510"/>
    <w:rsid w:val="67660AD2"/>
    <w:rsid w:val="680C34B9"/>
    <w:rsid w:val="69925649"/>
    <w:rsid w:val="6BD1077D"/>
    <w:rsid w:val="6BF942E6"/>
    <w:rsid w:val="6EDA3815"/>
    <w:rsid w:val="6F751AEC"/>
    <w:rsid w:val="704D2516"/>
    <w:rsid w:val="721B09DF"/>
    <w:rsid w:val="73247AB1"/>
    <w:rsid w:val="7349207C"/>
    <w:rsid w:val="737751A7"/>
    <w:rsid w:val="74774BD3"/>
    <w:rsid w:val="75FF6CA1"/>
    <w:rsid w:val="77127A91"/>
    <w:rsid w:val="78D2113F"/>
    <w:rsid w:val="7F4335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line="320" w:lineRule="exact"/>
    </w:pPr>
    <w:rPr>
      <w:rFonts w:hint="eastAsia" w:eastAsia="仿宋_GB2312"/>
      <w:sz w:val="32"/>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jc w:val="left"/>
    </w:pPr>
    <w:rPr>
      <w:rFonts w:ascii="微软雅黑" w:hAnsi="微软雅黑" w:cs="宋体"/>
      <w:kern w:val="0"/>
      <w:sz w:val="24"/>
    </w:rPr>
  </w:style>
  <w:style w:type="paragraph" w:styleId="7">
    <w:name w:val="Title"/>
    <w:basedOn w:val="1"/>
    <w:next w:val="1"/>
    <w:qFormat/>
    <w:uiPriority w:val="0"/>
    <w:pPr>
      <w:jc w:val="center"/>
      <w:textAlignment w:val="baseline"/>
    </w:pPr>
    <w:rPr>
      <w:rFonts w:ascii="Cambria" w:hAnsi="Cambria"/>
      <w:b/>
      <w:bCs/>
      <w:sz w:val="32"/>
      <w:szCs w:val="32"/>
    </w:rPr>
  </w:style>
  <w:style w:type="character" w:styleId="10">
    <w:name w:val="Strong"/>
    <w:basedOn w:val="9"/>
    <w:qFormat/>
    <w:uiPriority w:val="0"/>
    <w:rPr>
      <w:b/>
    </w:rPr>
  </w:style>
  <w:style w:type="character" w:customStyle="1" w:styleId="11">
    <w:name w:val="页眉 Char"/>
    <w:basedOn w:val="9"/>
    <w:link w:val="5"/>
    <w:qFormat/>
    <w:uiPriority w:val="0"/>
    <w:rPr>
      <w:kern w:val="2"/>
      <w:sz w:val="18"/>
      <w:szCs w:val="18"/>
    </w:rPr>
  </w:style>
  <w:style w:type="character" w:customStyle="1" w:styleId="12">
    <w:name w:val="页脚 Char"/>
    <w:basedOn w:val="9"/>
    <w:link w:val="4"/>
    <w:qFormat/>
    <w:uiPriority w:val="0"/>
    <w:rPr>
      <w:kern w:val="2"/>
      <w:sz w:val="18"/>
      <w:szCs w:val="18"/>
    </w:rPr>
  </w:style>
  <w:style w:type="character" w:customStyle="1" w:styleId="13">
    <w:name w:val="15"/>
    <w:basedOn w:val="9"/>
    <w:qFormat/>
    <w:uiPriority w:val="0"/>
    <w:rPr>
      <w:rFonts w:hint="default" w:ascii="Calibri" w:hAnsi="Calibri"/>
      <w:color w:val="333333"/>
      <w:sz w:val="21"/>
      <w:szCs w:val="21"/>
    </w:rPr>
  </w:style>
  <w:style w:type="character" w:customStyle="1" w:styleId="14">
    <w:name w:val="16"/>
    <w:basedOn w:val="9"/>
    <w:qFormat/>
    <w:uiPriority w:val="0"/>
    <w:rPr>
      <w:rFonts w:hint="default" w:ascii="Calibri" w:hAnsi="Calibri"/>
    </w:rPr>
  </w:style>
  <w:style w:type="paragraph" w:customStyle="1" w:styleId="15">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6">
    <w:name w:val="无间隔1"/>
    <w:basedOn w:val="1"/>
    <w:qFormat/>
    <w:uiPriority w:val="0"/>
    <w:rPr>
      <w:rFonts w:ascii="Calibri" w:hAnsi="Calibri"/>
      <w:szCs w:val="21"/>
    </w:rPr>
  </w:style>
  <w:style w:type="paragraph" w:customStyle="1" w:styleId="17">
    <w:name w:val="列表段落1"/>
    <w:basedOn w:val="1"/>
    <w:autoRedefine/>
    <w:qFormat/>
    <w:uiPriority w:val="0"/>
    <w:pPr>
      <w:ind w:firstLine="420" w:firstLineChars="200"/>
    </w:pPr>
  </w:style>
  <w:style w:type="paragraph" w:customStyle="1" w:styleId="18">
    <w:name w:val="图表目录1"/>
    <w:basedOn w:val="19"/>
    <w:next w:val="19"/>
    <w:autoRedefine/>
    <w:qFormat/>
    <w:uiPriority w:val="0"/>
    <w:pPr>
      <w:ind w:left="200" w:leftChars="200" w:hanging="200" w:hangingChars="200"/>
    </w:pPr>
  </w:style>
  <w:style w:type="paragraph" w:customStyle="1" w:styleId="1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8"/>
    <w:autoRedefine/>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10</Pages>
  <Words>4103</Words>
  <Characters>4360</Characters>
  <Lines>3</Lines>
  <Paragraphs>11</Paragraphs>
  <TotalTime>0</TotalTime>
  <ScaleCrop>false</ScaleCrop>
  <LinksUpToDate>false</LinksUpToDate>
  <CharactersWithSpaces>4374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2017-04-05T02:31:00Z</dcterms:created>
  <dc:creator>Administrator</dc:creator>
  <cp:lastModifiedBy>九月</cp:lastModifiedBy>
  <cp:lastPrinted>2022-07-01T08:56:00Z</cp:lastPrinted>
  <dcterms:modified xsi:type="dcterms:W3CDTF">2026-06-29T07:51:58Z</dcterms:modified>
  <dc:title>附件8:</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1468F83837224D4BA643F9A375FE66B9</vt:lpwstr>
  </property>
  <property fmtid="{D5CDD505-2E9C-101B-9397-08002B2CF9AE}" pid="4" name="KSOTemplateDocerSaveRecord">
    <vt:lpwstr>eyJoZGlkIjoiMTQ3NjcyZmViZGMxZDk3MWUzMTZkYjFlZDE0NzUwMjQiLCJ1c2VySWQiOiIzMjQyMjY2MzEifQ==</vt:lpwstr>
  </property>
</Properties>
</file>