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怀化市卫生健康委员会</w:t>
      </w: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怀化市卫生健康委员会</w:t>
      </w:r>
      <w:r>
        <w:rPr>
          <w:rFonts w:ascii="Times New Roman" w:hAnsi="Times New Roman" w:cs="Times New Roman"/>
          <w:bCs/>
          <w:sz w:val="32"/>
          <w:szCs w:val="32"/>
        </w:rPr>
        <w:t>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九、国有资本经营预算收入支出决算情况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怀化市卫生健康委员会</w:t>
      </w:r>
      <w:r>
        <w:rPr>
          <w:rFonts w:ascii="Times New Roman" w:hAnsi="Times New Roman" w:eastAsia="方正小标宋_GBK" w:cs="Times New Roman"/>
          <w:sz w:val="52"/>
          <w:szCs w:val="52"/>
        </w:rPr>
        <w:t>概况</w:t>
      </w:r>
    </w:p>
    <w:p>
      <w:pPr>
        <w:pStyle w:val="4"/>
        <w:ind w:left="0" w:leftChars="0" w:firstLine="0" w:firstLineChars="0"/>
        <w:rPr>
          <w:rFonts w:ascii="Times New Roman" w:hAnsi="Times New Roman" w:cs="Times New Roman"/>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hint="eastAsia" w:ascii="Times New Roman" w:hAnsi="Times New Roman" w:eastAsia="黑体" w:cs="Times New Roman"/>
          <w:sz w:val="32"/>
          <w:szCs w:val="32"/>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sz w:val="32"/>
          <w:szCs w:val="32"/>
        </w:rPr>
        <w:t>（一）</w:t>
      </w:r>
      <w:r>
        <w:rPr>
          <w:rFonts w:hint="default" w:ascii="Times New Roman" w:hAnsi="Times New Roman" w:eastAsia="仿宋_GB2312" w:cs="Times New Roman"/>
          <w:bCs/>
          <w:kern w:val="0"/>
          <w:sz w:val="32"/>
          <w:szCs w:val="32"/>
          <w:lang w:eastAsia="zh-CN"/>
        </w:rPr>
        <w:t>贯彻执行国民健康政策及国家卫生健康法律法规，贯彻执行湖南省卫生健康事业发展地方性法规和规章，组织实施全市卫生健康政策、规划、地方标准和技术规范。统筹规划全市卫生健康服务资源配置，指导区域卫生健康规划的编制和实施。制定并组织实施推进卫生健康基本公共服务均等化、普惠化、便捷化和公共资源向基层延伸等政策措施。</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（二）</w:t>
      </w:r>
      <w:r>
        <w:rPr>
          <w:rFonts w:hint="default" w:ascii="Times New Roman" w:hAnsi="Times New Roman" w:eastAsia="仿宋_GB2312" w:cs="Times New Roman"/>
          <w:bCs/>
          <w:kern w:val="0"/>
          <w:sz w:val="32"/>
          <w:szCs w:val="32"/>
          <w:lang w:eastAsia="zh-CN"/>
        </w:rPr>
        <w:t>协调推进全市深化医药卫生体制改革，研究提出全市深化医药卫生体制改革政策与措施的建议。组织深化公立医院综合改革，推进管办分离，健全现代医院管理制度，制定并组织实施推动卫生健康公共服务提供主体多元化、提供方式多样化的政策措施，提出医疗服务和药品价格政策的建议。</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（三）</w:t>
      </w:r>
      <w:r>
        <w:rPr>
          <w:rFonts w:hint="default" w:ascii="Times New Roman" w:hAnsi="Times New Roman" w:eastAsia="仿宋_GB2312" w:cs="Times New Roman"/>
          <w:bCs/>
          <w:kern w:val="0"/>
          <w:sz w:val="32"/>
          <w:szCs w:val="32"/>
          <w:lang w:eastAsia="zh-CN"/>
        </w:rPr>
        <w:t>制定并组织落实全市疾病预防控制规划、免疫规划以及严重危害人民健康公共卫生问题的干预措施。负责卫生应急工作，组织指导突发公共卫生事件的预防控制和各类突发公共事件的医疗卫生救援。承担传染病疫情信息发布工作。</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（四）</w:t>
      </w:r>
      <w:r>
        <w:rPr>
          <w:rFonts w:hint="default" w:ascii="Times New Roman" w:hAnsi="Times New Roman" w:eastAsia="仿宋_GB2312" w:cs="Times New Roman"/>
          <w:bCs/>
          <w:kern w:val="0"/>
          <w:sz w:val="32"/>
          <w:szCs w:val="32"/>
          <w:lang w:eastAsia="zh-CN"/>
        </w:rPr>
        <w:t>组织拟订并协调落实应对人口老龄化政策措施，推进老年健康服务体系建设和医养结合工作。</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（五）</w:t>
      </w:r>
      <w:r>
        <w:rPr>
          <w:rFonts w:hint="default" w:ascii="Times New Roman" w:hAnsi="Times New Roman" w:eastAsia="仿宋_GB2312" w:cs="Times New Roman"/>
          <w:bCs/>
          <w:kern w:val="0"/>
          <w:sz w:val="32"/>
          <w:szCs w:val="32"/>
          <w:lang w:eastAsia="zh-CN"/>
        </w:rPr>
        <w:t>贯彻执行国家药物政策和国家基本药物制度，开展药品使用监测、临床综合评价和短缺药品预警。组织开展食品安全风险监测评估，贯彻执行食品安全标准，负责食源性疾病及与食品安全事故有关的流行病学调查。</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（六）</w:t>
      </w:r>
      <w:r>
        <w:rPr>
          <w:rFonts w:hint="default" w:ascii="Times New Roman" w:hAnsi="Times New Roman" w:eastAsia="仿宋_GB2312" w:cs="Times New Roman"/>
          <w:bCs/>
          <w:kern w:val="0"/>
          <w:sz w:val="32"/>
          <w:szCs w:val="32"/>
          <w:lang w:eastAsia="zh-CN"/>
        </w:rPr>
        <w:t>负责职责范围内的职业卫生、放射卫生、环境卫生、学校卫生、公共场所卫生、饮用水卫生等公共卫生的监督管理。负责传染病防治监督，健全卫生健康综合监督体系。</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（七）</w:t>
      </w:r>
      <w:r>
        <w:rPr>
          <w:rFonts w:hint="default" w:ascii="Times New Roman" w:hAnsi="Times New Roman" w:eastAsia="仿宋_GB2312" w:cs="Times New Roman"/>
          <w:bCs/>
          <w:kern w:val="0"/>
          <w:sz w:val="32"/>
          <w:szCs w:val="32"/>
          <w:lang w:eastAsia="zh-CN"/>
        </w:rPr>
        <w:t>制定医疗机构、医疗服务行业管理办法并监督实施，建立医疗服务评价和监督管理体系。会同有关部门实施卫生健康专业技术人员资格标准。制定并组织实施医疗服务规范、标准和卫生健康专业技术人员执业规则、服务规范。</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（八）</w:t>
      </w:r>
      <w:r>
        <w:rPr>
          <w:rFonts w:hint="default" w:ascii="Times New Roman" w:hAnsi="Times New Roman" w:eastAsia="仿宋_GB2312" w:cs="Times New Roman"/>
          <w:bCs/>
          <w:kern w:val="0"/>
          <w:sz w:val="32"/>
          <w:szCs w:val="32"/>
          <w:lang w:eastAsia="zh-CN"/>
        </w:rPr>
        <w:t>负责计划生育管理和服务工作，开展人口监测预警，研究提出人口与家庭发展相关政策建议，完善计划生育政策。</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（九）</w:t>
      </w:r>
      <w:r>
        <w:rPr>
          <w:rFonts w:hint="default" w:ascii="Times New Roman" w:hAnsi="Times New Roman" w:eastAsia="仿宋_GB2312" w:cs="Times New Roman"/>
          <w:bCs/>
          <w:kern w:val="0"/>
          <w:sz w:val="32"/>
          <w:szCs w:val="32"/>
          <w:lang w:eastAsia="zh-CN"/>
        </w:rPr>
        <w:t>指导全市卫生健康工作，指导基层医疗卫生、妇幼健康服务体系建设，加强全科医生队伍建设。推进卫生健康科技创新发展。</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（十）</w:t>
      </w:r>
      <w:r>
        <w:rPr>
          <w:rFonts w:hint="default" w:ascii="Times New Roman" w:hAnsi="Times New Roman" w:eastAsia="仿宋_GB2312" w:cs="Times New Roman"/>
          <w:bCs/>
          <w:kern w:val="0"/>
          <w:sz w:val="32"/>
          <w:szCs w:val="32"/>
          <w:lang w:eastAsia="zh-CN"/>
        </w:rPr>
        <w:t>负责全市健康教育、健康促进和卫生健康信息化建设等工作。组织实施卫生国际交流合作与援外工作，开展与港澳台的交流与合作。</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（十一）</w:t>
      </w:r>
      <w:r>
        <w:rPr>
          <w:rFonts w:hint="default" w:ascii="Times New Roman" w:hAnsi="Times New Roman" w:eastAsia="仿宋_GB2312" w:cs="Times New Roman"/>
          <w:bCs/>
          <w:kern w:val="0"/>
          <w:sz w:val="32"/>
          <w:szCs w:val="32"/>
          <w:lang w:eastAsia="zh-CN"/>
        </w:rPr>
        <w:t>负责全市保健对象的医疗保健工作，负责重要来宾、重要会议与重大活动的医疗卫生保障工作,指导全市保健工作。</w:t>
      </w:r>
    </w:p>
    <w:p>
      <w:pPr>
        <w:widowControl/>
        <w:tabs>
          <w:tab w:val="left" w:pos="623"/>
        </w:tabs>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（十二）</w:t>
      </w:r>
      <w:r>
        <w:rPr>
          <w:rFonts w:hint="default" w:ascii="Times New Roman" w:hAnsi="Times New Roman" w:eastAsia="仿宋_GB2312" w:cs="Times New Roman"/>
          <w:bCs/>
          <w:kern w:val="0"/>
          <w:sz w:val="32"/>
          <w:szCs w:val="32"/>
          <w:lang w:eastAsia="zh-CN"/>
        </w:rPr>
        <w:t>指导市计划生育协会的业务工作。</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val="en-US" w:eastAsia="zh-CN"/>
        </w:rPr>
        <w:t>（十三）</w:t>
      </w:r>
      <w:r>
        <w:rPr>
          <w:rFonts w:hint="default" w:ascii="Times New Roman" w:hAnsi="Times New Roman" w:eastAsia="仿宋_GB2312" w:cs="Times New Roman"/>
          <w:bCs/>
          <w:kern w:val="0"/>
          <w:sz w:val="32"/>
          <w:szCs w:val="32"/>
          <w:lang w:eastAsia="zh-CN"/>
        </w:rPr>
        <w:t>完成市委、市人民政府交办的其他任务。</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val="en-US" w:eastAsia="zh-CN"/>
        </w:rPr>
        <w:t>（十四）</w:t>
      </w:r>
      <w:r>
        <w:rPr>
          <w:rFonts w:hint="default" w:ascii="Times New Roman" w:hAnsi="Times New Roman" w:eastAsia="仿宋_GB2312" w:cs="Times New Roman"/>
          <w:bCs/>
          <w:kern w:val="0"/>
          <w:sz w:val="32"/>
          <w:szCs w:val="32"/>
          <w:lang w:eastAsia="zh-CN"/>
        </w:rPr>
        <w:t>职能转变。市卫生健康委员会应当牢固树立大卫生、大健康理念，推动实施健康怀化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widowControl/>
        <w:spacing w:line="600" w:lineRule="exact"/>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val="en-US" w:eastAsia="zh-CN"/>
        </w:rPr>
        <w:t>（十五）</w:t>
      </w:r>
      <w:r>
        <w:rPr>
          <w:rFonts w:hint="default" w:ascii="Times New Roman" w:hAnsi="Times New Roman" w:eastAsia="仿宋_GB2312" w:cs="Times New Roman"/>
          <w:bCs/>
          <w:kern w:val="0"/>
          <w:sz w:val="32"/>
          <w:szCs w:val="32"/>
          <w:lang w:eastAsia="zh-CN"/>
        </w:rPr>
        <w:t>有关职责分工</w:t>
      </w:r>
    </w:p>
    <w:p>
      <w:pPr>
        <w:widowControl/>
        <w:spacing w:line="600" w:lineRule="exact"/>
        <w:ind w:firstLine="640" w:firstLineChars="200"/>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一是</w:t>
      </w:r>
      <w:r>
        <w:rPr>
          <w:rFonts w:hint="default" w:ascii="Times New Roman" w:hAnsi="Times New Roman" w:eastAsia="仿宋_GB2312" w:cs="Times New Roman"/>
          <w:bCs/>
          <w:kern w:val="0"/>
          <w:sz w:val="32"/>
          <w:szCs w:val="32"/>
          <w:lang w:eastAsia="zh-CN"/>
        </w:rPr>
        <w:t>与市发展和改革委的有关职责分工。市卫生健康委负责开展人口监测预警工作，贯彻生育政策，研究提出与生育相关的人口数量、素质、结构、分布方面的政策建议，促进生育政策和相关经济社会政策配套衔接，参与制定人口发展规划和政策，落实国家、省、市人口发展规划中的有关任务。市发展和改革委负责组织监测和评估人口变动情况及趋势影响，建立人口预测预报制度，开展重大决策人口影响评估，完善重大人口政策咨询机制，研究提出全市人口发展战略，拟订人口发展规划和人口政策，研究提出人口与经济、社会、资源、环境协调可持续发展，以及统筹促进人口长期均衡发展的政策建议。</w:t>
      </w:r>
    </w:p>
    <w:p>
      <w:pPr>
        <w:widowControl/>
        <w:spacing w:line="600" w:lineRule="exact"/>
        <w:ind w:firstLine="640" w:firstLineChars="200"/>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二是</w:t>
      </w:r>
      <w:r>
        <w:rPr>
          <w:rFonts w:hint="default" w:ascii="Times New Roman" w:hAnsi="Times New Roman" w:eastAsia="仿宋_GB2312" w:cs="Times New Roman"/>
          <w:bCs/>
          <w:kern w:val="0"/>
          <w:sz w:val="32"/>
          <w:szCs w:val="32"/>
          <w:lang w:eastAsia="zh-CN"/>
        </w:rPr>
        <w:t>与市民政局的有关职责分工。市卫生健康委员会负责拟订应对人口老龄化、医养结合政策措施，综合协调、督促指导、组织推进老龄事业发展，承担老年疾病防治、老年人医疗照护、老年人心理健康与关怀服务等老年健康工作。市民政局负责统筹推进、督促指导、监督管理养老服务工作，负责牵头落实养老服务地方性法规，拟定养老服务体系建设规划、政策、标准并组织实施，承担老年人福利和特殊困难老年人救助工作。</w:t>
      </w:r>
    </w:p>
    <w:p>
      <w:pPr>
        <w:widowControl/>
        <w:spacing w:line="600" w:lineRule="exact"/>
        <w:ind w:firstLine="640" w:firstLineChars="200"/>
        <w:rPr>
          <w:rFonts w:hint="default"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三是</w:t>
      </w:r>
      <w:r>
        <w:rPr>
          <w:rFonts w:hint="default" w:ascii="Times New Roman" w:hAnsi="Times New Roman" w:eastAsia="仿宋_GB2312" w:cs="Times New Roman"/>
          <w:bCs/>
          <w:kern w:val="0"/>
          <w:sz w:val="32"/>
          <w:szCs w:val="32"/>
          <w:lang w:eastAsia="zh-CN"/>
        </w:rPr>
        <w:t>与市市场监督管理局的有关职责分工。市卫生健康委负责食品安全风险监测工作，会同市市场监督管理局等部门制定、实施食品安全风险监测计划。市卫生健康委对通过食品安全风险监测或者接到举报发现食品可能存在安全隐患的，应当及时将相关信息通报市市场监督管理局，立即采取措施。市市场监督管理局在监督管理工作中发现需要进行食品安全风险评估的，应当及时向市卫生健康委提出建议。市药品监督管理局会同市卫生健康委建立重大药品不良反应和医疗器械不良事件相互通报机制和联合处置机制。</w:t>
      </w:r>
    </w:p>
    <w:p>
      <w:pPr>
        <w:widowControl/>
        <w:spacing w:line="600" w:lineRule="exact"/>
        <w:ind w:firstLine="640" w:firstLineChars="200"/>
        <w:rPr>
          <w:rFonts w:hint="eastAsia" w:ascii="Times New Roman" w:hAnsi="Times New Roman" w:eastAsia="黑体" w:cs="Times New Roman"/>
          <w:bCs/>
          <w:kern w:val="0"/>
          <w:sz w:val="32"/>
          <w:szCs w:val="32"/>
          <w:lang w:eastAsia="zh-CN"/>
        </w:rPr>
      </w:pPr>
      <w:r>
        <w:rPr>
          <w:rFonts w:hint="eastAsia" w:ascii="Times New Roman" w:hAnsi="Times New Roman" w:eastAsia="仿宋_GB2312" w:cs="Times New Roman"/>
          <w:bCs/>
          <w:kern w:val="0"/>
          <w:sz w:val="32"/>
          <w:szCs w:val="32"/>
          <w:lang w:eastAsia="zh-CN"/>
        </w:rPr>
        <w:t>四是</w:t>
      </w:r>
      <w:r>
        <w:rPr>
          <w:rFonts w:hint="default" w:ascii="Times New Roman" w:hAnsi="Times New Roman" w:eastAsia="仿宋_GB2312" w:cs="Times New Roman"/>
          <w:bCs/>
          <w:kern w:val="0"/>
          <w:sz w:val="32"/>
          <w:szCs w:val="32"/>
          <w:lang w:eastAsia="zh-CN"/>
        </w:rPr>
        <w:t>与市医疗保障局的有关职责分工。市卫生健康委、市医疗保障局等部门在医疗、医保、医药等方面加强制度、政策和信息衔接，建立沟通协商机制，协同推进改革，提高医疗资源使用效率和医疗保障水平</w:t>
      </w:r>
      <w:r>
        <w:rPr>
          <w:rFonts w:hint="eastAsia" w:ascii="Times New Roman" w:hAnsi="Times New Roman" w:eastAsia="仿宋_GB2312" w:cs="Times New Roman"/>
          <w:bCs/>
          <w:kern w:val="0"/>
          <w:sz w:val="32"/>
          <w:szCs w:val="32"/>
          <w:lang w:eastAsia="zh-CN"/>
        </w:rPr>
        <w:t>。</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怀化市卫生健康委员会作为一级部门预算单位，</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lang w:eastAsia="zh-CN"/>
        </w:rPr>
        <w:t>办公室（安全监督管理科）、人事科（国际合作科、退休人员管理服务科）、规划发展与信息化科、财务科、政策法规和行政审批服务科、体制改革科（医改办公室）、疾病预防控制和职业健康科（卫生应急办公室、突发公共卫生事件应急指挥中心）、医政和医疗应急科、基层卫生健康科、中医药管理科（怀化市中医药管理局）、科技教育科、综合监督科（食品安全标准与监测科）、药物政策与基本药物制度科、妇幼健康科、人口监测与家庭发展科、宣传科、爱国卫生科，另设机关党委。</w:t>
      </w:r>
    </w:p>
    <w:p>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怀化市疾病预防控制中心作为怀化市卫生健康委员会的二级预算单位，内设机构包括：办公室、财务科、行政后勤科、人事科、流行病预防控制科、皮肤病性病防治科、地方病慢病控制科、卫生监测科、结核病防治科、职业病防治科、检验科、健康教育科、生物制品科。</w:t>
      </w:r>
    </w:p>
    <w:p>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怀化市卫生计生综合监督执法局作为怀化市卫生健康委员会的二级预算单位，内设机构包括：</w:t>
      </w:r>
      <w:r>
        <w:rPr>
          <w:rFonts w:hint="eastAsia" w:ascii="Times New Roman" w:hAnsi="Times New Roman" w:eastAsia="仿宋_GB2312" w:cs="Times New Roman"/>
          <w:bCs/>
          <w:kern w:val="0"/>
          <w:sz w:val="32"/>
          <w:szCs w:val="32"/>
          <w:lang w:val="en-US" w:eastAsia="zh-CN"/>
        </w:rPr>
        <w:t>办公室、人事科、稽查科、受理发证科、公共场所卫生监督科、传染病防治与学校卫生监督科、食品安全科、职业与放射卫生监督科、医疗机构执业监督科。</w:t>
      </w:r>
    </w:p>
    <w:p>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怀化市中心血站作为怀化市卫生健康委员会的二级预算单位，内设机构包括：办公室、人力资源部、财务部、后勤保障部、业务综合部、献血服务一部、献血服务二部、血液制备部、血液供应部、血液检验部、质量管理部。</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怀化市卫生健康委员会</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怀化市卫生健康委员会</w:t>
      </w:r>
      <w:r>
        <w:rPr>
          <w:rFonts w:ascii="Times New Roman" w:hAnsi="Times New Roman" w:eastAsia="仿宋_GB2312" w:cs="Times New Roman"/>
          <w:bCs/>
          <w:kern w:val="0"/>
          <w:sz w:val="32"/>
          <w:szCs w:val="32"/>
        </w:rPr>
        <w:t>本级以</w:t>
      </w:r>
      <w:r>
        <w:rPr>
          <w:rFonts w:hint="eastAsia" w:ascii="Times New Roman" w:hAnsi="Times New Roman" w:eastAsia="仿宋_GB2312" w:cs="Times New Roman"/>
          <w:bCs/>
          <w:kern w:val="0"/>
          <w:sz w:val="32"/>
          <w:szCs w:val="32"/>
          <w:lang w:val="en-US" w:eastAsia="zh-CN"/>
        </w:rPr>
        <w:t>及怀化市疾病预防控制中心、怀化市卫生计生综合监督执法局、怀化市中心血站等3个委二级机构。</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pStyle w:val="13"/>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（详见附件一）</w:t>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tabs>
          <w:tab w:val="left" w:pos="3224"/>
        </w:tabs>
        <w:jc w:val="left"/>
        <w:rPr>
          <w:rFonts w:hint="eastAsia" w:ascii="Times New Roman" w:hAnsi="Times New Roman" w:cs="Times New Roman"/>
          <w:sz w:val="72"/>
          <w:szCs w:val="72"/>
          <w:lang w:eastAsia="zh-CN"/>
        </w:rPr>
      </w:pPr>
      <w:r>
        <w:rPr>
          <w:rFonts w:hint="eastAsia" w:ascii="Times New Roman" w:hAnsi="Times New Roman" w:cs="Times New Roman"/>
          <w:sz w:val="72"/>
          <w:szCs w:val="72"/>
          <w:lang w:eastAsia="zh-CN"/>
        </w:rPr>
        <w:tab/>
      </w:r>
    </w:p>
    <w:p>
      <w:pPr>
        <w:pStyle w:val="13"/>
        <w:tabs>
          <w:tab w:val="left" w:pos="3224"/>
        </w:tabs>
        <w:jc w:val="left"/>
        <w:rPr>
          <w:rFonts w:hint="eastAsia" w:ascii="Times New Roman" w:hAnsi="Times New Roman" w:cs="Times New Roman"/>
          <w:sz w:val="72"/>
          <w:szCs w:val="72"/>
          <w:lang w:eastAsia="zh-CN"/>
        </w:rPr>
      </w:pPr>
    </w:p>
    <w:p>
      <w:pPr>
        <w:pStyle w:val="13"/>
        <w:tabs>
          <w:tab w:val="left" w:pos="3224"/>
        </w:tabs>
        <w:jc w:val="left"/>
        <w:rPr>
          <w:rFonts w:hint="eastAsia" w:ascii="Times New Roman" w:hAnsi="Times New Roman" w:cs="Times New Roman"/>
          <w:sz w:val="72"/>
          <w:szCs w:val="72"/>
          <w:lang w:eastAsia="zh-CN"/>
        </w:rPr>
      </w:pPr>
    </w:p>
    <w:p>
      <w:pPr>
        <w:pStyle w:val="13"/>
        <w:tabs>
          <w:tab w:val="left" w:pos="3224"/>
        </w:tabs>
        <w:jc w:val="left"/>
        <w:rPr>
          <w:rFonts w:hint="eastAsia" w:ascii="Times New Roman" w:hAnsi="Times New Roman" w:cs="Times New Roman"/>
          <w:sz w:val="72"/>
          <w:szCs w:val="72"/>
          <w:lang w:eastAsia="zh-CN"/>
        </w:rPr>
      </w:pPr>
    </w:p>
    <w:p>
      <w:pPr>
        <w:pStyle w:val="13"/>
        <w:tabs>
          <w:tab w:val="left" w:pos="3224"/>
        </w:tabs>
        <w:jc w:val="left"/>
        <w:rPr>
          <w:rFonts w:hint="eastAsia" w:ascii="Times New Roman" w:hAnsi="Times New Roman" w:cs="Times New Roman"/>
          <w:sz w:val="72"/>
          <w:szCs w:val="72"/>
          <w:lang w:eastAsia="zh-CN"/>
        </w:rPr>
      </w:pPr>
    </w:p>
    <w:p>
      <w:pPr>
        <w:pStyle w:val="13"/>
        <w:tabs>
          <w:tab w:val="left" w:pos="3224"/>
        </w:tabs>
        <w:jc w:val="left"/>
        <w:rPr>
          <w:rFonts w:hint="eastAsia" w:ascii="Times New Roman" w:hAnsi="Times New Roman" w:cs="Times New Roman"/>
          <w:sz w:val="72"/>
          <w:szCs w:val="72"/>
          <w:lang w:eastAsia="zh-CN"/>
        </w:rPr>
      </w:pPr>
    </w:p>
    <w:p>
      <w:pPr>
        <w:pStyle w:val="13"/>
        <w:tabs>
          <w:tab w:val="left" w:pos="3224"/>
        </w:tabs>
        <w:jc w:val="left"/>
        <w:rPr>
          <w:rFonts w:hint="eastAsia" w:ascii="Times New Roman" w:hAnsi="Times New Roman" w:cs="Times New Roman"/>
          <w:sz w:val="72"/>
          <w:szCs w:val="72"/>
          <w:lang w:eastAsia="zh-CN"/>
        </w:rPr>
      </w:pPr>
    </w:p>
    <w:p>
      <w:pPr>
        <w:pStyle w:val="13"/>
        <w:tabs>
          <w:tab w:val="left" w:pos="3224"/>
        </w:tabs>
        <w:jc w:val="left"/>
        <w:rPr>
          <w:rFonts w:hint="eastAsia" w:ascii="Times New Roman" w:hAnsi="Times New Roman" w:cs="Times New Roman"/>
          <w:sz w:val="72"/>
          <w:szCs w:val="72"/>
          <w:lang w:eastAsia="zh-CN"/>
        </w:rPr>
      </w:pPr>
    </w:p>
    <w:p>
      <w:pPr>
        <w:pStyle w:val="13"/>
        <w:tabs>
          <w:tab w:val="left" w:pos="3224"/>
        </w:tabs>
        <w:jc w:val="left"/>
        <w:rPr>
          <w:rFonts w:hint="eastAsia" w:ascii="Times New Roman" w:hAnsi="Times New Roman" w:cs="Times New Roman"/>
          <w:sz w:val="72"/>
          <w:szCs w:val="72"/>
          <w:lang w:eastAsia="zh-CN"/>
        </w:rPr>
      </w:pPr>
    </w:p>
    <w:p>
      <w:pPr>
        <w:pStyle w:val="13"/>
        <w:tabs>
          <w:tab w:val="left" w:pos="3224"/>
        </w:tabs>
        <w:jc w:val="left"/>
        <w:rPr>
          <w:rFonts w:hint="eastAsia" w:ascii="Times New Roman" w:hAnsi="Times New Roman" w:cs="Times New Roman"/>
          <w:sz w:val="72"/>
          <w:szCs w:val="72"/>
          <w:lang w:eastAsia="zh-CN"/>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15743.43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3148.83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16.67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市卫健委2024年省级中医药传承创新发展、传染病防控等省级专项资金同比减少224.97万元，市级病媒生物防制专项资金因拨付进度原因同比减少100.58万元；2.从2020年起，全市新冠防控经费纳入市疾控中心账务管理，2024年市本级新冠防控经费主要是用于结算2022年疫情防控开支，同比减少3582.76万元。</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15743.43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13567.05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86.18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2061.1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13.09</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115.28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0.73</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15743.43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7049.8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44.78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8693.63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55.22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13567.05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2833.05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17.27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市卫健委2024年省级中医药传承创新发展、传染病防控等省级专项资金同比减少224.97万元，市级病媒生物防制专项资金因拨付进度原因同比减少100.58万元；2.从2020年起，全市新冠防控经费纳入市疾控中心账务管理，2024年市本级新冠防控经费主要是用于结算2022年疫情防控开支，同比减少3582.76万元。</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13567.05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86.18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2833.05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17.27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市卫健委2024年省级中医药传承创新发展、传染病防控等省级专项资金同比减少224.97万元，市级病媒生物防制专项资金因拨付进度原因同比减少100.58万元；2.从2020年起，全市新冠防控经费纳入市疾控中心账务管理，2024年市本级新冠防控经费主要是用于结算2022年疫情防控开支，同比减少3582.76万元。</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13567.05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37.15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19.06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社会保障和就业（类）支出</w:t>
      </w:r>
      <w:r>
        <w:rPr>
          <w:rFonts w:hint="eastAsia" w:ascii="Times New Roman" w:hAnsi="Times New Roman" w:eastAsia="仿宋_GB2312" w:cs="Times New Roman"/>
          <w:sz w:val="32"/>
          <w:szCs w:val="32"/>
          <w:lang w:val="en-US" w:eastAsia="zh-CN"/>
        </w:rPr>
        <w:t>277.88万元，占2.06%；卫生健康（类）支出13226.97万元，占97.49%；住房保障（类）支出1.36万 ，占0.01%；灾害防治及应急管理（类）支出4.63万元，占0.03%。</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7050.77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13567.05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192.42</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其他组织事务支出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33.37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年初预算不包括市卫健委</w:t>
      </w:r>
      <w:r>
        <w:rPr>
          <w:rFonts w:hint="eastAsia" w:ascii="Times New Roman" w:hAnsi="Times New Roman" w:eastAsia="仿宋_GB2312" w:cs="Times New Roman"/>
          <w:sz w:val="32"/>
          <w:szCs w:val="32"/>
          <w:lang w:val="en-US" w:eastAsia="zh-CN"/>
        </w:rPr>
        <w:t>2024年人力资源开展专项资金26.37万元和市疾控中心引进人才2023-2024年补贴7万元。</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年初预算不包括</w:t>
      </w:r>
      <w:r>
        <w:rPr>
          <w:rFonts w:hint="eastAsia" w:ascii="Times New Roman" w:hAnsi="Times New Roman" w:eastAsia="仿宋_GB2312" w:cs="Times New Roman"/>
          <w:sz w:val="32"/>
          <w:szCs w:val="32"/>
          <w:lang w:val="en-US" w:eastAsia="zh-CN"/>
        </w:rPr>
        <w:t>2024年市卫健委民办党建工作经费。</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3.教育支出（类）其他教育支出（款）其他教育支出（项）。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19.06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年初预算不包括追加的</w:t>
      </w:r>
      <w:r>
        <w:rPr>
          <w:rFonts w:hint="eastAsia" w:ascii="Times New Roman" w:hAnsi="Times New Roman" w:eastAsia="仿宋_GB2312" w:cs="Times New Roman"/>
          <w:sz w:val="32"/>
          <w:szCs w:val="32"/>
          <w:lang w:val="en-US" w:eastAsia="zh-CN"/>
        </w:rPr>
        <w:t>2024年市疾控中心新生入学结核病筛查经费。</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4.社会保障和就业支出（类）行政事业单位养老支出（款）机关事业单位基本养老保险支出（项）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150.4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完成年初预算数的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一致。</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5.社会保障和就业支出（类）行政事业单位养老支出（款）其他行政事业单位养老支出（项）。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127.17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121.32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，完成年初预算数的</w:t>
      </w:r>
      <w:r>
        <w:rPr>
          <w:rFonts w:hint="eastAsia" w:ascii="Times New Roman" w:hAnsi="Times New Roman" w:eastAsia="仿宋_GB2312" w:cs="Times New Roman"/>
          <w:sz w:val="32"/>
          <w:szCs w:val="32"/>
          <w:lang w:val="en-US" w:eastAsia="zh-CN"/>
        </w:rPr>
        <w:t>95.4%，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按实际发放离退休人员春节一次性补助。</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6.社会保障和就业支出（类）其他社会保障和就业支出（款）其他社会保障和就业支出（项）。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年初预算不包括追加的生物安全管理工作经费</w:t>
      </w:r>
      <w:r>
        <w:rPr>
          <w:rFonts w:hint="eastAsia" w:ascii="Times New Roman" w:hAnsi="Times New Roman" w:eastAsia="仿宋_GB2312" w:cs="Times New Roman"/>
          <w:sz w:val="32"/>
          <w:szCs w:val="32"/>
          <w:lang w:val="en-US" w:eastAsia="zh-CN"/>
        </w:rPr>
        <w:t>1.16万元和全民健康网络平台测控经费5万元</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7.卫生健康支出（类）卫生健康管理事务支出（款）行政运行支出（项）。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1532.63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1494.07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，完成年初预算数的</w:t>
      </w:r>
      <w:r>
        <w:rPr>
          <w:rFonts w:hint="eastAsia" w:ascii="Times New Roman" w:hAnsi="Times New Roman" w:eastAsia="仿宋_GB2312" w:cs="Times New Roman"/>
          <w:sz w:val="32"/>
          <w:szCs w:val="32"/>
          <w:lang w:val="en-US" w:eastAsia="zh-CN"/>
        </w:rPr>
        <w:t>97.48%，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部分年初预算中的资金指标额度未解冻。</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8.卫生健康支出（类）卫生健康管理事务支出（款）其他卫生健康管理事务支出（项）。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559.85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343.92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，完成年初预算数的</w:t>
      </w:r>
      <w:r>
        <w:rPr>
          <w:rFonts w:hint="eastAsia" w:ascii="Times New Roman" w:hAnsi="Times New Roman" w:eastAsia="仿宋_GB2312" w:cs="Times New Roman"/>
          <w:sz w:val="32"/>
          <w:szCs w:val="32"/>
          <w:lang w:val="en-US" w:eastAsia="zh-CN"/>
        </w:rPr>
        <w:t>61.43%，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部分年初预算项目专项资金根据工作进度支出减少。</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9.卫生健康支出（类）公立医院支出（款）中医（民族）医院支出（项）。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81.23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年初预算不包括省级下拨中医药改革示范区建设专项资金。</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10.卫生健康支出（类）公立医院支出（款）其他公立医院支出（项）。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9.61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年初预算不包括省级下拨医疗服务与保障能力提升经费。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11.卫生健康支出（类）基层医疗卫生机构支出（款）其他基层医疗卫生机构支出（项）。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340.02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年初预算不包括省级下拨医疗服务与保障能力提升经费。</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12.卫生健康支出（类）公共卫生支出（款）疾病预防控制机构支出（项）。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2727.58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6023.06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，完成年初预算数的220.84%，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结转上年市本级新冠专户疫情防控补助资金3299.96万元</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13.卫生健康支出（类）公共卫生支出（款）卫生监督机构支出（项）。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833.71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816.46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，完成年初预算数的97.93%，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部分年初预算中的项目资金指标额度未解冻。</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14.卫生健康支出（类）公共卫生支出（款）采供血机构支出（项）。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1056.27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1154.99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，完成年初预算数的109.35%，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本年度市中心血站新进人员8人，新增人员同步发放工资、缴纳社保，并配置相应公用经费，导致人员工资支出、社保支出及公用经费支出增加，同时实施工资调标，部分人员职称晋升，进一步增加了人员工资类支出总额。</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15.卫生健康支出（类）公共卫生支出（款）重大公共卫生服务支出（项）。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941.38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年初预算不包括省级下拨重大传染病防控资金。</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16.卫生健康支出（类）公共卫生支出（款）突发公共卫生事件应急处理支出（项）。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315.46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年初预算不包括追加的新冠肺炎疫情防控资金</w:t>
      </w:r>
      <w:r>
        <w:rPr>
          <w:rFonts w:hint="eastAsia" w:ascii="Times New Roman" w:hAnsi="Times New Roman" w:eastAsia="仿宋_GB2312" w:cs="Times New Roman"/>
          <w:sz w:val="32"/>
          <w:szCs w:val="32"/>
          <w:lang w:val="en-US" w:eastAsia="zh-CN"/>
        </w:rPr>
        <w:t>300万元和医务人员临时工作补助15.46万元。</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17.卫生健康支出（类）公共卫生支出（款）其他公共卫生支出（项）。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391.72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年初预算不包括追加的创卫经费</w:t>
      </w:r>
      <w:r>
        <w:rPr>
          <w:rFonts w:hint="eastAsia" w:ascii="Times New Roman" w:hAnsi="Times New Roman" w:eastAsia="仿宋_GB2312" w:cs="Times New Roman"/>
          <w:sz w:val="32"/>
          <w:szCs w:val="32"/>
          <w:lang w:val="en-US" w:eastAsia="zh-CN"/>
        </w:rPr>
        <w:t>321.41万元和省级公共卫生专项资金70.31万元。</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18.卫生健康支出（类）行政事业单位医疗支出（款）行政单位医疗支出（项）。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63.16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，完成年初预算数的100%，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一致。</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19.卫生健康支出（类）行政事业单位医疗支出（款）其他行政单位医疗支出（项）。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年初预算不包括追加的建国初期退休干部医疗补贴。</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20.卫生健康支出（类）中医药支出（款）中医（民族医）药专项支出（项）。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年初预算不包括上年结转项目中医药传承创新发展经费。</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21.卫生健康支出（类）疾病预防控制事务（款）其他疾病预防控制事务支出（项）。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年初预算不包括追加的遗属生活补助。</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22.卫生健康支出（类）其他卫生健康支出（款）其他卫生健康支出（项）。</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年初预算为0万元，支出决算为1230.4万元，决算数大于年初预算数的主要原因是：年初预算不包括追加的干部保健费、创卫经费等192.11万元和结转上年怀化市预防控制中心建设项目经费1042.91万元。</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23.住房保障支出（类）住房改革支出（款）住房公积金支出（项）。</w:t>
      </w:r>
      <w:bookmarkStart w:id="0" w:name="_GoBack"/>
      <w:bookmarkEnd w:id="0"/>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年初预算为0万元，支出决算为1.36万元，决算数大于年初预算数的主要原因是：追加了住房公积金财政配套指标。</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24.灾害防治及应急管理支出（类）其他灾害防治及应急管理支出（款）其他灾害防治及应急管理支出（项）。</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年初预算为0万元，支出决算为4.63万元，决算数大于年初预算数的主要原因是：年初预算不包括追加的解决市以来紧急救援中心安全生产工作经费。</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6232.53</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5578.78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89.51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绩效工资、机关事业单位基本养老保险缴费、职工基本医疗保险缴费、其他社会保障缴费、离退休费、抚恤金、生活补助、奖励金、其他对个人和家庭的补助等</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653.75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10.49</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水电费、邮电费、物业管理费、差旅费、维修费、租赁费、会议费、培训费、公务接待费、劳务费、委托业务费、工会经费、福利费、公务用车运行维护费、其他交通费用、税金及附加费用、其他商品和服务支出、办公设备购置等</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61.49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61.65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50.65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落实过“紧日子”要求，加强部门“三公”经费管理，严格公务接待审批和公务派车审批，压缩公务活动减少公务支出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落实过“紧日子”要求，加强部门“三公”经费管理，严格公务接待审批和公务派车审批，压缩公务活动减少公务支出；2.市卫健委2023年开支2022、2023年两年车辆维修费，导致2023年维修费增加；3.市中心血站公务用车运行维护费决算公开统计口径与上年不同</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53.47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53.47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59.91万元，降低52.84%</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53.47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53.47</w:t>
      </w:r>
      <w:r>
        <w:rPr>
          <w:rFonts w:ascii="Times New Roman" w:hAnsi="Times New Roman" w:eastAsia="仿宋_GB2312" w:cs="Times New Roman"/>
          <w:sz w:val="32"/>
          <w:szCs w:val="32"/>
        </w:rPr>
        <w:t>万元，</w:t>
      </w:r>
    </w:p>
    <w:p>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车辆维修费、油料费、保险费、过路过桥费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59.91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52.84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一致</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落实过“紧日子”要求，加强部门“三公”经费管理，严格公务接待审批和公务派车审批，压缩公务活动减少公务支出；2.市卫健委2023年开支2022、2023年两年车辆维修费，导致2023年维修费增加；3.市中心血站公务用车运行维护费决算公开统计口径与上年不同</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辆。</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8.02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82.17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1.74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20.89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落实过“紧日子”要求，加强部门“三公”经费管理，严格公务接待审批，压缩公务活动减少公务支出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落实过“紧日子”要求，加强部门“三公”经费管理，严格公务接待审批，压缩公务活动减少公务支出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452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上级调研和指导工作、下级汇报工作</w:t>
      </w:r>
      <w:r>
        <w:rPr>
          <w:rFonts w:ascii="Times New Roman" w:hAnsi="Times New Roman" w:eastAsia="仿宋_GB2312" w:cs="Times New Roman"/>
          <w:sz w:val="32"/>
          <w:szCs w:val="32"/>
        </w:rPr>
        <w:t>发生的接待支出。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Times New Roman" w:hAnsi="Times New Roman" w:eastAsia="仿宋_GB2312" w:cs="Times New Roman"/>
          <w:sz w:val="32"/>
          <w:szCs w:val="32"/>
          <w:lang w:eastAsia="zh-CN"/>
        </w:rPr>
        <w:t>本部门无政府性基金收支。</w:t>
      </w:r>
    </w:p>
    <w:p>
      <w:pPr>
        <w:pStyle w:val="13"/>
        <w:overflowPunct w:val="0"/>
        <w:autoSpaceDE/>
        <w:autoSpaceDN/>
        <w:spacing w:line="600" w:lineRule="exact"/>
        <w:ind w:firstLine="640" w:firstLineChars="200"/>
        <w:jc w:val="both"/>
        <w:rPr>
          <w:rFonts w:hint="eastAsia" w:ascii="Times New Roman" w:hAnsi="Times New Roman" w:eastAsia="黑体" w:cs="Times New Roman"/>
          <w:bCs/>
          <w:sz w:val="32"/>
          <w:szCs w:val="32"/>
          <w:lang w:eastAsia="zh-CN"/>
        </w:rPr>
      </w:pPr>
      <w:r>
        <w:rPr>
          <w:rFonts w:hint="eastAsia" w:ascii="Times New Roman" w:hAnsi="Times New Roman" w:cs="Times New Roman"/>
          <w:bCs/>
          <w:sz w:val="32"/>
          <w:szCs w:val="32"/>
          <w:lang w:eastAsia="zh-CN"/>
        </w:rPr>
        <w:t>九、国有资本经营预算收入支出决算情况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本部门无国有资本经营收支。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328.42</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30.74</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8.56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落实过“紧日子”要求，本部门厉行节约，严控办公开支</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25.54</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eastAsia="zh-CN"/>
        </w:rPr>
        <w:t>全市卫生健康会议及系统党风廉政建设工作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全市卫生健康会议及系统党风廉政建设工作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用于召开</w:t>
      </w:r>
      <w:r>
        <w:rPr>
          <w:rFonts w:hint="eastAsia" w:ascii="Times New Roman" w:hAnsi="Times New Roman" w:eastAsia="仿宋_GB2312" w:cs="Times New Roman"/>
          <w:sz w:val="32"/>
          <w:szCs w:val="32"/>
          <w:lang w:val="en-US" w:eastAsia="zh-CN"/>
        </w:rPr>
        <w:t>2023年全市财务年报汇总会审会议，人数58人，内容为财务年报汇总会审；用于2024年医师资格考试现场报名审核工作会议，人数30人，内容为医师资格考试现场报名审核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用于召开全市临床用血质量控制中心授牌会议，人数65人，内容为通报近期全市无偿献血工作情况及部署下阶段工作，并为市临床用血质量控制中心授牌；用于召开全市无偿献血工作座谈会议，人数33人，内容为汇报2024年度无偿献血工作开展情况及下一步工作打算，谈论研究2025年度县市区无偿献血招募目标任务等。</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63.43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基本公卫绩效评价</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基本公卫绩效评价</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；用于参加新时代爱国卫生工作暨国家卫生城市创建和复审培训班，人数</w:t>
      </w:r>
      <w:r>
        <w:rPr>
          <w:rFonts w:hint="eastAsia" w:ascii="Times New Roman" w:hAnsi="Times New Roman" w:eastAsia="仿宋_GB2312" w:cs="Times New Roman"/>
          <w:sz w:val="32"/>
          <w:szCs w:val="32"/>
          <w:lang w:val="en-US" w:eastAsia="zh-CN"/>
        </w:rPr>
        <w:t>9人，内容为创卫培训；用于开展2024年全市艾滋病结核病诊疗质量提升培训班，人数92人，内容为诊疗质量提升培训</w:t>
      </w:r>
      <w:r>
        <w:rPr>
          <w:rFonts w:ascii="Times New Roman" w:hAnsi="Times New Roman" w:eastAsia="仿宋_GB2312" w:cs="Times New Roman"/>
          <w:sz w:val="32"/>
          <w:szCs w:val="32"/>
        </w:rPr>
        <w:t>；用于开展</w:t>
      </w:r>
      <w:r>
        <w:rPr>
          <w:rFonts w:hint="eastAsia" w:ascii="Times New Roman" w:hAnsi="Times New Roman" w:eastAsia="仿宋_GB2312" w:cs="Times New Roman"/>
          <w:sz w:val="32"/>
          <w:szCs w:val="32"/>
          <w:lang w:val="en-US" w:eastAsia="zh-CN"/>
        </w:rPr>
        <w:t>全市公共场所卫生监督暨卫生城市创建工作</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国家卫生城市和国家卫生县标准》等释义、创卫工作经验交流</w:t>
      </w:r>
      <w:r>
        <w:rPr>
          <w:rFonts w:ascii="Times New Roman" w:hAnsi="Times New Roman" w:eastAsia="仿宋_GB2312" w:cs="Times New Roman"/>
          <w:sz w:val="32"/>
          <w:szCs w:val="32"/>
        </w:rPr>
        <w:t>；用于开展</w:t>
      </w:r>
      <w:r>
        <w:rPr>
          <w:rFonts w:hint="eastAsia" w:ascii="Times New Roman" w:hAnsi="Times New Roman" w:eastAsia="仿宋_GB2312" w:cs="Times New Roman"/>
          <w:sz w:val="32"/>
          <w:szCs w:val="32"/>
          <w:lang w:val="en-US" w:eastAsia="zh-CN"/>
        </w:rPr>
        <w:t>怀化市现制现售饮用水卫生管理知识</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现制现售饮用水卫生管理基本要求》、观看《现制现售饮用水卫生管理要点》、创建国家卫生城市相关标准解读；用于开展长沙健康必读杂志社第二届献血宣传培训班培训费，人数1人，内容为无偿献血宣传培训；用于参加上海血液中心举办血站检验科质量控制研讨班培训，人数3人，内容为血站检验科质量管理；用于参加核酸检测标本培训，人数2人，内容为学习核酸检测标本知识；用于参加湖南省输血协会从业人员岗位考核培训费，人数8人，内容为血站相关专业知识，通过考试获得血站上岗证；用于参加湖南省病原微生物实验室生物安全培训，人数1人，内容为病原微生物实验室生物安全培训；用于参加血站系统无偿献血招募培训，人数3人，内容为无偿献血宣传培训；参加事业单位继续教育，人数67人，内容为根据人社局要求事业单位人员每年必须完成的继续教育等。</w:t>
      </w:r>
    </w:p>
    <w:p>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hint="eastAsia" w:ascii="Times New Roman" w:hAnsi="Times New Roman" w:eastAsia="仿宋_GB2312" w:cs="Times New Roman"/>
          <w:sz w:val="32"/>
          <w:szCs w:val="32"/>
          <w:lang w:val="en-US" w:eastAsia="zh-CN"/>
        </w:rPr>
        <w:t>2024年本部门未</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2450.38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1954.08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54.53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441.77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2450.38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2450.38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一般业务用车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77</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15743.43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7334.52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54.06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9761.51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15743.43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161.28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default" w:ascii="Times New Roman" w:hAnsi="Times New Roman" w:eastAsia="仿宋_GB2312" w:cs="Times New Roman"/>
          <w:sz w:val="32"/>
          <w:szCs w:val="32"/>
          <w:lang w:val="en-US" w:eastAsia="zh-CN"/>
        </w:rPr>
        <w:t>一是五省边区区域医疗中心建设稳步推进。全市新增国家临床重点专科培育项目3个</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全力推进检验检查结果互认，全市线上线下实现检验检查结果互认11.77万人次，为患者节约资金634.86万元</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是深化中医药综合改革示范区先导区建设。新晃县通过全国基层中医药工作示范县现场评审，市中医医院通过三甲复审。举办中医药文化夜市和中医药校园文化节，线下参与人数超1万人次。组织开展大型义诊活动4次、中医药健康知识讲座50余场次。</w:t>
      </w:r>
      <w:r>
        <w:rPr>
          <w:rFonts w:hint="eastAsia"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lang w:val="en-US" w:eastAsia="zh-CN"/>
        </w:rPr>
        <w:t>搭建市域“全民健康信息平台”。二级以上公立医院全面完成检验检查结果互认编码贯标工作，累计开展健康档案调阅16.7万人次</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是基层医疗卫生服务能力不断提升。全面铺开乡村医生三级管理工作，全市全面开展乡村医生等级评审分级管理，共评定一级村医42人，二级村医578人，三级村医1641人。</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是疾控事业高质量发展持续推动。</w:t>
      </w:r>
      <w:r>
        <w:rPr>
          <w:rFonts w:hint="default" w:ascii="Times New Roman" w:hAnsi="Times New Roman" w:eastAsia="仿宋_GB2312" w:cs="Times New Roman"/>
          <w:sz w:val="32"/>
          <w:szCs w:val="32"/>
          <w:lang w:val="en" w:eastAsia="zh-CN"/>
        </w:rPr>
        <w:t>全市无甲类传染病报告，乙类传染病报告19种25202例，发病率557.4141/10万，总体情况稳定；报告结核病发病人数2604人，发病率为57.59/10万，较去年实现“双降”。</w:t>
      </w:r>
      <w:r>
        <w:rPr>
          <w:rFonts w:hint="default" w:ascii="Times New Roman" w:hAnsi="Times New Roman" w:eastAsia="仿宋_GB2312" w:cs="Times New Roman"/>
          <w:sz w:val="32"/>
          <w:szCs w:val="32"/>
          <w:lang w:val="en-US" w:eastAsia="zh-CN"/>
        </w:rPr>
        <w:t>开展洪涝灾害公共卫生风险评估194次；派出医疗救治队伍77支282人次，救治人数10050人；出动灾后应急卫生防疫队伍199支4987人次，灾区消毒面积约474.94万平方米，全市未发生因洪涝灾害导致的传染病疫情和突发公共卫生事件</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是卫生健康人才队伍建设取得长足发展。高校现场引进人才26名。建有全国基层名老中医药专家传承工作室8个，开设“西学中”人才培训班7个，培养697人；开展基层卫生人才能力提升培训676人,乡村医生精准化能力提升培训3693人；晋升高级职称下基层人员225人。创建怀化市医卫专家工作室10个，评选“怀化名医”49名，表彰“最美医生”42名</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是用心用情解决群众急难愁盼问题。全力推进2024年民生可感行动，全市新增普惠性托位3364个，完成率108.52%；完成新生儿疾病免费筛查与诊断服务24592人，完成率115.81%；开展中医体质辨识诊断70341人，完成率117.24%</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w:t>
      </w:r>
      <w:r>
        <w:rPr>
          <w:rFonts w:hint="default" w:ascii="Times New Roman" w:hAnsi="Times New Roman" w:eastAsia="仿宋_GB2312" w:cs="Times New Roman"/>
          <w:sz w:val="32"/>
          <w:szCs w:val="32"/>
          <w:lang w:val="en-US" w:eastAsia="zh-CN"/>
        </w:rPr>
        <w:t>预算编制的科学性和准确性有待提高，预算编制不够细化，实际支出与预算存在一定差距；资金绩效评价工作机制有待进一步完善。主要原因是：由于政策的调整和财政资金实际拨付中存在滞后性，部门资金在使用时存在一定的不可预见性；业务科室和财务人员对绩效管理和监督工作重视程度不够</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lang w:val="en-US" w:eastAsia="zh-CN"/>
        </w:rPr>
        <w:t>加强预算编制科学性，在年初预算编制过程中，根据部门工作实际情况，合理细化资金使用科目，规范资金使用方向，确保资金使用科学、高效、专款专用、不挤占、挪用、借用或随意调整，资金支付依据和开支标准合法合规。二是加强预算编制人员、资金使用人员业务培训，加强预算执行过程中的监控力度，建立健全预算执行分析体系，确保预算执行均衡性和有效性，同时完善绩效评价指标体系，充分应用绩效评价结果，推动人员业务质量提升和部门预算管理水平提高</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kern w:val="2"/>
          <w:sz w:val="32"/>
          <w:szCs w:val="32"/>
          <w:lang w:val="en-US" w:eastAsia="zh-CN" w:bidi="ar-SA"/>
        </w:rPr>
        <w:t>本部门将2024年市级绩效评价结果作为下一年预算编制依据，对照绩效评价工作中发现的问题，结合绩效评价报告中提出的整改意见，进一步完善预算管理机制，增强支出责任，规范资金使用，强化监督检查，强化财政资金管理水平，提高财政资金使用效益，严格按照财政要求进行公开</w:t>
      </w:r>
      <w:r>
        <w:rPr>
          <w:rFonts w:ascii="Times New Roman" w:hAnsi="Times New Roman" w:eastAsia="仿宋_GB2312" w:cs="Times New Roman"/>
          <w:color w:val="auto"/>
          <w:sz w:val="32"/>
          <w:szCs w:val="32"/>
        </w:rPr>
        <w:t>。</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w:t>
      </w:r>
      <w:r>
        <w:rPr>
          <w:rFonts w:hint="default" w:ascii="Times New Roman" w:hAnsi="Times New Roman" w:eastAsia="仿宋_GB2312"/>
          <w:color w:val="auto"/>
          <w:sz w:val="32"/>
          <w:szCs w:val="32"/>
          <w:lang w:val="en-US" w:eastAsia="zh-CN"/>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w:t>
      </w:r>
      <w:r>
        <w:rPr>
          <w:rFonts w:hint="default" w:ascii="Times New Roman" w:hAnsi="Times New Roman" w:eastAsia="仿宋_GB2312"/>
          <w:color w:val="auto"/>
          <w:sz w:val="32"/>
          <w:szCs w:val="32"/>
          <w:lang w:val="en-US" w:eastAsia="zh-CN"/>
        </w:rPr>
        <w:t>、项目支出：指在基本支出之外为完成特定行政任务和事业发展目标所发生的支出。</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olor w:val="auto"/>
          <w:sz w:val="32"/>
          <w:szCs w:val="32"/>
          <w:lang w:val="en-US" w:eastAsia="zh-CN"/>
        </w:rPr>
        <w:t>三</w:t>
      </w:r>
      <w:r>
        <w:rPr>
          <w:rFonts w:hint="default" w:ascii="Times New Roman" w:hAnsi="Times New Roman" w:eastAsia="仿宋_GB2312"/>
          <w:color w:val="auto"/>
          <w:sz w:val="32"/>
          <w:szCs w:val="32"/>
          <w:lang w:val="en-US" w:eastAsia="zh-CN"/>
        </w:rPr>
        <w:t>、“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r>
        <w:rPr>
          <w:rFonts w:hint="eastAsia" w:ascii="Times New Roman" w:hAnsi="Times New Roman" w:eastAsia="仿宋_GB2312"/>
          <w:color w:val="auto"/>
          <w:sz w:val="32"/>
          <w:szCs w:val="32"/>
          <w:lang w:val="en-US" w:eastAsia="zh-CN"/>
        </w:rPr>
        <w:t>。</w:t>
      </w:r>
    </w:p>
    <w:p>
      <w:pPr>
        <w:widowControl/>
        <w:ind w:firstLine="640" w:firstLineChars="200"/>
        <w:jc w:val="left"/>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四、机关运行经费：与部门决算中行政单位和参照公务员法管理事业单位一般公共预算财政拨款基本支出中公用经费之和一致，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3"/>
        <w:numPr>
          <w:ilvl w:val="0"/>
          <w:numId w:val="0"/>
        </w:numPr>
        <w:spacing w:line="600" w:lineRule="exact"/>
        <w:ind w:firstLine="640" w:firstLineChars="2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一、部门决算表</w:t>
      </w:r>
    </w:p>
    <w:p>
      <w:pPr>
        <w:pStyle w:val="13"/>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2024年度部门(单位)整体支出绩效自评报告。</w:t>
      </w:r>
    </w:p>
    <w:p>
      <w:pPr>
        <w:pStyle w:val="13"/>
        <w:ind w:firstLine="1280" w:firstLineChars="400"/>
        <w:rPr>
          <w:rFonts w:ascii="Times New Roman" w:hAnsi="Times New Roman" w:eastAsia="仿宋_GB2312" w:cs="Times New Roman"/>
          <w:sz w:val="32"/>
          <w:szCs w:val="32"/>
        </w:rPr>
      </w:pPr>
    </w:p>
    <w:p>
      <w:pPr>
        <w:pStyle w:val="13"/>
        <w:spacing w:line="600" w:lineRule="exact"/>
        <w:ind w:firstLine="640" w:firstLineChars="200"/>
        <w:rPr>
          <w:rFonts w:ascii="Times New Roman" w:hAnsi="Times New Roman" w:eastAsia="仿宋_GB2312" w:cs="Times New Roman"/>
          <w:sz w:val="32"/>
          <w:szCs w:val="3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footerReference r:id="rId5"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6D2286"/>
    <w:rsid w:val="1D97DEFF"/>
    <w:rsid w:val="1DFF72E5"/>
    <w:rsid w:val="1EFC6F07"/>
    <w:rsid w:val="2BE5C7E2"/>
    <w:rsid w:val="2FDF85B8"/>
    <w:rsid w:val="2FFFEE04"/>
    <w:rsid w:val="34DF85B0"/>
    <w:rsid w:val="3B8F36BC"/>
    <w:rsid w:val="3DFBFE47"/>
    <w:rsid w:val="3EA36460"/>
    <w:rsid w:val="491FF225"/>
    <w:rsid w:val="4FFD214C"/>
    <w:rsid w:val="54F66F7F"/>
    <w:rsid w:val="5777D4F5"/>
    <w:rsid w:val="59DD8326"/>
    <w:rsid w:val="5BBF2AF7"/>
    <w:rsid w:val="5D32784F"/>
    <w:rsid w:val="5DEF592A"/>
    <w:rsid w:val="5E7756C1"/>
    <w:rsid w:val="5F3DFE88"/>
    <w:rsid w:val="5FC6BB1E"/>
    <w:rsid w:val="5FF720F1"/>
    <w:rsid w:val="61FFB2D8"/>
    <w:rsid w:val="63FEA7E3"/>
    <w:rsid w:val="67D71180"/>
    <w:rsid w:val="67FF5C0B"/>
    <w:rsid w:val="6B367700"/>
    <w:rsid w:val="6DFEDAAF"/>
    <w:rsid w:val="6EFC0924"/>
    <w:rsid w:val="6F6BA078"/>
    <w:rsid w:val="6FB74722"/>
    <w:rsid w:val="6FEF8B7E"/>
    <w:rsid w:val="71A6591B"/>
    <w:rsid w:val="71FFA60E"/>
    <w:rsid w:val="737D59BA"/>
    <w:rsid w:val="77C37683"/>
    <w:rsid w:val="79D19834"/>
    <w:rsid w:val="79FD11F7"/>
    <w:rsid w:val="79FF515B"/>
    <w:rsid w:val="7AF20697"/>
    <w:rsid w:val="7E9E1962"/>
    <w:rsid w:val="7E9F11B4"/>
    <w:rsid w:val="7EBFBDE1"/>
    <w:rsid w:val="7F37EC1E"/>
    <w:rsid w:val="7F7DCD9D"/>
    <w:rsid w:val="7F970A6F"/>
    <w:rsid w:val="7FC1FFF3"/>
    <w:rsid w:val="7FC69637"/>
    <w:rsid w:val="7FDF8620"/>
    <w:rsid w:val="7FE8C8F7"/>
    <w:rsid w:val="7FED7B55"/>
    <w:rsid w:val="7FFB242F"/>
    <w:rsid w:val="7FFDB408"/>
    <w:rsid w:val="7FFE4EEB"/>
    <w:rsid w:val="95FB2B98"/>
    <w:rsid w:val="9A639BC2"/>
    <w:rsid w:val="9CE711AF"/>
    <w:rsid w:val="9FF7D786"/>
    <w:rsid w:val="ABBFB23D"/>
    <w:rsid w:val="ABFF5662"/>
    <w:rsid w:val="AEDFC64D"/>
    <w:rsid w:val="B6F3E832"/>
    <w:rsid w:val="BFE73EFD"/>
    <w:rsid w:val="C3B4DA5A"/>
    <w:rsid w:val="C7F1154D"/>
    <w:rsid w:val="CBFF70E0"/>
    <w:rsid w:val="CFF50B82"/>
    <w:rsid w:val="CFFFAD89"/>
    <w:rsid w:val="D4FF904E"/>
    <w:rsid w:val="DEBA6F81"/>
    <w:rsid w:val="DECF1F66"/>
    <w:rsid w:val="DF7FB594"/>
    <w:rsid w:val="DFEADDED"/>
    <w:rsid w:val="DFFE359E"/>
    <w:rsid w:val="DFFE4FFD"/>
    <w:rsid w:val="EB7394B5"/>
    <w:rsid w:val="EEABED75"/>
    <w:rsid w:val="F56FDF51"/>
    <w:rsid w:val="F6B69F17"/>
    <w:rsid w:val="F73B577D"/>
    <w:rsid w:val="F77F1D61"/>
    <w:rsid w:val="F7FED3A9"/>
    <w:rsid w:val="F8C9DB26"/>
    <w:rsid w:val="F97E8EAE"/>
    <w:rsid w:val="FB36E1A6"/>
    <w:rsid w:val="FB3BB8F0"/>
    <w:rsid w:val="FB3BE134"/>
    <w:rsid w:val="FCFF4275"/>
    <w:rsid w:val="FD7FEEEA"/>
    <w:rsid w:val="FDFFB577"/>
    <w:rsid w:val="FEEA50FE"/>
    <w:rsid w:val="FF7D47A9"/>
    <w:rsid w:val="FF7EF2F4"/>
    <w:rsid w:val="FFC957D5"/>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0</TotalTime>
  <ScaleCrop>false</ScaleCrop>
  <LinksUpToDate>false</LinksUpToDate>
  <CharactersWithSpaces>9786</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2025-08-19T18:17:00Z</dcterms:created>
  <dc:creator>李航 null</dc:creator>
  <cp:lastModifiedBy>greatwall</cp:lastModifiedBy>
  <cp:lastPrinted>2024-08-10T02:20:00Z</cp:lastPrinted>
  <dcterms:modified xsi:type="dcterms:W3CDTF">2025-09-25T11:00:30Z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BB7B6AA21D207914D6FDA268992A22D6</vt:lpwstr>
  </property>
</Properties>
</file>