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0D2EDF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929C5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E81D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2024年度怀化市中心血站整体支出</w:t>
      </w:r>
    </w:p>
    <w:p w14:paraId="4711A0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60B64B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2D2CA7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13CE5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628B3AE">
      <w:pPr>
        <w:pStyle w:val="2"/>
        <w:rPr>
          <w:rFonts w:hint="default"/>
          <w:lang w:val="en-US" w:eastAsia="zh-CN"/>
        </w:rPr>
      </w:pPr>
    </w:p>
    <w:p w14:paraId="3FD2D1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55A8D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F898A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F17E5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A535CD1">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p>
    <w:p w14:paraId="75B64CDE">
      <w:pPr>
        <w:keepNext w:val="0"/>
        <w:keepLines w:val="0"/>
        <w:pageBreakBefore w:val="0"/>
        <w:widowControl w:val="0"/>
        <w:kinsoku/>
        <w:wordWrap/>
        <w:overflowPunct/>
        <w:topLinePunct w:val="0"/>
        <w:autoSpaceDE/>
        <w:autoSpaceDN/>
        <w:bidi w:val="0"/>
        <w:adjustRightInd/>
        <w:snapToGrid w:val="0"/>
        <w:spacing w:line="480" w:lineRule="auto"/>
        <w:ind w:firstLine="1920" w:firstLineChars="600"/>
        <w:textAlignment w:val="auto"/>
        <w:rPr>
          <w:rFonts w:hint="eastAsia" w:ascii="方正黑体_GBK" w:hAnsi="方正黑体_GBK" w:eastAsia="方正黑体_GBK" w:cs="方正黑体_GBK"/>
          <w:b w:val="0"/>
          <w:bCs w:val="0"/>
          <w:color w:val="auto"/>
          <w:sz w:val="32"/>
          <w:szCs w:val="32"/>
          <w:highlight w:val="none"/>
          <w:lang w:val="en-US" w:eastAsia="zh-CN"/>
        </w:rPr>
      </w:pPr>
    </w:p>
    <w:p w14:paraId="2E46FBA4">
      <w:pPr>
        <w:keepNext w:val="0"/>
        <w:keepLines w:val="0"/>
        <w:pageBreakBefore w:val="0"/>
        <w:widowControl w:val="0"/>
        <w:kinsoku/>
        <w:wordWrap/>
        <w:overflowPunct/>
        <w:topLinePunct w:val="0"/>
        <w:autoSpaceDE/>
        <w:autoSpaceDN/>
        <w:bidi w:val="0"/>
        <w:adjustRightInd/>
        <w:snapToGrid w:val="0"/>
        <w:spacing w:line="480" w:lineRule="auto"/>
        <w:ind w:firstLine="1920" w:firstLineChars="6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单位负责人：</w:t>
      </w:r>
      <w:r>
        <w:rPr>
          <w:rFonts w:hint="eastAsia" w:ascii="方正黑体_GBK" w:hAnsi="方正黑体_GBK" w:eastAsia="方正黑体_GBK" w:cs="方正黑体_GBK"/>
          <w:b w:val="0"/>
          <w:bCs w:val="0"/>
          <w:color w:val="auto"/>
          <w:sz w:val="32"/>
          <w:szCs w:val="32"/>
          <w:highlight w:val="none"/>
          <w:u w:val="single"/>
          <w:lang w:val="en-US" w:eastAsia="zh-CN"/>
        </w:rPr>
        <w:t xml:space="preserve">                </w:t>
      </w:r>
    </w:p>
    <w:p w14:paraId="0140C25F">
      <w:pPr>
        <w:pStyle w:val="2"/>
        <w:keepNext w:val="0"/>
        <w:keepLines w:val="0"/>
        <w:pageBreakBefore w:val="0"/>
        <w:widowControl w:val="0"/>
        <w:kinsoku/>
        <w:wordWrap/>
        <w:overflowPunct/>
        <w:topLinePunct w:val="0"/>
        <w:autoSpaceDE/>
        <w:autoSpaceDN/>
        <w:bidi w:val="0"/>
        <w:adjustRightInd/>
        <w:spacing w:after="0" w:line="480" w:lineRule="auto"/>
        <w:ind w:left="0" w:leftChars="0" w:firstLine="1920" w:firstLineChars="6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分管领导：</w:t>
      </w:r>
      <w:r>
        <w:rPr>
          <w:rFonts w:hint="eastAsia" w:ascii="方正黑体_GBK" w:hAnsi="方正黑体_GBK" w:eastAsia="方正黑体_GBK" w:cs="方正黑体_GBK"/>
          <w:b w:val="0"/>
          <w:bCs w:val="0"/>
          <w:color w:val="auto"/>
          <w:sz w:val="32"/>
          <w:szCs w:val="32"/>
          <w:highlight w:val="none"/>
          <w:u w:val="single"/>
          <w:lang w:val="en-US" w:eastAsia="zh-CN"/>
        </w:rPr>
        <w:t xml:space="preserve">                  </w:t>
      </w:r>
    </w:p>
    <w:p w14:paraId="7D31B4FA">
      <w:pPr>
        <w:pStyle w:val="4"/>
        <w:keepNext w:val="0"/>
        <w:keepLines w:val="0"/>
        <w:pageBreakBefore w:val="0"/>
        <w:widowControl w:val="0"/>
        <w:kinsoku/>
        <w:wordWrap/>
        <w:overflowPunct/>
        <w:topLinePunct w:val="0"/>
        <w:autoSpaceDE/>
        <w:autoSpaceDN/>
        <w:bidi w:val="0"/>
        <w:adjustRightInd/>
        <w:spacing w:after="0" w:line="480" w:lineRule="auto"/>
        <w:ind w:left="0" w:leftChars="0" w:firstLine="1920" w:firstLineChars="600"/>
        <w:textAlignment w:val="auto"/>
        <w:rPr>
          <w:rFonts w:hint="default"/>
          <w:b w:val="0"/>
          <w:bCs w:val="0"/>
          <w:lang w:val="en-US" w:eastAsia="zh-CN"/>
        </w:rPr>
      </w:pPr>
      <w:r>
        <w:rPr>
          <w:rFonts w:hint="eastAsia" w:ascii="方正黑体_GBK" w:hAnsi="方正黑体_GBK" w:eastAsia="方正黑体_GBK" w:cs="方正黑体_GBK"/>
          <w:b w:val="0"/>
          <w:bCs w:val="0"/>
          <w:color w:val="auto"/>
          <w:sz w:val="32"/>
          <w:szCs w:val="32"/>
          <w:highlight w:val="none"/>
          <w:lang w:val="en-US" w:eastAsia="zh-CN"/>
        </w:rPr>
        <w:t>填 报 人：</w:t>
      </w:r>
      <w:r>
        <w:rPr>
          <w:rFonts w:hint="eastAsia" w:ascii="方正黑体_GBK" w:hAnsi="方正黑体_GBK" w:eastAsia="方正黑体_GBK" w:cs="方正黑体_GBK"/>
          <w:b w:val="0"/>
          <w:bCs w:val="0"/>
          <w:color w:val="auto"/>
          <w:sz w:val="32"/>
          <w:szCs w:val="32"/>
          <w:highlight w:val="none"/>
          <w:u w:val="single"/>
          <w:lang w:val="en-US" w:eastAsia="zh-CN"/>
        </w:rPr>
        <w:t xml:space="preserve">                  </w:t>
      </w:r>
    </w:p>
    <w:p w14:paraId="2112E7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F1449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EC54C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66037E0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w:t>
      </w:r>
    </w:p>
    <w:p w14:paraId="0046B6E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p>
    <w:p w14:paraId="71AD3DD1">
      <w:pPr>
        <w:keepNext w:val="0"/>
        <w:keepLines w:val="0"/>
        <w:pageBreakBefore w:val="0"/>
        <w:widowControl w:val="0"/>
        <w:kinsoku/>
        <w:wordWrap/>
        <w:overflowPunct/>
        <w:topLinePunct w:val="0"/>
        <w:autoSpaceDE/>
        <w:autoSpaceDN/>
        <w:bidi w:val="0"/>
        <w:adjustRightInd/>
        <w:snapToGrid w:val="0"/>
        <w:spacing w:line="520" w:lineRule="exact"/>
        <w:ind w:firstLine="2880" w:firstLineChars="900"/>
        <w:jc w:val="both"/>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2025年 6月 16日</w:t>
      </w:r>
    </w:p>
    <w:p w14:paraId="762431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B67D907">
      <w:pPr>
        <w:pStyle w:val="2"/>
        <w:rPr>
          <w:rFonts w:hint="eastAsia"/>
          <w:lang w:val="en-US" w:eastAsia="zh-CN"/>
        </w:rPr>
      </w:pPr>
    </w:p>
    <w:p w14:paraId="5EB643D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2024</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年度</w:t>
      </w: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怀化市中心血站整体</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支出</w:t>
      </w:r>
    </w:p>
    <w:p w14:paraId="4DF0E4F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绩效自评报告</w:t>
      </w:r>
    </w:p>
    <w:p w14:paraId="54659815">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75E50BE5">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sz w:val="32"/>
          <w:szCs w:val="32"/>
          <w:highlight w:val="none"/>
          <w:lang w:val="en-US" w:eastAsia="zh-CN"/>
        </w:rPr>
        <w:t>（一</w:t>
      </w:r>
      <w:r>
        <w:rPr>
          <w:rFonts w:hint="eastAsia" w:ascii="Times New Roman Regular" w:hAnsi="Times New Roman Regular" w:eastAsia="仿宋_GB2312" w:cs="Times New Roman Regular"/>
          <w:color w:val="auto"/>
          <w:kern w:val="2"/>
          <w:sz w:val="32"/>
          <w:szCs w:val="32"/>
          <w:highlight w:val="none"/>
          <w:lang w:val="en-US" w:eastAsia="zh-CN" w:bidi="ar-SA"/>
        </w:rPr>
        <w:t>）部门（单位）基本情况。</w:t>
      </w:r>
    </w:p>
    <w:p w14:paraId="672384D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怀化市中心血站作为怀化市卫生健康委员会的二级部门预算单位，设置11个内设工作机构，分别为：办公室、人力资源部、财务部、后勤保障部、业务综合部、献血服务一部、献血服务二部、血液制备部、血液供应部、血液检验部、质量管理部。</w:t>
      </w:r>
    </w:p>
    <w:p w14:paraId="27A023E7">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（二）部门（单位）整体支出规模、使用方向和主要内容、涉及范围等。</w:t>
      </w:r>
    </w:p>
    <w:p w14:paraId="15723185">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1.整体支出规模</w:t>
      </w:r>
    </w:p>
    <w:p w14:paraId="3DCEA48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2024年下达年初预算批复3306.27万元。其中，财政拨款支出1056.27万元，占比31.95%，事业支出2250.00万元，占比68.05%。2024年全年预算为3081.5万元，2024年实际支出3081.5万元，预算执行率100%。</w:t>
      </w:r>
    </w:p>
    <w:p w14:paraId="0A782CA2">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2.使用方向和主要内容及涉及范围</w:t>
      </w:r>
    </w:p>
    <w:p w14:paraId="25286DDC">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人员经费：主要为在职人员工资、年度考核奖、社保、公积金和退休人员春节一次性生活补贴。2024年人员经费支出1293.47万元（占比41.98%），较上年增长4.59%，主要原因为本年通过公开招聘新进7人，退伍安置1人，退休1人，总人数增加7人，人员规模扩大。</w:t>
      </w:r>
    </w:p>
    <w:p w14:paraId="6764E97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（2）公用经费：主要为财政按照在编人员人数拨付的用于公用经费、福利费、工会经费等。公用经费支出105.94万元（占比3.44%），较上年下降3.38%，通过压缩非必要开支提升资金效率。</w:t>
      </w:r>
    </w:p>
    <w:p w14:paraId="2CDB6E7B">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（3）项目经费：项目经费支出</w:t>
      </w:r>
      <w:r>
        <w:rPr>
          <w:rFonts w:hint="default" w:ascii="Times New Roman Regular" w:hAnsi="Times New Roman Regular" w:eastAsia="仿宋_GB2312" w:cs="Times New Roman Regular"/>
          <w:color w:val="auto"/>
          <w:kern w:val="2"/>
          <w:sz w:val="32"/>
          <w:szCs w:val="32"/>
          <w:highlight w:val="none"/>
          <w:lang w:val="en-US" w:eastAsia="zh-CN" w:bidi="ar-SA"/>
        </w:rPr>
        <w:t>1682.09</w:t>
      </w:r>
      <w:r>
        <w:rPr>
          <w:rFonts w:hint="eastAsia" w:ascii="Times New Roman Regular" w:hAnsi="Times New Roman Regular" w:eastAsia="仿宋_GB2312" w:cs="Times New Roman Regular"/>
          <w:color w:val="auto"/>
          <w:kern w:val="2"/>
          <w:sz w:val="32"/>
          <w:szCs w:val="32"/>
          <w:highlight w:val="none"/>
          <w:lang w:val="en-US" w:eastAsia="zh-CN" w:bidi="ar-SA"/>
        </w:rPr>
        <w:t>万元（占比54.58%），主要包括：</w:t>
      </w:r>
    </w:p>
    <w:p w14:paraId="72C0833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①</w:t>
      </w:r>
      <w:r>
        <w:rPr>
          <w:rFonts w:hint="eastAsia" w:ascii="Times New Roman Regular" w:hAnsi="Times New Roman Regular" w:eastAsia="仿宋_GB2312" w:cs="Times New Roman Regular"/>
          <w:color w:val="auto"/>
          <w:kern w:val="2"/>
          <w:sz w:val="32"/>
          <w:szCs w:val="32"/>
          <w:highlight w:val="none"/>
          <w:lang w:val="en-US" w:eastAsia="zh-CN" w:bidi="ar-SA"/>
        </w:rPr>
        <w:t>血液检测项目经费101万元（市本级财政拨入用于血液检测试剂的购买）。</w:t>
      </w:r>
    </w:p>
    <w:p w14:paraId="4D40CEEF">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②</w:t>
      </w:r>
      <w:r>
        <w:rPr>
          <w:rFonts w:hint="eastAsia" w:ascii="Times New Roman Regular" w:hAnsi="Times New Roman Regular" w:eastAsia="仿宋_GB2312" w:cs="Times New Roman Regular"/>
          <w:color w:val="auto"/>
          <w:kern w:val="2"/>
          <w:sz w:val="32"/>
          <w:szCs w:val="32"/>
          <w:highlight w:val="none"/>
          <w:lang w:val="en-US" w:eastAsia="zh-CN" w:bidi="ar-SA"/>
        </w:rPr>
        <w:t>献血者及其家属用血费用报销项目50万元（市本级财政拨入用于支付献血者及其亲属用血费用报销）。</w:t>
      </w:r>
    </w:p>
    <w:p w14:paraId="74AEEEDB">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③</w:t>
      </w:r>
      <w:r>
        <w:rPr>
          <w:rFonts w:hint="eastAsia" w:ascii="Times New Roman Regular" w:hAnsi="Times New Roman Regular" w:eastAsia="仿宋_GB2312" w:cs="Times New Roman Regular"/>
          <w:color w:val="auto"/>
          <w:kern w:val="2"/>
          <w:sz w:val="32"/>
          <w:szCs w:val="32"/>
          <w:highlight w:val="none"/>
          <w:lang w:val="en-US" w:eastAsia="zh-CN" w:bidi="ar-SA"/>
        </w:rPr>
        <w:t>血液核酸检测离心机等项目7.13万元（结转2021年市本级一般债券资金，用于支付血液核酸筛查系统质保金）。</w:t>
      </w:r>
    </w:p>
    <w:p w14:paraId="26E19179">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④房屋隐患安全整改专项经费10.36万元（结转2023年财政拨款专项资金，用于支付危房改造尾款）。</w:t>
      </w:r>
    </w:p>
    <w:p w14:paraId="32EB4C4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⑤中央重大传染病防控项目经费160.5万元（中央拨入专项资金，用于无偿献血宣传、实验室室间质评、核酸试剂和T淋巴试剂的购买）。</w:t>
      </w:r>
    </w:p>
    <w:p w14:paraId="1C17FF87">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⑥采供血业务运行成本项目资金1056.26万元（非税资金，用于血液采集、检测、储存、运输、供应等采供血全流程活动中产生的各类支出）。</w:t>
      </w:r>
    </w:p>
    <w:p w14:paraId="21AFA370">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⑦采供血设备购置项目资金296.84万元（用于采供血设备的购买）。</w:t>
      </w:r>
    </w:p>
    <w:p w14:paraId="10769B90">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960" w:firstLineChars="3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0582FE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kern w:val="2"/>
          <w:sz w:val="32"/>
          <w:szCs w:val="32"/>
          <w:highlight w:val="none"/>
          <w:lang w:val="en-US" w:eastAsia="zh-CN" w:bidi="ar-SA"/>
        </w:rPr>
        <w:t>一）基本支出</w:t>
      </w:r>
    </w:p>
    <w:p w14:paraId="06A9CC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基本支出主要用于保障单位正常运转、完成日常工作任务的基本开支，分别为：人员经费用于在职人员工资、年度考核奖、社保、住房公积金以及退休人员春节一次性生活补助等人员支出；公用经费用于办公费、咨询费、邮电费、会议费、培训费、公务接待费、工会经费、福利费、其他交通费等。</w:t>
      </w:r>
    </w:p>
    <w:p w14:paraId="07CEB2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基本支出的资金管理情况</w:t>
      </w:r>
    </w:p>
    <w:p w14:paraId="2A41A7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严格按照财政部门批复的预算执行，资金使用遵循“先有预算、后有支出”原则，确保支出合规、合理。建立健全财务管理制度，明确资金审批流程、报销标准，确保资金使用规范，杜绝挪用、挤占等情况。对基本支出的执行情况进行动态监控，及时分析预算执行偏差，保障资金使用效益。</w:t>
      </w:r>
    </w:p>
    <w:p w14:paraId="76FD7A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三公经费的使用和管理情况</w:t>
      </w:r>
    </w:p>
    <w:p w14:paraId="220897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“三公经费”</w:t>
      </w:r>
      <w:r>
        <w:rPr>
          <w:rFonts w:hint="eastAsia" w:ascii="Times New Roman Regular" w:hAnsi="Times New Roman Regular" w:eastAsia="仿宋_GB2312" w:cs="Times New Roman Regular"/>
          <w:color w:val="auto"/>
          <w:kern w:val="2"/>
          <w:sz w:val="32"/>
          <w:szCs w:val="32"/>
          <w:highlight w:val="none"/>
          <w:lang w:val="en-US" w:eastAsia="zh-CN" w:bidi="ar-SA"/>
        </w:rPr>
        <w:t>本年度总支出为48.18万元，支出总额较上年下降9.91%，本年三公经费控制率为90.39%。</w:t>
      </w:r>
      <w:r>
        <w:rPr>
          <w:rFonts w:hint="default" w:ascii="Times New Roman Regular" w:hAnsi="Times New Roman Regular" w:eastAsia="仿宋_GB2312" w:cs="Times New Roman Regular"/>
          <w:color w:val="auto"/>
          <w:kern w:val="2"/>
          <w:sz w:val="32"/>
          <w:szCs w:val="32"/>
          <w:highlight w:val="none"/>
          <w:lang w:val="en-US" w:eastAsia="zh-CN" w:bidi="ar-SA"/>
        </w:rPr>
        <w:t>其管理重点如下：严格压缩三公经费预算，按规定程序审批，确保支出规模不超预算限额。公务用车严格执行定点加油、维修等制度，降低运行成本；公务接待按标准执行，严控接待范围和费用，杜绝铺张浪费。按规定及时公开三公经费使用情况，接受社会监督，提升资金使用透明度。</w:t>
      </w:r>
    </w:p>
    <w:p w14:paraId="4E34FA4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（二）项目支出</w:t>
      </w:r>
    </w:p>
    <w:p w14:paraId="0B9F61F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kern w:val="2"/>
          <w:sz w:val="32"/>
          <w:szCs w:val="32"/>
          <w:highlight w:val="none"/>
          <w:lang w:val="en-US" w:eastAsia="zh-CN" w:bidi="ar-SA"/>
        </w:rPr>
        <w:t>项目资金（包括财政资金、自筹资金等）安排落实、总投入等情况分析。</w:t>
      </w:r>
    </w:p>
    <w:p w14:paraId="7F919F63">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仿宋_GB2312" w:hAnsi="宋体" w:eastAsia="仿宋_GB2312"/>
          <w:sz w:val="32"/>
          <w:szCs w:val="32"/>
        </w:rPr>
        <w:t>本年度</w:t>
      </w:r>
      <w:r>
        <w:rPr>
          <w:rFonts w:hint="eastAsia" w:ascii="仿宋_GB2312" w:hAnsi="宋体" w:eastAsia="仿宋_GB2312"/>
          <w:sz w:val="32"/>
          <w:szCs w:val="32"/>
          <w:lang w:eastAsia="zh-CN"/>
        </w:rPr>
        <w:t>财政拨款项目</w:t>
      </w:r>
      <w:r>
        <w:rPr>
          <w:rFonts w:hint="eastAsia" w:ascii="仿宋_GB2312" w:hAnsi="宋体" w:eastAsia="仿宋_GB2312"/>
          <w:sz w:val="32"/>
          <w:szCs w:val="32"/>
        </w:rPr>
        <w:t>资金实际到位</w:t>
      </w:r>
      <w:r>
        <w:rPr>
          <w:rFonts w:hint="eastAsia" w:ascii="仿宋_GB2312" w:hAnsi="宋体" w:eastAsia="仿宋_GB2312"/>
          <w:sz w:val="32"/>
          <w:szCs w:val="32"/>
          <w:lang w:val="en-US" w:eastAsia="zh-CN"/>
        </w:rPr>
        <w:t>168.49万元（</w:t>
      </w:r>
      <w:r>
        <w:rPr>
          <w:rFonts w:hint="eastAsia" w:ascii="仿宋_GB2312" w:hAnsi="宋体" w:eastAsia="仿宋_GB2312"/>
          <w:sz w:val="32"/>
          <w:szCs w:val="32"/>
          <w:lang w:eastAsia="zh-CN"/>
        </w:rPr>
        <w:t>年初预算专项资金</w:t>
      </w:r>
      <w:r>
        <w:rPr>
          <w:rFonts w:hint="eastAsia" w:ascii="仿宋_GB2312" w:hAnsi="宋体" w:eastAsia="仿宋_GB2312"/>
          <w:sz w:val="32"/>
          <w:szCs w:val="32"/>
          <w:lang w:val="en-US" w:eastAsia="zh-CN"/>
        </w:rPr>
        <w:t>151万元、追加市本级结转上年项目资金17.49万元）、中央专项资金160.5万元，资金</w:t>
      </w:r>
      <w:r>
        <w:rPr>
          <w:rFonts w:hint="eastAsia" w:ascii="仿宋_GB2312" w:hAnsi="宋体" w:eastAsia="仿宋_GB2312"/>
          <w:sz w:val="32"/>
          <w:szCs w:val="32"/>
          <w:lang w:eastAsia="zh-CN"/>
        </w:rPr>
        <w:t>及时到位，资金</w:t>
      </w:r>
      <w:r>
        <w:rPr>
          <w:rFonts w:hint="eastAsia" w:ascii="仿宋_GB2312" w:hAnsi="宋体" w:eastAsia="仿宋_GB2312"/>
          <w:sz w:val="32"/>
          <w:szCs w:val="32"/>
        </w:rPr>
        <w:t>到位率100%。</w:t>
      </w:r>
    </w:p>
    <w:p w14:paraId="7BB2CBEB">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2</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项目资金（主要指财政资金）实际使用情况分析。</w:t>
      </w:r>
    </w:p>
    <w:p w14:paraId="378AD9C3">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本年度</w:t>
      </w:r>
      <w:r>
        <w:rPr>
          <w:rFonts w:hint="eastAsia" w:ascii="仿宋_GB2312" w:hAnsi="宋体" w:eastAsia="仿宋_GB2312"/>
          <w:sz w:val="32"/>
          <w:szCs w:val="32"/>
          <w:lang w:eastAsia="zh-CN"/>
        </w:rPr>
        <w:t>财政拨款项目</w:t>
      </w:r>
      <w:r>
        <w:rPr>
          <w:rFonts w:hint="eastAsia" w:ascii="仿宋_GB2312" w:hAnsi="宋体" w:eastAsia="仿宋_GB2312"/>
          <w:sz w:val="32"/>
          <w:szCs w:val="32"/>
        </w:rPr>
        <w:t>资金实际</w:t>
      </w:r>
      <w:r>
        <w:rPr>
          <w:rFonts w:hint="eastAsia" w:ascii="仿宋_GB2312" w:hAnsi="宋体" w:eastAsia="仿宋_GB2312"/>
          <w:sz w:val="32"/>
          <w:szCs w:val="32"/>
          <w:lang w:eastAsia="zh-CN"/>
        </w:rPr>
        <w:t>使用</w:t>
      </w:r>
      <w:r>
        <w:rPr>
          <w:rFonts w:hint="eastAsia" w:ascii="仿宋_GB2312" w:hAnsi="宋体" w:eastAsia="仿宋_GB2312"/>
          <w:sz w:val="32"/>
          <w:szCs w:val="32"/>
          <w:lang w:val="en-US" w:eastAsia="zh-CN"/>
        </w:rPr>
        <w:t>168.49万元（</w:t>
      </w:r>
      <w:r>
        <w:rPr>
          <w:rFonts w:hint="eastAsia" w:ascii="仿宋_GB2312" w:hAnsi="宋体" w:eastAsia="仿宋_GB2312"/>
          <w:sz w:val="32"/>
          <w:szCs w:val="32"/>
          <w:lang w:eastAsia="zh-CN"/>
        </w:rPr>
        <w:t>年初预算专项资金</w:t>
      </w:r>
      <w:r>
        <w:rPr>
          <w:rFonts w:hint="eastAsia" w:ascii="仿宋_GB2312" w:hAnsi="宋体" w:eastAsia="仿宋_GB2312"/>
          <w:sz w:val="32"/>
          <w:szCs w:val="32"/>
          <w:lang w:val="en-US" w:eastAsia="zh-CN"/>
        </w:rPr>
        <w:t>151万元、追加市本级结转上年项目资金17.49万元）、中央专项资金160.5万元，资金使用</w:t>
      </w:r>
      <w:r>
        <w:rPr>
          <w:rFonts w:hint="eastAsia" w:ascii="仿宋_GB2312" w:hAnsi="宋体" w:eastAsia="仿宋_GB2312"/>
          <w:sz w:val="32"/>
          <w:szCs w:val="32"/>
        </w:rPr>
        <w:t>率100%。</w:t>
      </w:r>
    </w:p>
    <w:p w14:paraId="385CCE5A">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项目资金管理情况分析，主要包括管理制度、办法的</w:t>
      </w:r>
      <w:r>
        <w:rPr>
          <w:rFonts w:hint="eastAsia" w:ascii="Times New Roman Regular" w:hAnsi="Times New Roman Regular" w:eastAsia="仿宋_GB2312" w:cs="Times New Roman Regular"/>
          <w:color w:val="auto"/>
          <w:kern w:val="2"/>
          <w:sz w:val="32"/>
          <w:szCs w:val="32"/>
          <w:highlight w:val="none"/>
          <w:lang w:val="en-US" w:eastAsia="zh-CN" w:bidi="ar-SA"/>
        </w:rPr>
        <w:t>制定</w:t>
      </w:r>
      <w:r>
        <w:rPr>
          <w:rFonts w:hint="default" w:ascii="Times New Roman Regular" w:hAnsi="Times New Roman Regular" w:eastAsia="仿宋_GB2312" w:cs="Times New Roman Regular"/>
          <w:color w:val="auto"/>
          <w:kern w:val="2"/>
          <w:sz w:val="32"/>
          <w:szCs w:val="32"/>
          <w:highlight w:val="none"/>
          <w:lang w:val="en-US" w:eastAsia="zh-CN" w:bidi="ar-SA"/>
        </w:rPr>
        <w:t>及执行情况。</w:t>
      </w:r>
    </w:p>
    <w:p w14:paraId="70B688A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严格按照相应的业务管理制度，规范各项经费的开支。资金使用规范，符合各项法规和财务管理以及《怀化市中心血站专项资金管理办法》的规定；资金的拨付有完整的审批程序和手续；不存在截留、挤占、挪用、虚列开支等情况，保证会计核算准确、财务资料完整。</w:t>
      </w:r>
    </w:p>
    <w:p w14:paraId="56AA70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B2E5E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（一）项目组织情况分析，主要包括项目招投标、调整、竣工验收等情况。</w:t>
      </w:r>
    </w:p>
    <w:p w14:paraId="476E9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收到</w:t>
      </w:r>
      <w:r>
        <w:rPr>
          <w:rFonts w:hint="eastAsia" w:ascii="Times New Roman Regular" w:hAnsi="Times New Roman Regular" w:eastAsia="仿宋_GB2312" w:cs="Times New Roman Regular"/>
          <w:color w:val="auto"/>
          <w:kern w:val="2"/>
          <w:sz w:val="32"/>
          <w:szCs w:val="32"/>
          <w:highlight w:val="none"/>
          <w:lang w:val="en-US" w:eastAsia="zh-CN" w:bidi="ar-SA"/>
        </w:rPr>
        <w:t>项目资金</w:t>
      </w:r>
      <w:r>
        <w:rPr>
          <w:rFonts w:hint="default" w:ascii="Times New Roman Regular" w:hAnsi="Times New Roman Regular" w:eastAsia="仿宋_GB2312" w:cs="Times New Roman Regular"/>
          <w:color w:val="auto"/>
          <w:kern w:val="2"/>
          <w:sz w:val="32"/>
          <w:szCs w:val="32"/>
          <w:highlight w:val="none"/>
          <w:lang w:val="en-US" w:eastAsia="zh-CN" w:bidi="ar-SA"/>
        </w:rPr>
        <w:t>后，我单位立即组织召开专题会议，明确项目目标和任务，部署项目实施工作。根据项目要求，结合实际情况，制定详细的实施方案，明确项目实施内容、时间节点、责任分工和保障措施，确保项目有序推进。建立部门联动机制，加强沟通协调，形成工作合力，共同推进项目实施。</w:t>
      </w:r>
    </w:p>
    <w:p w14:paraId="1025A4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二</w:t>
      </w:r>
      <w:r>
        <w:rPr>
          <w:rFonts w:hint="default" w:ascii="Times New Roman Regular" w:hAnsi="Times New Roman Regular" w:eastAsia="仿宋_GB2312" w:cs="Times New Roman Regular"/>
          <w:color w:val="auto"/>
          <w:kern w:val="2"/>
          <w:sz w:val="32"/>
          <w:szCs w:val="32"/>
          <w:highlight w:val="none"/>
          <w:lang w:val="en-US" w:eastAsia="zh-CN" w:bidi="ar-SA"/>
        </w:rPr>
        <w:t>）项目管理情况分析，主要包括项目管理制度建设、日常检查监督管理等情况。</w:t>
      </w:r>
    </w:p>
    <w:p w14:paraId="59F47A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建立健全项目管理制度，对项目实施全过程进行跟踪管理，及时发现和解决问题，确保项目质量和进度。</w:t>
      </w:r>
    </w:p>
    <w:p w14:paraId="1B53D0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严格执行专项资金管理办法，规范资金使用流程，建立专门台账，确保资金安全和使用效益。 建立健全项目绩效评价体系，定期对项目实施情况进行评估，及时总结经验，查找不足，不断改进工作。主动公开项目信息，接受社会监督，确保项目公开透明运行。</w:t>
      </w:r>
    </w:p>
    <w:p w14:paraId="22A65F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0856F7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反映部门资产的配置、管理、处置等综合情况。包括制度建设、管理措施、配置处置的程序等。</w:t>
      </w:r>
    </w:p>
    <w:p w14:paraId="7F37D3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1.制度建设</w:t>
      </w:r>
    </w:p>
    <w:p w14:paraId="63D709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制度体系构建：围绕资产配置、管理、处置等环节，制定了完善的资产管理制度，明确了各部门及人员在资产管理中的职责与权限，确保资产管理有章可循。</w:t>
      </w:r>
    </w:p>
    <w:p w14:paraId="775232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2.管理措施</w:t>
      </w:r>
    </w:p>
    <w:p w14:paraId="169403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利用资产管理系统对资产进行登记造册，实时更新资产的使用状态、存放地点等信息，定期开展资产盘点工作，确保账实相符。建立了资产使用责任制度，将资产的管理责任落实到具体使用人，明确使用人对资产的保管、维护义务，提高资产使用效率和保管意识。</w:t>
      </w:r>
    </w:p>
    <w:p w14:paraId="046FEF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3.配置处置的程序 </w:t>
      </w:r>
    </w:p>
    <w:p w14:paraId="4C871F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（1）资产配置程序：根据部门业务需求和实际工作需要，按照规定的审批流程申请资产配置，经过可行性研究、预算审核等环节，确保资产配置的合理性和必要性。</w:t>
      </w:r>
    </w:p>
    <w:p w14:paraId="52E5AD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（2）资产处置程序：对于需要处置的资产，严格按照申报、评估、审批、处置的流程进行操作，通过公开招标、拍卖等方式进行处置，确保处置过程公开、公平、公正，处置收入按规定上缴国库。</w:t>
      </w:r>
    </w:p>
    <w:p w14:paraId="1F18CC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方正黑体_GBK" w:hAnsi="方正黑体_GBK" w:eastAsia="方正黑体_GBK" w:cs="方正黑体_GBK"/>
          <w:b/>
          <w:bCs/>
          <w:color w:val="auto"/>
          <w:sz w:val="32"/>
          <w:szCs w:val="32"/>
          <w:highlight w:val="none"/>
          <w:lang w:val="en-US" w:eastAsia="zh-CN"/>
        </w:rPr>
        <w:t>五、</w:t>
      </w: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52F0F537">
      <w:pPr>
        <w:pStyle w:val="2"/>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本单位无政府性基金预算支出。</w:t>
      </w:r>
    </w:p>
    <w:p w14:paraId="0618D3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方正黑体_GBK" w:hAnsi="方正黑体_GBK" w:eastAsia="方正黑体_GBK" w:cs="方正黑体_GBK"/>
          <w:b/>
          <w:bCs/>
          <w:color w:val="auto"/>
          <w:sz w:val="32"/>
          <w:szCs w:val="32"/>
          <w:highlight w:val="none"/>
          <w:lang w:val="en-US" w:eastAsia="zh-CN"/>
        </w:rPr>
        <w:t>六、</w:t>
      </w: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61B52D6C">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本单位无国有资本经营预算支出。</w:t>
      </w:r>
    </w:p>
    <w:p w14:paraId="0D7CEE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七、</w:t>
      </w: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7E28991E">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本单位无社会保险基金预算支出。</w:t>
      </w:r>
    </w:p>
    <w:p w14:paraId="18FFE5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DD5E083">
      <w:pPr>
        <w:pStyle w:val="11"/>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（一）综合评价结论。反映自评得分及评价等级。</w:t>
      </w:r>
    </w:p>
    <w:p w14:paraId="50613876">
      <w:pPr>
        <w:pStyle w:val="11"/>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根据评价指标体系测算，本部门2024年度部门整体支出绩效评价得分为95分，评分等级为优秀。</w:t>
      </w:r>
    </w:p>
    <w:p w14:paraId="739B94BB">
      <w:pPr>
        <w:pStyle w:val="11"/>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（二）评价指标分析（或综合评价情况）。</w:t>
      </w:r>
    </w:p>
    <w:p w14:paraId="36C9F105">
      <w:pPr>
        <w:pStyle w:val="11"/>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w:t>
      </w:r>
      <w:r>
        <w:rPr>
          <w:rFonts w:hint="default" w:ascii="Times New Roman Regular" w:hAnsi="Times New Roman Regular" w:eastAsia="仿宋_GB2312" w:cs="Times New Roman Regular"/>
          <w:color w:val="auto"/>
          <w:kern w:val="2"/>
          <w:sz w:val="32"/>
          <w:szCs w:val="32"/>
          <w:highlight w:val="none"/>
          <w:lang w:val="en-US" w:eastAsia="zh-CN" w:bidi="ar-SA"/>
        </w:rPr>
        <w:t>运行成本：</w:t>
      </w:r>
    </w:p>
    <w:p w14:paraId="17184C90">
      <w:pPr>
        <w:pStyle w:val="11"/>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全年</w:t>
      </w:r>
      <w:r>
        <w:rPr>
          <w:rFonts w:hint="eastAsia" w:ascii="Times New Roman Regular" w:hAnsi="Times New Roman Regular" w:eastAsia="仿宋_GB2312" w:cs="Times New Roman Regular"/>
          <w:color w:val="auto"/>
          <w:kern w:val="2"/>
          <w:sz w:val="32"/>
          <w:szCs w:val="32"/>
          <w:highlight w:val="none"/>
          <w:lang w:val="en-US" w:eastAsia="zh-CN" w:bidi="ar-SA"/>
        </w:rPr>
        <w:t>预算</w:t>
      </w:r>
      <w:r>
        <w:rPr>
          <w:rFonts w:hint="default" w:ascii="Times New Roman Regular" w:hAnsi="Times New Roman Regular" w:eastAsia="仿宋_GB2312" w:cs="Times New Roman Regular"/>
          <w:color w:val="auto"/>
          <w:kern w:val="2"/>
          <w:sz w:val="32"/>
          <w:szCs w:val="32"/>
          <w:highlight w:val="none"/>
          <w:lang w:val="en-US" w:eastAsia="zh-CN" w:bidi="ar-SA"/>
        </w:rPr>
        <w:t>支出</w:t>
      </w:r>
      <w:r>
        <w:rPr>
          <w:rFonts w:hint="eastAsia" w:ascii="Times New Roman Regular" w:hAnsi="Times New Roman Regular" w:eastAsia="仿宋_GB2312" w:cs="Times New Roman Regular"/>
          <w:color w:val="auto"/>
          <w:kern w:val="2"/>
          <w:sz w:val="32"/>
          <w:szCs w:val="32"/>
          <w:highlight w:val="none"/>
          <w:lang w:val="en-US" w:eastAsia="zh-CN" w:bidi="ar-SA"/>
        </w:rPr>
        <w:t>2024年全年预算为3081.5万元，2024年实际支出3081.5万元，预算执行率100%。</w:t>
      </w:r>
      <w:r>
        <w:rPr>
          <w:rFonts w:hint="default" w:ascii="Times New Roman Regular" w:hAnsi="Times New Roman Regular" w:eastAsia="仿宋_GB2312" w:cs="Times New Roman Regular"/>
          <w:color w:val="auto"/>
          <w:kern w:val="2"/>
          <w:sz w:val="32"/>
          <w:szCs w:val="32"/>
          <w:highlight w:val="none"/>
          <w:lang w:val="en-US" w:eastAsia="zh-CN" w:bidi="ar-SA"/>
        </w:rPr>
        <w:t>通过集中采购、预算动态调整等措施，血液检测耗材成本同比下降，未出现超标准、超范围支出问题。</w:t>
      </w:r>
    </w:p>
    <w:p w14:paraId="6214C7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管理效率：</w:t>
      </w:r>
    </w:p>
    <w:p w14:paraId="5A5277F3">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建立“二上二下”预算编制流程，重大项目实行“事前绩效评估-事中监控-事后评价”全周期管理，202</w:t>
      </w: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年重点项目绩效目标申报率100%，监控覆盖率100%。固定资产台账清晰</w:t>
      </w:r>
      <w:r>
        <w:rPr>
          <w:rFonts w:hint="eastAsia" w:ascii="Times New Roman Regular" w:hAnsi="Times New Roman Regular" w:eastAsia="仿宋_GB2312" w:cs="Times New Roman Regular"/>
          <w:color w:val="auto"/>
          <w:kern w:val="2"/>
          <w:sz w:val="32"/>
          <w:szCs w:val="32"/>
          <w:highlight w:val="none"/>
          <w:lang w:val="en-US" w:eastAsia="zh-CN" w:bidi="ar-SA"/>
        </w:rPr>
        <w:t>，管理规范</w:t>
      </w:r>
      <w:r>
        <w:rPr>
          <w:rFonts w:hint="default" w:ascii="Times New Roman Regular" w:hAnsi="Times New Roman Regular" w:eastAsia="仿宋_GB2312" w:cs="Times New Roman Regular"/>
          <w:color w:val="auto"/>
          <w:kern w:val="2"/>
          <w:sz w:val="32"/>
          <w:szCs w:val="32"/>
          <w:highlight w:val="none"/>
          <w:lang w:val="en-US" w:eastAsia="zh-CN" w:bidi="ar-SA"/>
        </w:rPr>
        <w:t>。修订《财务管理制度》《采购管理办法》等制度，全年未发生违规使用资金问题</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sz w:val="32"/>
          <w:szCs w:val="32"/>
          <w:highlight w:val="none"/>
          <w:lang w:val="en-US" w:eastAsia="zh-CN"/>
        </w:rPr>
        <w:t>充分发挥资金的使用效益，效果良好。</w:t>
      </w:r>
    </w:p>
    <w:p w14:paraId="5544B9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履职效能：</w:t>
      </w:r>
    </w:p>
    <w:p w14:paraId="6DE23D51">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（1）血液采集：</w:t>
      </w:r>
      <w:r>
        <w:rPr>
          <w:rFonts w:hint="default" w:ascii="Times New Roman Regular" w:hAnsi="Times New Roman Regular" w:eastAsia="仿宋_GB2312" w:cs="Times New Roman Regular"/>
          <w:color w:val="auto"/>
          <w:kern w:val="2"/>
          <w:sz w:val="32"/>
          <w:szCs w:val="32"/>
          <w:highlight w:val="none"/>
          <w:lang w:val="en-US" w:eastAsia="zh-CN" w:bidi="ar-SA"/>
        </w:rPr>
        <w:t>2024年全市累计37261人次参加无偿献血，捐献血液14.08吨，自愿无偿献血率100%，其中捐献全血35503人次，13.45吨，单采成分血1758人次，3180个治疗量。</w:t>
      </w:r>
      <w:r>
        <w:rPr>
          <w:rFonts w:hint="eastAsia" w:ascii="Times New Roman Regular" w:hAnsi="Times New Roman Regular" w:eastAsia="仿宋_GB2312" w:cs="Times New Roman Regular"/>
          <w:color w:val="auto"/>
          <w:kern w:val="2"/>
          <w:sz w:val="32"/>
          <w:szCs w:val="32"/>
          <w:highlight w:val="none"/>
          <w:lang w:val="en-US" w:eastAsia="zh-CN" w:bidi="ar-SA"/>
        </w:rPr>
        <w:t>采血量完成率93.87%，未完成年初采血量15吨的目标。采血量指标未完成原因为全国无偿献血大环境不好，市民无偿献血意识不强，整体采血量均呈下降状态。除采血量指标未完成外，其余指标均已完成。</w:t>
      </w:r>
    </w:p>
    <w:p w14:paraId="56605F09">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（2）血液供应：</w:t>
      </w:r>
      <w:r>
        <w:rPr>
          <w:rFonts w:hint="default" w:ascii="Times New Roman Regular" w:hAnsi="Times New Roman Regular" w:eastAsia="仿宋_GB2312" w:cs="Times New Roman Regular"/>
          <w:color w:val="auto"/>
          <w:kern w:val="2"/>
          <w:sz w:val="32"/>
          <w:szCs w:val="32"/>
          <w:highlight w:val="none"/>
          <w:lang w:val="en-US" w:eastAsia="zh-CN" w:bidi="ar-SA"/>
        </w:rPr>
        <w:t>2024年临床供血总量27.24吨</w:t>
      </w:r>
      <w:r>
        <w:rPr>
          <w:rFonts w:hint="eastAsia" w:ascii="Times New Roman Regular" w:hAnsi="Times New Roman Regular" w:eastAsia="仿宋_GB2312" w:cs="Times New Roman Regular"/>
          <w:color w:val="auto"/>
          <w:kern w:val="2"/>
          <w:sz w:val="32"/>
          <w:szCs w:val="32"/>
          <w:highlight w:val="none"/>
          <w:lang w:val="en-US" w:eastAsia="zh-CN" w:bidi="ar-SA"/>
        </w:rPr>
        <w:t>，保持采供血动态平衡，保障我市临床用血需要。</w:t>
      </w:r>
      <w:r>
        <w:rPr>
          <w:rFonts w:hint="default" w:ascii="Times New Roman Regular" w:hAnsi="Times New Roman Regular" w:eastAsia="仿宋_GB2312" w:cs="Times New Roman Regular"/>
          <w:color w:val="auto"/>
          <w:kern w:val="2"/>
          <w:sz w:val="32"/>
          <w:szCs w:val="32"/>
          <w:highlight w:val="none"/>
          <w:lang w:val="en-US" w:eastAsia="zh-CN" w:bidi="ar-SA"/>
        </w:rPr>
        <w:t>其中：红细胞类65561.65U</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血浆50079.25U</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冷沉淀17430.5U</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血小板类3155治疗量。</w:t>
      </w:r>
    </w:p>
    <w:p w14:paraId="35BC95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血液安全：检测项目全覆盖，</w:t>
      </w:r>
      <w:r>
        <w:rPr>
          <w:rFonts w:hint="eastAsia" w:ascii="Times New Roman Regular" w:hAnsi="Times New Roman Regular" w:eastAsia="仿宋_GB2312" w:cs="Times New Roman Regular"/>
          <w:color w:val="auto"/>
          <w:kern w:val="2"/>
          <w:sz w:val="32"/>
          <w:szCs w:val="32"/>
          <w:highlight w:val="none"/>
          <w:lang w:val="en-US" w:eastAsia="zh-CN" w:bidi="ar-SA"/>
        </w:rPr>
        <w:t>坚持两遍酶免一遍核酸检测，保证供应临床血液核酸检测率100%。实验室全年检测献血者标本37183份，合格率98%；检测核酸标本36585份，合格率99%；人类嗜T淋巴细胞病毒检测覆盖率100%；参加国家室间质评3次、省室间质评2次、省疾控中心室间质评1次，评价结果均为优秀。</w:t>
      </w:r>
      <w:r>
        <w:rPr>
          <w:rFonts w:hint="default" w:ascii="Times New Roman Regular" w:hAnsi="Times New Roman Regular" w:eastAsia="仿宋_GB2312" w:cs="Times New Roman Regular"/>
          <w:color w:val="auto"/>
          <w:kern w:val="2"/>
          <w:sz w:val="32"/>
          <w:szCs w:val="32"/>
          <w:highlight w:val="none"/>
          <w:lang w:val="en-US" w:eastAsia="zh-CN" w:bidi="ar-SA"/>
        </w:rPr>
        <w:t>经血传播疾病漏检率为0</w:t>
      </w:r>
      <w:r>
        <w:rPr>
          <w:rFonts w:hint="eastAsia" w:ascii="Times New Roman Regular" w:hAnsi="Times New Roman Regular" w:eastAsia="仿宋_GB2312" w:cs="Times New Roman Regular"/>
          <w:color w:val="auto"/>
          <w:kern w:val="2"/>
          <w:sz w:val="32"/>
          <w:szCs w:val="32"/>
          <w:highlight w:val="none"/>
          <w:lang w:val="en-US" w:eastAsia="zh-CN" w:bidi="ar-SA"/>
        </w:rPr>
        <w:t>，显著</w:t>
      </w:r>
      <w:r>
        <w:rPr>
          <w:rFonts w:hint="eastAsia" w:ascii="Times New Roman Regular" w:hAnsi="Times New Roman Regular" w:eastAsia="仿宋_GB2312" w:cs="Times New Roman Regular"/>
          <w:color w:val="auto"/>
          <w:sz w:val="32"/>
          <w:szCs w:val="32"/>
          <w:highlight w:val="none"/>
          <w:lang w:val="en-US" w:eastAsia="zh-CN"/>
        </w:rPr>
        <w:t>控制艾滋病等血液传染病经血液传播</w:t>
      </w:r>
      <w:r>
        <w:rPr>
          <w:rFonts w:hint="default" w:ascii="Times New Roman Regular" w:hAnsi="Times New Roman Regular" w:eastAsia="仿宋_GB2312" w:cs="Times New Roman Regular"/>
          <w:color w:val="auto"/>
          <w:kern w:val="2"/>
          <w:sz w:val="32"/>
          <w:szCs w:val="32"/>
          <w:highlight w:val="none"/>
          <w:lang w:val="en-US" w:eastAsia="zh-CN" w:bidi="ar-SA"/>
        </w:rPr>
        <w:t>。</w:t>
      </w:r>
    </w:p>
    <w:p w14:paraId="3BCBD7AF">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（4）全流程质控：采取多种措施对采供血流程进行全程监控，未发生血液质量安全事故，</w:t>
      </w:r>
      <w:r>
        <w:rPr>
          <w:rFonts w:hint="eastAsia" w:ascii="Times New Roman Regular" w:hAnsi="Times New Roman Regular" w:eastAsia="仿宋_GB2312" w:cs="Times New Roman Regular"/>
          <w:color w:val="auto"/>
          <w:sz w:val="32"/>
          <w:szCs w:val="32"/>
          <w:highlight w:val="none"/>
          <w:lang w:val="en-US" w:eastAsia="zh-CN"/>
        </w:rPr>
        <w:t>采供血安全事故及时阻断并得到有效控制</w:t>
      </w: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定期抽检起始血液及成品库的血液及血液成分；每月对采供血流程进行工艺卫生监控；对每批次检测试剂及重要的原辅材料进行质量抽查。全年召开质量分析会12次，开展全站性的业务培训4次，日常环节和过程质量检查127次。全方位筑牢血液质量安全防线，确保血液符合《全血及成分血质量要求》。</w:t>
      </w:r>
    </w:p>
    <w:p w14:paraId="191E5F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社会效应：</w:t>
      </w:r>
    </w:p>
    <w:p w14:paraId="73D1DD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（1）2024年1月为全国无偿献血奉献奖金奖获得者等发放爱心公交卡212张。11月实现全国无偿献血者奉献奖金奖获得者等在全市二级以上公立医院就诊免交门诊诊查费。</w:t>
      </w:r>
    </w:p>
    <w:p w14:paraId="697B8F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实施“无偿献血，优先用血”血液联动保障机制，在保障急危重症和孕产妇等重点人群用血前提下，无偿献血者本人及其配偶、父母、子女、配偶父母、祖父母、外祖父母、孙子女、外孙子女可享受优先用血权益，实现“一人献血，全家受益”。搭建了优先用血平台，微信公众号开通优先用血申请，为献血者亲属提供了快捷、方便的优先用血申请。11月6日开通以来，为813位献血者办理了优先用血服务，优先用血326400毫升。</w:t>
      </w:r>
    </w:p>
    <w:p w14:paraId="18DAFE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（3）持续优化用血费用减免流程，让数据多跑路、群众少跑腿，献血者及其亲属在线上直报513人次，实现无偿献血者临床用血费用跨省异地报销，为无偿献血者提供高效便捷服务。</w:t>
      </w:r>
    </w:p>
    <w:p w14:paraId="15352A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利用互联网创新献血服务模式，加快推进传统献血模式向“互联网+”献血模式的探索和延伸。启用了怀化市献血服务平台，通过血站公众号提前预约、自助填表，合理安排团采献血人数，现场打印无偿献血征询表，避免人员扎堆，为献血者提供更加优质、高效、个性化的服务。</w:t>
      </w:r>
    </w:p>
    <w:p w14:paraId="7D1AB4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（5）</w:t>
      </w:r>
      <w:r>
        <w:rPr>
          <w:rFonts w:hint="eastAsia" w:ascii="仿宋" w:hAnsi="仿宋" w:eastAsia="仿宋"/>
          <w:b w:val="0"/>
          <w:bCs/>
          <w:sz w:val="32"/>
          <w:szCs w:val="32"/>
        </w:rPr>
        <w:t>输血督导和技术支持。</w:t>
      </w:r>
      <w:r>
        <w:rPr>
          <w:rFonts w:hint="eastAsia" w:ascii="仿宋" w:hAnsi="仿宋" w:eastAsia="仿宋"/>
          <w:color w:val="000000" w:themeColor="text1"/>
          <w:sz w:val="32"/>
          <w:szCs w:val="32"/>
          <w14:textFill>
            <w14:solidFill>
              <w14:schemeClr w14:val="tx1"/>
            </w14:solidFill>
          </w14:textFill>
        </w:rPr>
        <w:t>开展或协助省临床用血质量控制中心对辖区医疗机构用血的调研和培训工作，通过这次专家组的现场业务指导，提升了市临床用血质量控制中心成员发现问题、解决问题及指导基层的能力，进一步夯实用血单位医护人员输血安全意识，持续推进合理用血，保障临床用血安全和医疗质量。为辖区用血单位开展鉴定疑难血型36例，减轻了患者到长沙配型的负担。</w:t>
      </w:r>
    </w:p>
    <w:p w14:paraId="56792F1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5.</w:t>
      </w:r>
      <w:r>
        <w:rPr>
          <w:rFonts w:hint="default" w:ascii="Times New Roman Regular" w:hAnsi="Times New Roman Regular" w:eastAsia="仿宋_GB2312" w:cs="Times New Roman Regular"/>
          <w:color w:val="auto"/>
          <w:kern w:val="2"/>
          <w:sz w:val="32"/>
          <w:szCs w:val="32"/>
          <w:highlight w:val="none"/>
          <w:lang w:val="en-US" w:eastAsia="zh-CN" w:bidi="ar-SA"/>
        </w:rPr>
        <w:t>可持续发展能力：</w:t>
      </w:r>
    </w:p>
    <w:p w14:paraId="288194E0">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sz w:val="32"/>
          <w:szCs w:val="32"/>
          <w:lang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（1）</w:t>
      </w:r>
      <w:r>
        <w:rPr>
          <w:rFonts w:hint="default" w:ascii="Times New Roman Regular" w:hAnsi="Times New Roman Regular" w:eastAsia="仿宋_GB2312" w:cs="Times New Roman Regular"/>
          <w:color w:val="auto"/>
          <w:kern w:val="2"/>
          <w:sz w:val="32"/>
          <w:szCs w:val="32"/>
          <w:highlight w:val="none"/>
          <w:lang w:val="en-US" w:eastAsia="zh-CN" w:bidi="ar-SA"/>
        </w:rPr>
        <w:t>建立技术精湛、服务意识强的人才队伍。积极争取政策支持，通过公开招聘新进卫生专业技术人员7名。积极向上级部门汇报，调整岗位设置，增加专业技术岗位。</w:t>
      </w:r>
      <w:r>
        <w:rPr>
          <w:rFonts w:hint="eastAsia" w:ascii="仿宋" w:hAnsi="仿宋" w:eastAsia="仿宋"/>
          <w:sz w:val="32"/>
          <w:szCs w:val="32"/>
        </w:rPr>
        <w:t>2024年外送25批次83人学习交流，其中送2人到湘雅医院、湘雅二医院培训三个月，提升人员业务能力</w:t>
      </w:r>
      <w:r>
        <w:rPr>
          <w:rFonts w:hint="eastAsia" w:ascii="仿宋" w:hAnsi="仿宋" w:eastAsia="仿宋"/>
          <w:sz w:val="32"/>
          <w:szCs w:val="32"/>
          <w:lang w:eastAsia="zh-CN"/>
        </w:rPr>
        <w:t>，</w:t>
      </w:r>
      <w:r>
        <w:rPr>
          <w:rFonts w:hint="eastAsia" w:ascii="Times New Roman Regular" w:hAnsi="Times New Roman Regular" w:eastAsia="仿宋_GB2312" w:cs="Times New Roman Regular"/>
          <w:color w:val="auto"/>
          <w:kern w:val="2"/>
          <w:sz w:val="32"/>
          <w:szCs w:val="32"/>
          <w:highlight w:val="none"/>
          <w:lang w:val="en-US" w:eastAsia="zh-CN" w:bidi="ar-SA"/>
        </w:rPr>
        <w:t>提升血液安全和保障能力，推动采供血事业高质量发展。</w:t>
      </w:r>
    </w:p>
    <w:p w14:paraId="6047803D">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2024年，在省市媒体发表稿件100余篇，单位微信公众号发表宣传稿件190余篇。持续创新宣传招募方式，开展富有创意的宣传招募活动，开展“雷锋月学雷锋，无偿献血献爱心”“614世界献血者日”纪念活动、“献血为青春献礼”高校无偿献血演讲、高校爱心助学、“共筑爱心、热血同行”等一系列丰富多样的主题活动10余场次。录制《我是朗读者》专题宣传片，讲述血站人和献血者的故事，为年满60岁的无偿献血者举行荣退仪式。通过宣传发动、载体联动、活动拉动、典型带动，持续提升市民无偿献血意识。</w:t>
      </w:r>
    </w:p>
    <w:p w14:paraId="0E804C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6.</w:t>
      </w:r>
      <w:r>
        <w:rPr>
          <w:rFonts w:hint="default" w:ascii="Times New Roman Regular" w:hAnsi="Times New Roman Regular" w:eastAsia="仿宋_GB2312" w:cs="Times New Roman Regular"/>
          <w:color w:val="auto"/>
          <w:kern w:val="2"/>
          <w:sz w:val="32"/>
          <w:szCs w:val="32"/>
          <w:highlight w:val="none"/>
          <w:lang w:val="en-US" w:eastAsia="zh-CN" w:bidi="ar-SA"/>
        </w:rPr>
        <w:t>服务对象满意度：</w:t>
      </w:r>
    </w:p>
    <w:p w14:paraId="53EC87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对全市19家用血单位进行满意度调查，用血单位满意率为100%。对献血者进行满意度调查，满意度调查为100%。</w:t>
      </w:r>
    </w:p>
    <w:p w14:paraId="691502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615DCE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主要反映各种预算支出执行偏离绩效目标的情况，并分析其原因。</w:t>
      </w:r>
    </w:p>
    <w:p w14:paraId="4EC51E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1.预算编制精准性不足，执行过程中存在调整。</w:t>
      </w:r>
    </w:p>
    <w:p w14:paraId="03BB5362">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采供血设备购置项目与采供血业务运行成本项目进行了预算内部调剂。主要原因为：需求预测不精准：设备采购因部分设备老化严重，急需更新，但年初预算未充分考虑突发性需求。采供血运行成本项目因采血量下降相应成本下降，需调减预算，但未能提前做好动态评估，导致执行偏差。</w:t>
      </w:r>
    </w:p>
    <w:p w14:paraId="57A0E9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绩效指标设定不够科学，部分目标难以量化。部分效益指标表述笼统，缺乏可量化的考核标准。主要是因为绩效目标设定经验不足，部分指标沿用传统表述，未结合SMART原则（具体、可衡量、可实现、相关性、时限性）细化。</w:t>
      </w:r>
    </w:p>
    <w:p w14:paraId="33A75F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3.2024年采血量目标15吨，实际完成14.08吨（完成率93.87%）。虽然开展了宣传招募活动（如6.14献血日活动），但未能完全扭转采血量下降趋势。主要原因一是社会献血意愿下降，受人口流动、健康观念变化等因素影响，无偿献血者数量增长乏力。二是宣传方式单一，主要依赖传统媒体（如杂志、文化衫等），新媒体和社区渗透不足，未能有效触达年轻群体。三是除溆浦采血点外，其他县无采血点，只能靠短期采血车下县团采，影响献血便利性。</w:t>
      </w:r>
    </w:p>
    <w:p w14:paraId="3E0A8C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78B21D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kern w:val="2"/>
          <w:sz w:val="32"/>
          <w:szCs w:val="32"/>
          <w:highlight w:val="none"/>
          <w:lang w:val="en-US" w:eastAsia="zh-CN" w:bidi="ar-SA"/>
        </w:rPr>
        <w:t>加强预算编制工作，严格按照预算编制的相关制度和要求进行预算编制，优先保障固定性的、相对刚性的费用支出项目，尽量压缩变动性的，由控制空间的费用项目，进一步提高预算编制的科学性、严谨性和可控性。</w:t>
      </w:r>
    </w:p>
    <w:p w14:paraId="7240F8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优化绩效指标体系，加强对绩效目标的审核，将绩效目标审核纳入站务会，由质量管理部牵头核查指标可操作性。保证各部室严格按照部室职责和工作计划，确定出对应的数量、质量、时效以及效益指标，确保指标设定合理、合规。</w:t>
      </w:r>
    </w:p>
    <w:p w14:paraId="47FE3E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3.创新宣传方式，加强短视频、社交媒体等数字化传播，提升年轻群体参与度。优化采血点布局，论证研究下一步是否增加县城采血点。</w:t>
      </w:r>
    </w:p>
    <w:p w14:paraId="4C37BC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建议进一步强化对各预算单位预算项目申报工作的业务指引，推动项目编制流程与绩效评价标准深度衔接；同步建立分阶段专题培训机制，着力提升各预算单位对项目资金绩效自评工作重要性的认知水平，切实筑牢绩效管理核心理念，系统性增强绩效自评工作质效。</w:t>
      </w:r>
    </w:p>
    <w:p w14:paraId="58B510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3E6D83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w:t>
      </w:r>
      <w:r>
        <w:rPr>
          <w:rFonts w:hint="default" w:ascii="Times New Roman Regular" w:hAnsi="Times New Roman Regular" w:eastAsia="仿宋_GB2312" w:cs="Times New Roman Regular"/>
          <w:color w:val="auto"/>
          <w:kern w:val="2"/>
          <w:sz w:val="32"/>
          <w:szCs w:val="32"/>
          <w:highlight w:val="none"/>
          <w:lang w:val="en-US" w:eastAsia="zh-CN" w:bidi="ar-SA"/>
        </w:rPr>
        <w:t>绩效自评结果拟应用情况</w:t>
      </w:r>
    </w:p>
    <w:p w14:paraId="1020FB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（1）问题整改：针对绩效自评中发现的问题，制定详细的整改措施，明确整改责任人和整改时限，确保问题得到及时有效整改。通过整改，进一步完善项目管理流程，提供项目实施质量和资金使用效益。</w:t>
      </w:r>
    </w:p>
    <w:p w14:paraId="1ADD103E">
      <w:pPr>
        <w:pStyle w:val="2"/>
        <w:ind w:firstLine="640" w:firstLineChars="200"/>
        <w:rPr>
          <w:rFonts w:hint="default"/>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2）预算调整：将绩效自评结果作为下一年度预算安排和调整的重要依据。对绩效评价结果分数高的项目，在预算安排上给与优先支持和适当切斜；对绩效评价结果分数低的项目，消减或暂停预算安排，督促项目改进管理。</w:t>
      </w:r>
    </w:p>
    <w:p w14:paraId="2FD0B8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绩效自评结果公开情况</w:t>
      </w:r>
    </w:p>
    <w:p w14:paraId="4CB91B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在规定时间内，将此次绩效自评结果在怀化市卫生健康委员会门户网站上予以公布，向社会公开，广泛接受群众监督，增强财政资金使用的透明度。</w:t>
      </w:r>
    </w:p>
    <w:p w14:paraId="196ED0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F7FC3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w:t>
      </w:r>
    </w:p>
    <w:p w14:paraId="7B9DC57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2E5D1B1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1D7282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3.项目支出绩效自评表（每个一级项目支出一张表，共7张）</w:t>
      </w:r>
    </w:p>
    <w:p w14:paraId="33598E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1A4AEC9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0ABF1B69">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4"/>
        <w:gridCol w:w="739"/>
        <w:gridCol w:w="849"/>
        <w:gridCol w:w="1129"/>
        <w:gridCol w:w="1111"/>
        <w:gridCol w:w="969"/>
        <w:gridCol w:w="863"/>
      </w:tblGrid>
      <w:tr w14:paraId="3D86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vMerge w:val="restart"/>
            <w:noWrap w:val="0"/>
            <w:vAlign w:val="center"/>
          </w:tcPr>
          <w:p w14:paraId="0750FDDC">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1588" w:type="dxa"/>
            <w:gridSpan w:val="2"/>
            <w:noWrap w:val="0"/>
            <w:vAlign w:val="center"/>
          </w:tcPr>
          <w:p w14:paraId="6A0D152E">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074086ED">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62FB11DD">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0847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804" w:type="dxa"/>
            <w:vMerge w:val="continue"/>
            <w:noWrap w:val="0"/>
            <w:vAlign w:val="center"/>
          </w:tcPr>
          <w:p w14:paraId="430CC594">
            <w:pPr>
              <w:widowControl/>
              <w:spacing w:line="240" w:lineRule="auto"/>
              <w:jc w:val="left"/>
              <w:rPr>
                <w:rFonts w:hint="eastAsia" w:ascii="仿宋" w:hAnsi="仿宋" w:eastAsia="仿宋" w:cs="仿宋"/>
                <w:b w:val="0"/>
                <w:bCs w:val="0"/>
                <w:kern w:val="0"/>
                <w:sz w:val="20"/>
                <w:szCs w:val="20"/>
              </w:rPr>
            </w:pPr>
          </w:p>
        </w:tc>
        <w:tc>
          <w:tcPr>
            <w:tcW w:w="1588" w:type="dxa"/>
            <w:gridSpan w:val="2"/>
            <w:noWrap w:val="0"/>
            <w:vAlign w:val="center"/>
          </w:tcPr>
          <w:p w14:paraId="24F8725F">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70</w:t>
            </w:r>
          </w:p>
        </w:tc>
        <w:tc>
          <w:tcPr>
            <w:tcW w:w="2240" w:type="dxa"/>
            <w:gridSpan w:val="2"/>
            <w:noWrap w:val="0"/>
            <w:vAlign w:val="center"/>
          </w:tcPr>
          <w:p w14:paraId="70AA71D4">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97</w:t>
            </w:r>
            <w:r>
              <w:rPr>
                <w:rFonts w:hint="eastAsia" w:ascii="仿宋" w:hAnsi="仿宋" w:eastAsia="仿宋" w:cs="仿宋"/>
                <w:b w:val="0"/>
                <w:bCs w:val="0"/>
                <w:kern w:val="0"/>
                <w:sz w:val="20"/>
                <w:szCs w:val="20"/>
              </w:rPr>
              <w:t>　</w:t>
            </w:r>
          </w:p>
        </w:tc>
        <w:tc>
          <w:tcPr>
            <w:tcW w:w="1832" w:type="dxa"/>
            <w:gridSpan w:val="2"/>
            <w:noWrap w:val="0"/>
            <w:vAlign w:val="center"/>
          </w:tcPr>
          <w:p w14:paraId="66F8F31D">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138.57%</w:t>
            </w:r>
            <w:r>
              <w:rPr>
                <w:rFonts w:hint="eastAsia" w:ascii="仿宋" w:hAnsi="仿宋" w:eastAsia="仿宋" w:cs="仿宋"/>
                <w:b w:val="0"/>
                <w:bCs w:val="0"/>
                <w:kern w:val="0"/>
                <w:sz w:val="20"/>
                <w:szCs w:val="20"/>
              </w:rPr>
              <w:t>　</w:t>
            </w:r>
          </w:p>
        </w:tc>
      </w:tr>
      <w:tr w14:paraId="64E7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61D433FF">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1588" w:type="dxa"/>
            <w:gridSpan w:val="2"/>
            <w:noWrap w:val="0"/>
            <w:vAlign w:val="center"/>
          </w:tcPr>
          <w:p w14:paraId="515A9C9A">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3BF72A22">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64F4D951">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0652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0651A13C">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1588" w:type="dxa"/>
            <w:gridSpan w:val="2"/>
            <w:noWrap w:val="0"/>
            <w:vAlign w:val="center"/>
          </w:tcPr>
          <w:p w14:paraId="54DD79A0">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53.48</w:t>
            </w:r>
          </w:p>
        </w:tc>
        <w:tc>
          <w:tcPr>
            <w:tcW w:w="2240" w:type="dxa"/>
            <w:gridSpan w:val="2"/>
            <w:noWrap w:val="0"/>
            <w:vAlign w:val="center"/>
          </w:tcPr>
          <w:p w14:paraId="62A63505">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53.3</w:t>
            </w:r>
          </w:p>
        </w:tc>
        <w:tc>
          <w:tcPr>
            <w:tcW w:w="1832" w:type="dxa"/>
            <w:gridSpan w:val="2"/>
            <w:noWrap w:val="0"/>
            <w:vAlign w:val="center"/>
          </w:tcPr>
          <w:p w14:paraId="7DA79B19">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48.18</w:t>
            </w:r>
          </w:p>
        </w:tc>
      </w:tr>
      <w:tr w14:paraId="32A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5B11CE62">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1588" w:type="dxa"/>
            <w:gridSpan w:val="2"/>
            <w:noWrap w:val="0"/>
            <w:vAlign w:val="center"/>
          </w:tcPr>
          <w:p w14:paraId="161A2FC4">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5</w:t>
            </w:r>
            <w:r>
              <w:rPr>
                <w:rFonts w:hint="eastAsia" w:ascii="仿宋" w:hAnsi="仿宋" w:eastAsia="仿宋" w:cs="仿宋"/>
                <w:b w:val="0"/>
                <w:bCs w:val="0"/>
                <w:kern w:val="0"/>
                <w:sz w:val="20"/>
                <w:szCs w:val="20"/>
                <w:lang w:val="en-US" w:eastAsia="zh-CN"/>
              </w:rPr>
              <w:t>2.7</w:t>
            </w:r>
          </w:p>
        </w:tc>
        <w:tc>
          <w:tcPr>
            <w:tcW w:w="2240" w:type="dxa"/>
            <w:gridSpan w:val="2"/>
            <w:noWrap w:val="0"/>
            <w:vAlign w:val="center"/>
          </w:tcPr>
          <w:p w14:paraId="44325C9C">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51</w:t>
            </w:r>
          </w:p>
        </w:tc>
        <w:tc>
          <w:tcPr>
            <w:tcW w:w="1832" w:type="dxa"/>
            <w:gridSpan w:val="2"/>
            <w:noWrap w:val="0"/>
            <w:vAlign w:val="center"/>
          </w:tcPr>
          <w:p w14:paraId="21EA1CC4">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47.31</w:t>
            </w:r>
          </w:p>
        </w:tc>
      </w:tr>
      <w:tr w14:paraId="68E3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04" w:type="dxa"/>
            <w:noWrap w:val="0"/>
            <w:vAlign w:val="center"/>
          </w:tcPr>
          <w:p w14:paraId="3593B210">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1588" w:type="dxa"/>
            <w:gridSpan w:val="2"/>
            <w:noWrap w:val="0"/>
            <w:vAlign w:val="center"/>
          </w:tcPr>
          <w:p w14:paraId="7AB8ED75">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w:t>
            </w:r>
          </w:p>
        </w:tc>
        <w:tc>
          <w:tcPr>
            <w:tcW w:w="2240" w:type="dxa"/>
            <w:gridSpan w:val="2"/>
            <w:noWrap w:val="0"/>
            <w:vAlign w:val="center"/>
          </w:tcPr>
          <w:p w14:paraId="4F4F01D6">
            <w:pPr>
              <w:widowControl/>
              <w:spacing w:line="240" w:lineRule="auto"/>
              <w:jc w:val="center"/>
              <w:rPr>
                <w:rFonts w:hint="eastAsia" w:ascii="仿宋" w:hAnsi="仿宋" w:eastAsia="仿宋" w:cs="仿宋"/>
                <w:b w:val="0"/>
                <w:bCs w:val="0"/>
                <w:kern w:val="0"/>
                <w:sz w:val="20"/>
                <w:szCs w:val="20"/>
              </w:rPr>
            </w:pPr>
          </w:p>
        </w:tc>
        <w:tc>
          <w:tcPr>
            <w:tcW w:w="1832" w:type="dxa"/>
            <w:gridSpan w:val="2"/>
            <w:noWrap w:val="0"/>
            <w:vAlign w:val="center"/>
          </w:tcPr>
          <w:p w14:paraId="08E8880C">
            <w:pPr>
              <w:widowControl/>
              <w:spacing w:line="240" w:lineRule="auto"/>
              <w:jc w:val="center"/>
              <w:rPr>
                <w:rFonts w:hint="eastAsia" w:ascii="仿宋" w:hAnsi="仿宋" w:eastAsia="仿宋" w:cs="仿宋"/>
                <w:b w:val="0"/>
                <w:bCs w:val="0"/>
                <w:kern w:val="0"/>
                <w:sz w:val="20"/>
                <w:szCs w:val="20"/>
              </w:rPr>
            </w:pPr>
          </w:p>
        </w:tc>
      </w:tr>
      <w:tr w14:paraId="4A98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804" w:type="dxa"/>
            <w:noWrap w:val="0"/>
            <w:vAlign w:val="center"/>
          </w:tcPr>
          <w:p w14:paraId="408DD44F">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1588" w:type="dxa"/>
            <w:gridSpan w:val="2"/>
            <w:noWrap w:val="0"/>
            <w:vAlign w:val="center"/>
          </w:tcPr>
          <w:p w14:paraId="1DA40B45">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52.7</w:t>
            </w:r>
          </w:p>
        </w:tc>
        <w:tc>
          <w:tcPr>
            <w:tcW w:w="2240" w:type="dxa"/>
            <w:gridSpan w:val="2"/>
            <w:noWrap w:val="0"/>
            <w:vAlign w:val="center"/>
          </w:tcPr>
          <w:p w14:paraId="6B979A1F">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51</w:t>
            </w:r>
          </w:p>
        </w:tc>
        <w:tc>
          <w:tcPr>
            <w:tcW w:w="1832" w:type="dxa"/>
            <w:gridSpan w:val="2"/>
            <w:noWrap w:val="0"/>
            <w:vAlign w:val="center"/>
          </w:tcPr>
          <w:p w14:paraId="4767C590">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47.31</w:t>
            </w:r>
          </w:p>
        </w:tc>
      </w:tr>
      <w:tr w14:paraId="7808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804" w:type="dxa"/>
            <w:noWrap w:val="0"/>
            <w:vAlign w:val="center"/>
          </w:tcPr>
          <w:p w14:paraId="5789513A">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1588" w:type="dxa"/>
            <w:gridSpan w:val="2"/>
            <w:noWrap w:val="0"/>
            <w:vAlign w:val="center"/>
          </w:tcPr>
          <w:p w14:paraId="4CE9CD4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w:t>
            </w:r>
          </w:p>
        </w:tc>
        <w:tc>
          <w:tcPr>
            <w:tcW w:w="2240" w:type="dxa"/>
            <w:gridSpan w:val="2"/>
            <w:noWrap w:val="0"/>
            <w:vAlign w:val="center"/>
          </w:tcPr>
          <w:p w14:paraId="6035BB77">
            <w:pPr>
              <w:widowControl/>
              <w:spacing w:line="240" w:lineRule="auto"/>
              <w:jc w:val="center"/>
              <w:rPr>
                <w:rFonts w:hint="eastAsia" w:ascii="仿宋" w:hAnsi="仿宋" w:eastAsia="仿宋" w:cs="仿宋"/>
                <w:b w:val="0"/>
                <w:bCs w:val="0"/>
                <w:kern w:val="0"/>
                <w:sz w:val="20"/>
                <w:szCs w:val="20"/>
              </w:rPr>
            </w:pPr>
          </w:p>
        </w:tc>
        <w:tc>
          <w:tcPr>
            <w:tcW w:w="1832" w:type="dxa"/>
            <w:gridSpan w:val="2"/>
            <w:noWrap w:val="0"/>
            <w:vAlign w:val="center"/>
          </w:tcPr>
          <w:p w14:paraId="590BA986">
            <w:pPr>
              <w:widowControl/>
              <w:spacing w:line="240" w:lineRule="auto"/>
              <w:jc w:val="center"/>
              <w:rPr>
                <w:rFonts w:hint="eastAsia" w:ascii="仿宋" w:hAnsi="仿宋" w:eastAsia="仿宋" w:cs="仿宋"/>
                <w:b w:val="0"/>
                <w:bCs w:val="0"/>
                <w:kern w:val="0"/>
                <w:sz w:val="20"/>
                <w:szCs w:val="20"/>
              </w:rPr>
            </w:pPr>
          </w:p>
        </w:tc>
      </w:tr>
      <w:tr w14:paraId="7F19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67F0518D">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1588" w:type="dxa"/>
            <w:gridSpan w:val="2"/>
            <w:noWrap w:val="0"/>
            <w:vAlign w:val="center"/>
          </w:tcPr>
          <w:p w14:paraId="4EA2E758">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0.78</w:t>
            </w:r>
          </w:p>
        </w:tc>
        <w:tc>
          <w:tcPr>
            <w:tcW w:w="2240" w:type="dxa"/>
            <w:gridSpan w:val="2"/>
            <w:noWrap w:val="0"/>
            <w:vAlign w:val="center"/>
          </w:tcPr>
          <w:p w14:paraId="77D54BBF">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2.3</w:t>
            </w:r>
          </w:p>
        </w:tc>
        <w:tc>
          <w:tcPr>
            <w:tcW w:w="1832" w:type="dxa"/>
            <w:gridSpan w:val="2"/>
            <w:noWrap w:val="0"/>
            <w:vAlign w:val="center"/>
          </w:tcPr>
          <w:p w14:paraId="1FA5962A">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0.87</w:t>
            </w:r>
          </w:p>
        </w:tc>
      </w:tr>
      <w:tr w14:paraId="4E96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754EDF61">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1588" w:type="dxa"/>
            <w:gridSpan w:val="2"/>
            <w:noWrap w:val="0"/>
            <w:vAlign w:val="center"/>
          </w:tcPr>
          <w:p w14:paraId="3DEC9632">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1857.48</w:t>
            </w:r>
          </w:p>
        </w:tc>
        <w:tc>
          <w:tcPr>
            <w:tcW w:w="2240" w:type="dxa"/>
            <w:gridSpan w:val="2"/>
            <w:noWrap w:val="0"/>
            <w:vAlign w:val="center"/>
          </w:tcPr>
          <w:p w14:paraId="175EAB82">
            <w:pPr>
              <w:widowControl/>
              <w:spacing w:line="240" w:lineRule="auto"/>
              <w:jc w:val="center"/>
              <w:rPr>
                <w:rFonts w:hint="eastAsia" w:ascii="仿宋" w:hAnsi="仿宋" w:eastAsia="仿宋" w:cs="仿宋"/>
                <w:b w:val="0"/>
                <w:bCs w:val="0"/>
                <w:kern w:val="0"/>
                <w:sz w:val="20"/>
                <w:szCs w:val="20"/>
              </w:rPr>
            </w:pPr>
          </w:p>
        </w:tc>
        <w:tc>
          <w:tcPr>
            <w:tcW w:w="1832" w:type="dxa"/>
            <w:gridSpan w:val="2"/>
            <w:noWrap w:val="0"/>
            <w:vAlign w:val="center"/>
          </w:tcPr>
          <w:p w14:paraId="3E738D91">
            <w:pPr>
              <w:widowControl/>
              <w:spacing w:line="240" w:lineRule="auto"/>
              <w:jc w:val="center"/>
              <w:rPr>
                <w:rFonts w:hint="eastAsia" w:ascii="仿宋" w:hAnsi="仿宋" w:eastAsia="仿宋" w:cs="仿宋"/>
                <w:b w:val="0"/>
                <w:bCs w:val="0"/>
                <w:kern w:val="0"/>
                <w:sz w:val="20"/>
                <w:szCs w:val="20"/>
              </w:rPr>
            </w:pPr>
          </w:p>
        </w:tc>
      </w:tr>
      <w:tr w14:paraId="0962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638EB060">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1588" w:type="dxa"/>
            <w:gridSpan w:val="2"/>
            <w:noWrap w:val="0"/>
            <w:vAlign w:val="center"/>
          </w:tcPr>
          <w:p w14:paraId="6B87D01E">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1375.5</w:t>
            </w:r>
          </w:p>
        </w:tc>
        <w:tc>
          <w:tcPr>
            <w:tcW w:w="2240" w:type="dxa"/>
            <w:gridSpan w:val="2"/>
            <w:noWrap w:val="0"/>
            <w:vAlign w:val="center"/>
          </w:tcPr>
          <w:p w14:paraId="2CC8D0B1">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1847.2</w:t>
            </w:r>
          </w:p>
        </w:tc>
        <w:tc>
          <w:tcPr>
            <w:tcW w:w="1832" w:type="dxa"/>
            <w:gridSpan w:val="2"/>
            <w:noWrap w:val="0"/>
            <w:vAlign w:val="center"/>
          </w:tcPr>
          <w:p w14:paraId="3CF8A4E6">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1353.1</w:t>
            </w:r>
          </w:p>
        </w:tc>
      </w:tr>
      <w:tr w14:paraId="3CC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5E4E1AC0">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1588" w:type="dxa"/>
            <w:gridSpan w:val="2"/>
            <w:noWrap w:val="0"/>
            <w:vAlign w:val="center"/>
          </w:tcPr>
          <w:p w14:paraId="753B698A">
            <w:pPr>
              <w:widowControl/>
              <w:spacing w:line="240" w:lineRule="auto"/>
              <w:jc w:val="center"/>
              <w:rPr>
                <w:rFonts w:hint="eastAsia" w:ascii="仿宋" w:hAnsi="仿宋" w:eastAsia="仿宋" w:cs="仿宋"/>
                <w:b w:val="0"/>
                <w:bCs w:val="0"/>
                <w:kern w:val="0"/>
                <w:sz w:val="20"/>
                <w:szCs w:val="20"/>
              </w:rPr>
            </w:pPr>
          </w:p>
        </w:tc>
        <w:tc>
          <w:tcPr>
            <w:tcW w:w="2240" w:type="dxa"/>
            <w:gridSpan w:val="2"/>
            <w:noWrap w:val="0"/>
            <w:vAlign w:val="center"/>
          </w:tcPr>
          <w:p w14:paraId="193ECD35">
            <w:pPr>
              <w:widowControl/>
              <w:spacing w:line="240" w:lineRule="auto"/>
              <w:jc w:val="center"/>
              <w:rPr>
                <w:rFonts w:hint="eastAsia" w:ascii="仿宋" w:hAnsi="仿宋" w:eastAsia="仿宋" w:cs="仿宋"/>
                <w:b w:val="0"/>
                <w:bCs w:val="0"/>
                <w:kern w:val="0"/>
                <w:sz w:val="20"/>
                <w:szCs w:val="20"/>
              </w:rPr>
            </w:pPr>
          </w:p>
        </w:tc>
        <w:tc>
          <w:tcPr>
            <w:tcW w:w="1832" w:type="dxa"/>
            <w:gridSpan w:val="2"/>
            <w:noWrap w:val="0"/>
            <w:vAlign w:val="center"/>
          </w:tcPr>
          <w:p w14:paraId="72C7F0A6">
            <w:pPr>
              <w:widowControl/>
              <w:spacing w:line="240" w:lineRule="auto"/>
              <w:jc w:val="center"/>
              <w:rPr>
                <w:rFonts w:hint="eastAsia" w:ascii="仿宋" w:hAnsi="仿宋" w:eastAsia="仿宋" w:cs="仿宋"/>
                <w:b w:val="0"/>
                <w:bCs w:val="0"/>
                <w:kern w:val="0"/>
                <w:sz w:val="20"/>
                <w:szCs w:val="20"/>
              </w:rPr>
            </w:pPr>
          </w:p>
        </w:tc>
      </w:tr>
      <w:tr w14:paraId="34F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04" w:type="dxa"/>
            <w:noWrap w:val="0"/>
            <w:vAlign w:val="center"/>
          </w:tcPr>
          <w:p w14:paraId="259A5F84">
            <w:pPr>
              <w:widowControl/>
              <w:spacing w:line="240" w:lineRule="auto"/>
              <w:ind w:firstLine="200" w:firstLineChars="1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3、中央专项资金（重大传染病防控）</w:t>
            </w:r>
          </w:p>
        </w:tc>
        <w:tc>
          <w:tcPr>
            <w:tcW w:w="1588" w:type="dxa"/>
            <w:gridSpan w:val="2"/>
            <w:noWrap w:val="0"/>
            <w:vAlign w:val="center"/>
          </w:tcPr>
          <w:p w14:paraId="4E725577">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270</w:t>
            </w:r>
          </w:p>
        </w:tc>
        <w:tc>
          <w:tcPr>
            <w:tcW w:w="2240" w:type="dxa"/>
            <w:gridSpan w:val="2"/>
            <w:noWrap w:val="0"/>
            <w:vAlign w:val="center"/>
          </w:tcPr>
          <w:p w14:paraId="0ACEEF83">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160.5</w:t>
            </w:r>
          </w:p>
        </w:tc>
        <w:tc>
          <w:tcPr>
            <w:tcW w:w="1832" w:type="dxa"/>
            <w:gridSpan w:val="2"/>
            <w:noWrap w:val="0"/>
            <w:vAlign w:val="center"/>
          </w:tcPr>
          <w:p w14:paraId="16DB7AE3">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160.5</w:t>
            </w:r>
          </w:p>
        </w:tc>
      </w:tr>
      <w:tr w14:paraId="01FE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0183A309">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 xml:space="preserve">  4</w:t>
            </w:r>
            <w:r>
              <w:rPr>
                <w:rFonts w:hint="eastAsia" w:ascii="仿宋" w:hAnsi="仿宋" w:eastAsia="仿宋" w:cs="仿宋"/>
                <w:b w:val="0"/>
                <w:bCs w:val="0"/>
                <w:kern w:val="0"/>
                <w:sz w:val="20"/>
                <w:szCs w:val="20"/>
              </w:rPr>
              <w:t>、市本级专项资金</w:t>
            </w:r>
          </w:p>
        </w:tc>
        <w:tc>
          <w:tcPr>
            <w:tcW w:w="1588" w:type="dxa"/>
            <w:gridSpan w:val="2"/>
            <w:noWrap w:val="0"/>
            <w:vAlign w:val="center"/>
          </w:tcPr>
          <w:p w14:paraId="729A589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211.98</w:t>
            </w:r>
          </w:p>
        </w:tc>
        <w:tc>
          <w:tcPr>
            <w:tcW w:w="2240" w:type="dxa"/>
            <w:gridSpan w:val="2"/>
            <w:noWrap w:val="0"/>
            <w:vAlign w:val="center"/>
          </w:tcPr>
          <w:p w14:paraId="43B902D0">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168.49</w:t>
            </w:r>
          </w:p>
        </w:tc>
        <w:tc>
          <w:tcPr>
            <w:tcW w:w="1832" w:type="dxa"/>
            <w:gridSpan w:val="2"/>
            <w:noWrap w:val="0"/>
            <w:vAlign w:val="center"/>
          </w:tcPr>
          <w:p w14:paraId="6D873811">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168.49</w:t>
            </w:r>
          </w:p>
        </w:tc>
      </w:tr>
      <w:tr w14:paraId="7C45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0F6BBBA2">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（1）血液检测专项经费</w:t>
            </w:r>
          </w:p>
        </w:tc>
        <w:tc>
          <w:tcPr>
            <w:tcW w:w="1588" w:type="dxa"/>
            <w:gridSpan w:val="2"/>
            <w:noWrap w:val="0"/>
            <w:vAlign w:val="center"/>
          </w:tcPr>
          <w:p w14:paraId="2321D59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101</w:t>
            </w:r>
          </w:p>
        </w:tc>
        <w:tc>
          <w:tcPr>
            <w:tcW w:w="2240" w:type="dxa"/>
            <w:gridSpan w:val="2"/>
            <w:noWrap w:val="0"/>
            <w:vAlign w:val="center"/>
          </w:tcPr>
          <w:p w14:paraId="720C5808">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101</w:t>
            </w:r>
          </w:p>
        </w:tc>
        <w:tc>
          <w:tcPr>
            <w:tcW w:w="1832" w:type="dxa"/>
            <w:gridSpan w:val="2"/>
            <w:noWrap w:val="0"/>
            <w:vAlign w:val="center"/>
          </w:tcPr>
          <w:p w14:paraId="0CF2135E">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101</w:t>
            </w:r>
          </w:p>
        </w:tc>
      </w:tr>
      <w:tr w14:paraId="4D6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061F7D6D">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（2）献血者及其亲属用血费用报销</w:t>
            </w:r>
          </w:p>
        </w:tc>
        <w:tc>
          <w:tcPr>
            <w:tcW w:w="1588" w:type="dxa"/>
            <w:gridSpan w:val="2"/>
            <w:noWrap w:val="0"/>
            <w:vAlign w:val="center"/>
          </w:tcPr>
          <w:p w14:paraId="3F050135">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50</w:t>
            </w:r>
          </w:p>
        </w:tc>
        <w:tc>
          <w:tcPr>
            <w:tcW w:w="2240" w:type="dxa"/>
            <w:gridSpan w:val="2"/>
            <w:noWrap w:val="0"/>
            <w:vAlign w:val="center"/>
          </w:tcPr>
          <w:p w14:paraId="31616BB0">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205EF959">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r>
      <w:tr w14:paraId="4BA3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44FF6412">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（3）血液检测离心机等设备购置（一般债券）</w:t>
            </w:r>
          </w:p>
        </w:tc>
        <w:tc>
          <w:tcPr>
            <w:tcW w:w="1588" w:type="dxa"/>
            <w:gridSpan w:val="2"/>
            <w:noWrap w:val="0"/>
            <w:vAlign w:val="center"/>
          </w:tcPr>
          <w:p w14:paraId="20F5BE44">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12.37</w:t>
            </w:r>
          </w:p>
        </w:tc>
        <w:tc>
          <w:tcPr>
            <w:tcW w:w="2240" w:type="dxa"/>
            <w:gridSpan w:val="2"/>
            <w:noWrap w:val="0"/>
            <w:vAlign w:val="center"/>
          </w:tcPr>
          <w:p w14:paraId="57FF4032">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7.13</w:t>
            </w:r>
          </w:p>
        </w:tc>
        <w:tc>
          <w:tcPr>
            <w:tcW w:w="1832" w:type="dxa"/>
            <w:gridSpan w:val="2"/>
            <w:noWrap w:val="0"/>
            <w:vAlign w:val="center"/>
          </w:tcPr>
          <w:p w14:paraId="368C89AA">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7.13</w:t>
            </w:r>
          </w:p>
        </w:tc>
      </w:tr>
      <w:tr w14:paraId="085A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3CED056F">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（4）房屋建筑安全隐患整改专项经费</w:t>
            </w:r>
          </w:p>
        </w:tc>
        <w:tc>
          <w:tcPr>
            <w:tcW w:w="1588" w:type="dxa"/>
            <w:gridSpan w:val="2"/>
            <w:noWrap w:val="0"/>
            <w:vAlign w:val="center"/>
          </w:tcPr>
          <w:p w14:paraId="144BC208">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38</w:t>
            </w:r>
          </w:p>
        </w:tc>
        <w:tc>
          <w:tcPr>
            <w:tcW w:w="2240" w:type="dxa"/>
            <w:gridSpan w:val="2"/>
            <w:noWrap w:val="0"/>
            <w:vAlign w:val="center"/>
          </w:tcPr>
          <w:p w14:paraId="460AD537">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10.36</w:t>
            </w:r>
          </w:p>
        </w:tc>
        <w:tc>
          <w:tcPr>
            <w:tcW w:w="1832" w:type="dxa"/>
            <w:gridSpan w:val="2"/>
            <w:noWrap w:val="0"/>
            <w:vAlign w:val="center"/>
          </w:tcPr>
          <w:p w14:paraId="7AD65726">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10.36</w:t>
            </w:r>
          </w:p>
        </w:tc>
      </w:tr>
      <w:tr w14:paraId="104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04" w:type="dxa"/>
            <w:noWrap w:val="0"/>
            <w:vAlign w:val="center"/>
          </w:tcPr>
          <w:p w14:paraId="4AFAF5FC">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（5）新冠肺炎疫情防控项目</w:t>
            </w:r>
          </w:p>
        </w:tc>
        <w:tc>
          <w:tcPr>
            <w:tcW w:w="1588" w:type="dxa"/>
            <w:gridSpan w:val="2"/>
            <w:noWrap w:val="0"/>
            <w:vAlign w:val="center"/>
          </w:tcPr>
          <w:p w14:paraId="39D85C07">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10.61</w:t>
            </w:r>
          </w:p>
        </w:tc>
        <w:tc>
          <w:tcPr>
            <w:tcW w:w="2240" w:type="dxa"/>
            <w:gridSpan w:val="2"/>
            <w:noWrap w:val="0"/>
            <w:vAlign w:val="center"/>
          </w:tcPr>
          <w:p w14:paraId="6698195E">
            <w:pPr>
              <w:widowControl/>
              <w:spacing w:line="240" w:lineRule="auto"/>
              <w:jc w:val="center"/>
              <w:rPr>
                <w:rFonts w:hint="eastAsia" w:ascii="仿宋" w:hAnsi="仿宋" w:eastAsia="仿宋" w:cs="仿宋"/>
                <w:b w:val="0"/>
                <w:bCs w:val="0"/>
                <w:kern w:val="0"/>
                <w:sz w:val="20"/>
                <w:szCs w:val="20"/>
              </w:rPr>
            </w:pPr>
          </w:p>
        </w:tc>
        <w:tc>
          <w:tcPr>
            <w:tcW w:w="1832" w:type="dxa"/>
            <w:gridSpan w:val="2"/>
            <w:noWrap w:val="0"/>
            <w:vAlign w:val="center"/>
          </w:tcPr>
          <w:p w14:paraId="2F60F969">
            <w:pPr>
              <w:widowControl/>
              <w:spacing w:line="240" w:lineRule="auto"/>
              <w:jc w:val="center"/>
              <w:rPr>
                <w:rFonts w:hint="eastAsia" w:ascii="仿宋" w:hAnsi="仿宋" w:eastAsia="仿宋" w:cs="仿宋"/>
                <w:b w:val="0"/>
                <w:bCs w:val="0"/>
                <w:kern w:val="0"/>
                <w:sz w:val="20"/>
                <w:szCs w:val="20"/>
              </w:rPr>
            </w:pPr>
          </w:p>
        </w:tc>
      </w:tr>
      <w:tr w14:paraId="750F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0CBD33CB">
            <w:pPr>
              <w:widowControl/>
              <w:spacing w:line="240" w:lineRule="auto"/>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1588" w:type="dxa"/>
            <w:gridSpan w:val="2"/>
            <w:noWrap w:val="0"/>
            <w:vAlign w:val="center"/>
          </w:tcPr>
          <w:p w14:paraId="36502434">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109.65</w:t>
            </w:r>
          </w:p>
        </w:tc>
        <w:tc>
          <w:tcPr>
            <w:tcW w:w="2240" w:type="dxa"/>
            <w:gridSpan w:val="2"/>
            <w:noWrap w:val="0"/>
            <w:vAlign w:val="center"/>
          </w:tcPr>
          <w:p w14:paraId="74B1DF2B">
            <w:pPr>
              <w:widowControl/>
              <w:spacing w:line="240" w:lineRule="auto"/>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95.91</w:t>
            </w:r>
          </w:p>
        </w:tc>
        <w:tc>
          <w:tcPr>
            <w:tcW w:w="1832" w:type="dxa"/>
            <w:gridSpan w:val="2"/>
            <w:noWrap w:val="0"/>
            <w:vAlign w:val="center"/>
          </w:tcPr>
          <w:p w14:paraId="2C3510C2">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95.91</w:t>
            </w:r>
          </w:p>
        </w:tc>
      </w:tr>
      <w:tr w14:paraId="04FF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031C5345">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1588" w:type="dxa"/>
            <w:gridSpan w:val="2"/>
            <w:noWrap w:val="0"/>
            <w:vAlign w:val="center"/>
          </w:tcPr>
          <w:p w14:paraId="492B11C2">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10.95</w:t>
            </w:r>
          </w:p>
        </w:tc>
        <w:tc>
          <w:tcPr>
            <w:tcW w:w="2240" w:type="dxa"/>
            <w:gridSpan w:val="2"/>
            <w:noWrap w:val="0"/>
            <w:vAlign w:val="center"/>
          </w:tcPr>
          <w:p w14:paraId="3002A724">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1832" w:type="dxa"/>
            <w:gridSpan w:val="2"/>
            <w:noWrap w:val="0"/>
            <w:vAlign w:val="center"/>
          </w:tcPr>
          <w:p w14:paraId="5D31D37B">
            <w:pPr>
              <w:widowControl/>
              <w:spacing w:line="240" w:lineRule="auto"/>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7.52</w:t>
            </w:r>
          </w:p>
        </w:tc>
      </w:tr>
      <w:tr w14:paraId="3490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7B09FBE4">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1588" w:type="dxa"/>
            <w:gridSpan w:val="2"/>
            <w:noWrap w:val="0"/>
            <w:vAlign w:val="center"/>
          </w:tcPr>
          <w:p w14:paraId="06CE900D">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1.4</w:t>
            </w:r>
          </w:p>
        </w:tc>
        <w:tc>
          <w:tcPr>
            <w:tcW w:w="2240" w:type="dxa"/>
            <w:gridSpan w:val="2"/>
            <w:noWrap w:val="0"/>
            <w:vAlign w:val="center"/>
          </w:tcPr>
          <w:p w14:paraId="2DCED27E">
            <w:pPr>
              <w:widowControl/>
              <w:spacing w:line="240" w:lineRule="auto"/>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39EDD185">
            <w:pPr>
              <w:widowControl/>
              <w:spacing w:line="240" w:lineRule="auto"/>
              <w:jc w:val="center"/>
              <w:rPr>
                <w:rFonts w:hint="eastAsia" w:ascii="仿宋" w:hAnsi="仿宋" w:eastAsia="仿宋" w:cs="仿宋"/>
                <w:b w:val="0"/>
                <w:bCs w:val="0"/>
                <w:kern w:val="0"/>
                <w:sz w:val="20"/>
                <w:szCs w:val="20"/>
                <w:lang w:val="en-US" w:eastAsia="zh-CN"/>
              </w:rPr>
            </w:pPr>
          </w:p>
        </w:tc>
      </w:tr>
      <w:tr w14:paraId="3B05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04" w:type="dxa"/>
            <w:noWrap w:val="0"/>
            <w:vAlign w:val="center"/>
          </w:tcPr>
          <w:p w14:paraId="0DF9C014">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1588" w:type="dxa"/>
            <w:gridSpan w:val="2"/>
            <w:noWrap w:val="0"/>
            <w:vAlign w:val="center"/>
          </w:tcPr>
          <w:p w14:paraId="19B65476">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6.4</w:t>
            </w:r>
          </w:p>
        </w:tc>
        <w:tc>
          <w:tcPr>
            <w:tcW w:w="2240" w:type="dxa"/>
            <w:gridSpan w:val="2"/>
            <w:noWrap w:val="0"/>
            <w:vAlign w:val="center"/>
          </w:tcPr>
          <w:p w14:paraId="720CE61D">
            <w:pPr>
              <w:widowControl/>
              <w:spacing w:line="240" w:lineRule="auto"/>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11.7</w:t>
            </w:r>
          </w:p>
        </w:tc>
        <w:tc>
          <w:tcPr>
            <w:tcW w:w="1832" w:type="dxa"/>
            <w:gridSpan w:val="2"/>
            <w:noWrap w:val="0"/>
            <w:vAlign w:val="center"/>
          </w:tcPr>
          <w:p w14:paraId="2FAD3E66">
            <w:pPr>
              <w:widowControl/>
              <w:spacing w:line="240" w:lineRule="auto"/>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5.38</w:t>
            </w:r>
          </w:p>
        </w:tc>
      </w:tr>
      <w:tr w14:paraId="4D6E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176DEA04">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1588" w:type="dxa"/>
            <w:gridSpan w:val="2"/>
            <w:noWrap w:val="0"/>
            <w:vAlign w:val="center"/>
          </w:tcPr>
          <w:p w14:paraId="2E309D4A">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8766A16">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1826.21</w:t>
            </w:r>
          </w:p>
        </w:tc>
        <w:tc>
          <w:tcPr>
            <w:tcW w:w="1832" w:type="dxa"/>
            <w:gridSpan w:val="2"/>
            <w:noWrap w:val="0"/>
            <w:vAlign w:val="center"/>
          </w:tcPr>
          <w:p w14:paraId="7D8E0AB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1479.31</w:t>
            </w:r>
          </w:p>
        </w:tc>
      </w:tr>
      <w:tr w14:paraId="5341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4" w:type="dxa"/>
            <w:noWrap w:val="0"/>
            <w:vAlign w:val="center"/>
          </w:tcPr>
          <w:p w14:paraId="47E36597">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1588" w:type="dxa"/>
            <w:gridSpan w:val="2"/>
            <w:noWrap w:val="0"/>
            <w:vAlign w:val="center"/>
          </w:tcPr>
          <w:p w14:paraId="28A2DFC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5BDD58D3">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91.34</w:t>
            </w:r>
          </w:p>
        </w:tc>
        <w:tc>
          <w:tcPr>
            <w:tcW w:w="1832" w:type="dxa"/>
            <w:gridSpan w:val="2"/>
            <w:noWrap w:val="0"/>
            <w:vAlign w:val="center"/>
          </w:tcPr>
          <w:p w14:paraId="5F085754">
            <w:pPr>
              <w:widowControl/>
              <w:spacing w:line="240" w:lineRule="auto"/>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91.34</w:t>
            </w:r>
          </w:p>
        </w:tc>
      </w:tr>
      <w:tr w14:paraId="467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804" w:type="dxa"/>
            <w:vMerge w:val="restart"/>
            <w:noWrap w:val="0"/>
            <w:vAlign w:val="center"/>
          </w:tcPr>
          <w:p w14:paraId="2BBF42DB">
            <w:pPr>
              <w:widowControl/>
              <w:spacing w:line="240" w:lineRule="auto"/>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739" w:type="dxa"/>
            <w:noWrap w:val="0"/>
            <w:vAlign w:val="center"/>
          </w:tcPr>
          <w:p w14:paraId="58CE042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7066E88">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3915F0C7">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w:t>
            </w:r>
          </w:p>
          <w:p w14:paraId="3A434E86">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c>
          <w:tcPr>
            <w:tcW w:w="1111" w:type="dxa"/>
            <w:noWrap w:val="0"/>
            <w:vAlign w:val="center"/>
          </w:tcPr>
          <w:p w14:paraId="2507725A">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5F4B1894">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437FCE95">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605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04" w:type="dxa"/>
            <w:vMerge w:val="continue"/>
            <w:noWrap w:val="0"/>
            <w:vAlign w:val="center"/>
          </w:tcPr>
          <w:p w14:paraId="4F4FCB59">
            <w:pPr>
              <w:widowControl/>
              <w:spacing w:line="240" w:lineRule="auto"/>
              <w:jc w:val="left"/>
              <w:rPr>
                <w:rFonts w:hint="eastAsia" w:ascii="仿宋" w:hAnsi="仿宋" w:eastAsia="仿宋" w:cs="仿宋"/>
                <w:b w:val="0"/>
                <w:bCs w:val="0"/>
                <w:kern w:val="0"/>
                <w:sz w:val="20"/>
                <w:szCs w:val="20"/>
              </w:rPr>
            </w:pPr>
          </w:p>
        </w:tc>
        <w:tc>
          <w:tcPr>
            <w:tcW w:w="739" w:type="dxa"/>
            <w:noWrap w:val="0"/>
            <w:vAlign w:val="center"/>
          </w:tcPr>
          <w:p w14:paraId="40CD71A9">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5AFD097B">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145CA048">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278CFABC">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1DEF7588">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27617B42">
            <w:pPr>
              <w:widowControl/>
              <w:spacing w:line="240" w:lineRule="auto"/>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B78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04" w:type="dxa"/>
            <w:noWrap w:val="0"/>
            <w:vAlign w:val="center"/>
          </w:tcPr>
          <w:p w14:paraId="083B45A7">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5660" w:type="dxa"/>
            <w:gridSpan w:val="6"/>
            <w:noWrap w:val="0"/>
            <w:vAlign w:val="center"/>
          </w:tcPr>
          <w:p w14:paraId="314E2748">
            <w:pPr>
              <w:widowControl/>
              <w:spacing w:line="240" w:lineRule="auto"/>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压减三公经费，压减会议费、培训费、差旅费</w:t>
            </w:r>
            <w:r>
              <w:rPr>
                <w:rFonts w:hint="eastAsia" w:ascii="仿宋" w:hAnsi="仿宋" w:eastAsia="仿宋" w:cs="仿宋"/>
                <w:b w:val="0"/>
                <w:bCs w:val="0"/>
                <w:kern w:val="0"/>
                <w:sz w:val="20"/>
                <w:szCs w:val="20"/>
              </w:rPr>
              <w:t>　</w:t>
            </w:r>
          </w:p>
        </w:tc>
      </w:tr>
    </w:tbl>
    <w:p w14:paraId="7898A8B4">
      <w:pPr>
        <w:pStyle w:val="18"/>
        <w:keepNext/>
        <w:keepLines/>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B64F0FA">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sectPr>
          <w:footerReference r:id="rId3" w:type="default"/>
          <w:pgSz w:w="11906" w:h="16838"/>
          <w:pgMar w:top="1134" w:right="1800" w:bottom="1134" w:left="1587" w:header="851" w:footer="992" w:gutter="0"/>
          <w:cols w:space="425" w:num="1"/>
          <w:docGrid w:type="lines" w:linePitch="312" w:charSpace="0"/>
        </w:sect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谢凌倩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2025.6.17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13397458728</w:t>
      </w:r>
    </w:p>
    <w:p w14:paraId="731CB2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2D8B85A">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3"/>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5"/>
        <w:gridCol w:w="1170"/>
        <w:gridCol w:w="1485"/>
        <w:gridCol w:w="1155"/>
        <w:gridCol w:w="1140"/>
        <w:gridCol w:w="555"/>
        <w:gridCol w:w="495"/>
        <w:gridCol w:w="549"/>
        <w:gridCol w:w="832"/>
      </w:tblGrid>
      <w:tr w14:paraId="51B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6" w:type="dxa"/>
            <w:noWrap w:val="0"/>
            <w:vAlign w:val="center"/>
          </w:tcPr>
          <w:p w14:paraId="19996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446" w:type="dxa"/>
            <w:gridSpan w:val="9"/>
            <w:noWrap w:val="0"/>
            <w:vAlign w:val="center"/>
          </w:tcPr>
          <w:p w14:paraId="34DDD8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怀化市中心血站</w:t>
            </w:r>
          </w:p>
        </w:tc>
      </w:tr>
      <w:tr w14:paraId="7D5E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6" w:type="dxa"/>
            <w:vMerge w:val="restart"/>
            <w:noWrap w:val="0"/>
            <w:vAlign w:val="center"/>
          </w:tcPr>
          <w:p w14:paraId="03BBC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21FBB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35" w:type="dxa"/>
            <w:gridSpan w:val="2"/>
            <w:noWrap w:val="0"/>
            <w:vAlign w:val="center"/>
          </w:tcPr>
          <w:p w14:paraId="57DC3A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485" w:type="dxa"/>
            <w:noWrap w:val="0"/>
            <w:vAlign w:val="center"/>
          </w:tcPr>
          <w:p w14:paraId="3F670A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145925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155" w:type="dxa"/>
            <w:noWrap w:val="0"/>
            <w:vAlign w:val="center"/>
          </w:tcPr>
          <w:p w14:paraId="5B01EE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40" w:type="dxa"/>
            <w:noWrap w:val="0"/>
            <w:vAlign w:val="center"/>
          </w:tcPr>
          <w:p w14:paraId="141BB8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A1DDF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555" w:type="dxa"/>
            <w:noWrap w:val="0"/>
            <w:vAlign w:val="center"/>
          </w:tcPr>
          <w:p w14:paraId="0BD7E8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44" w:type="dxa"/>
            <w:gridSpan w:val="2"/>
            <w:noWrap w:val="0"/>
            <w:vAlign w:val="center"/>
          </w:tcPr>
          <w:p w14:paraId="1797FD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832" w:type="dxa"/>
            <w:noWrap w:val="0"/>
            <w:vAlign w:val="center"/>
          </w:tcPr>
          <w:p w14:paraId="4D9DCE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BD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6" w:type="dxa"/>
            <w:vMerge w:val="continue"/>
            <w:noWrap w:val="0"/>
            <w:vAlign w:val="center"/>
          </w:tcPr>
          <w:p w14:paraId="7567B6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235" w:type="dxa"/>
            <w:gridSpan w:val="2"/>
            <w:noWrap w:val="0"/>
            <w:vAlign w:val="center"/>
          </w:tcPr>
          <w:p w14:paraId="535DA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w:t>
            </w:r>
          </w:p>
        </w:tc>
        <w:tc>
          <w:tcPr>
            <w:tcW w:w="1485" w:type="dxa"/>
            <w:noWrap w:val="0"/>
            <w:vAlign w:val="center"/>
          </w:tcPr>
          <w:p w14:paraId="000668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3306.27</w:t>
            </w:r>
          </w:p>
        </w:tc>
        <w:tc>
          <w:tcPr>
            <w:tcW w:w="1155" w:type="dxa"/>
            <w:noWrap w:val="0"/>
            <w:vAlign w:val="center"/>
          </w:tcPr>
          <w:p w14:paraId="4961B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3081.50</w:t>
            </w:r>
          </w:p>
        </w:tc>
        <w:tc>
          <w:tcPr>
            <w:tcW w:w="1140" w:type="dxa"/>
            <w:noWrap w:val="0"/>
            <w:vAlign w:val="center"/>
          </w:tcPr>
          <w:p w14:paraId="7BA63C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3081.50</w:t>
            </w:r>
          </w:p>
        </w:tc>
        <w:tc>
          <w:tcPr>
            <w:tcW w:w="555" w:type="dxa"/>
            <w:noWrap w:val="0"/>
            <w:vAlign w:val="center"/>
          </w:tcPr>
          <w:p w14:paraId="5273CE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044" w:type="dxa"/>
            <w:gridSpan w:val="2"/>
            <w:noWrap w:val="0"/>
            <w:vAlign w:val="center"/>
          </w:tcPr>
          <w:p w14:paraId="28BC49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32" w:type="dxa"/>
            <w:noWrap w:val="0"/>
            <w:vAlign w:val="center"/>
          </w:tcPr>
          <w:p w14:paraId="4E7201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6A05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6" w:type="dxa"/>
            <w:vMerge w:val="continue"/>
            <w:noWrap w:val="0"/>
            <w:vAlign w:val="center"/>
          </w:tcPr>
          <w:p w14:paraId="0AE85E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0C9A2B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571" w:type="dxa"/>
            <w:gridSpan w:val="5"/>
            <w:noWrap w:val="0"/>
            <w:vAlign w:val="center"/>
          </w:tcPr>
          <w:p w14:paraId="58C618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A2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6" w:type="dxa"/>
            <w:vMerge w:val="continue"/>
            <w:noWrap w:val="0"/>
            <w:vAlign w:val="center"/>
          </w:tcPr>
          <w:p w14:paraId="72D0B2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61AD4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其中：一般公共预算：</w:t>
            </w:r>
            <w:r>
              <w:rPr>
                <w:rFonts w:hint="eastAsia" w:ascii="仿宋" w:hAnsi="仿宋" w:eastAsia="仿宋" w:cs="仿宋"/>
                <w:color w:val="000000"/>
                <w:kern w:val="0"/>
                <w:sz w:val="20"/>
                <w:szCs w:val="20"/>
                <w:lang w:val="en-US" w:eastAsia="zh-CN"/>
              </w:rPr>
              <w:t>1315.50</w:t>
            </w:r>
          </w:p>
        </w:tc>
        <w:tc>
          <w:tcPr>
            <w:tcW w:w="3571" w:type="dxa"/>
            <w:gridSpan w:val="5"/>
            <w:noWrap w:val="0"/>
            <w:vAlign w:val="center"/>
          </w:tcPr>
          <w:p w14:paraId="4EE70A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1399.41</w:t>
            </w:r>
          </w:p>
        </w:tc>
      </w:tr>
      <w:tr w14:paraId="35A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16" w:type="dxa"/>
            <w:vMerge w:val="continue"/>
            <w:noWrap w:val="0"/>
            <w:vAlign w:val="center"/>
          </w:tcPr>
          <w:p w14:paraId="071294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53CE66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571" w:type="dxa"/>
            <w:gridSpan w:val="5"/>
            <w:noWrap w:val="0"/>
            <w:vAlign w:val="center"/>
          </w:tcPr>
          <w:p w14:paraId="5A6AB5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1682.10</w:t>
            </w:r>
          </w:p>
        </w:tc>
      </w:tr>
      <w:tr w14:paraId="3B0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6" w:type="dxa"/>
            <w:vMerge w:val="continue"/>
            <w:noWrap w:val="0"/>
            <w:vAlign w:val="center"/>
          </w:tcPr>
          <w:p w14:paraId="0BD78E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7FF7BD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1764.75</w:t>
            </w:r>
          </w:p>
        </w:tc>
        <w:tc>
          <w:tcPr>
            <w:tcW w:w="3571" w:type="dxa"/>
            <w:gridSpan w:val="5"/>
            <w:noWrap w:val="0"/>
            <w:vAlign w:val="center"/>
          </w:tcPr>
          <w:p w14:paraId="1AE2A5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105A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16" w:type="dxa"/>
            <w:vMerge w:val="continue"/>
            <w:noWrap w:val="0"/>
            <w:vAlign w:val="center"/>
          </w:tcPr>
          <w:p w14:paraId="6C11DC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196D20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1.26</w:t>
            </w:r>
          </w:p>
        </w:tc>
        <w:tc>
          <w:tcPr>
            <w:tcW w:w="3571" w:type="dxa"/>
            <w:gridSpan w:val="5"/>
            <w:noWrap w:val="0"/>
            <w:vAlign w:val="center"/>
          </w:tcPr>
          <w:p w14:paraId="7E50DD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D4E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16" w:type="dxa"/>
            <w:vMerge w:val="restart"/>
            <w:noWrap w:val="0"/>
            <w:vAlign w:val="center"/>
          </w:tcPr>
          <w:p w14:paraId="056214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875" w:type="dxa"/>
            <w:gridSpan w:val="4"/>
            <w:noWrap w:val="0"/>
            <w:vAlign w:val="center"/>
          </w:tcPr>
          <w:p w14:paraId="2D947C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571" w:type="dxa"/>
            <w:gridSpan w:val="5"/>
            <w:noWrap w:val="0"/>
            <w:vAlign w:val="center"/>
          </w:tcPr>
          <w:p w14:paraId="60CCD8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w:t>
            </w:r>
          </w:p>
        </w:tc>
      </w:tr>
      <w:tr w14:paraId="12DD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16" w:type="dxa"/>
            <w:vMerge w:val="continue"/>
            <w:noWrap w:val="0"/>
            <w:vAlign w:val="center"/>
          </w:tcPr>
          <w:p w14:paraId="545343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875" w:type="dxa"/>
            <w:gridSpan w:val="4"/>
            <w:noWrap w:val="0"/>
            <w:vAlign w:val="center"/>
          </w:tcPr>
          <w:p w14:paraId="7DB231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以保障供血为目标，以保证质量为核心，以优质服务为宗旨，坚持“规范管理、优质服务、保障供应、保证安全”的质量方针，完善“行政、质量、绩效”三大管理机制，继续深化“服务、质量、纪律、作风”</w:t>
            </w:r>
            <w:r>
              <w:rPr>
                <w:rFonts w:hint="eastAsia" w:ascii="仿宋" w:hAnsi="仿宋" w:eastAsia="仿宋" w:cs="仿宋"/>
                <w:color w:val="000000"/>
                <w:kern w:val="0"/>
                <w:sz w:val="20"/>
                <w:szCs w:val="20"/>
                <w:lang w:eastAsia="zh-CN"/>
              </w:rPr>
              <w:t>“四个意识”</w:t>
            </w:r>
            <w:r>
              <w:rPr>
                <w:rFonts w:hint="eastAsia" w:ascii="仿宋" w:hAnsi="仿宋" w:eastAsia="仿宋" w:cs="仿宋"/>
                <w:color w:val="000000"/>
                <w:kern w:val="0"/>
                <w:sz w:val="20"/>
                <w:szCs w:val="20"/>
              </w:rPr>
              <w:t>教育，按照“培育献血者、方便献血者、服务献血者、宣传献血者”的工作思路，着力完善献血者队伍管理，开拓创新无偿献血宣传招募机制，科学合理调度血液供应，开源节流，做好我市血液采集供应和血液安全工作，为我市经济建设和社会发展服好务。</w:t>
            </w:r>
          </w:p>
        </w:tc>
        <w:tc>
          <w:tcPr>
            <w:tcW w:w="3571" w:type="dxa"/>
            <w:gridSpan w:val="5"/>
            <w:noWrap w:val="0"/>
            <w:vAlign w:val="center"/>
          </w:tcPr>
          <w:p w14:paraId="35BB70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2024年全市累计37261人次参加无偿献血，捐献血液14.08吨，自愿无偿献血率100%</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其中捐献全血35503人次，13.45吨</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单采成分血1758人次，3180个治疗量。2024年临床供血总量27.24吨，未发生血液质量安全事故。全市临床用血100%来自自愿无偿献血，满足全市临床用血需求</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临床用血合格100%，巩固血站核酸检测全覆盖，提高血液安全水平，核酸检测</w:t>
            </w:r>
            <w:r>
              <w:rPr>
                <w:rFonts w:hint="eastAsia" w:ascii="仿宋" w:hAnsi="仿宋" w:eastAsia="仿宋" w:cs="仿宋"/>
                <w:color w:val="000000"/>
                <w:kern w:val="0"/>
                <w:sz w:val="20"/>
                <w:szCs w:val="20"/>
                <w:lang w:eastAsia="zh-CN"/>
              </w:rPr>
              <w:t>覆盖</w:t>
            </w:r>
            <w:r>
              <w:rPr>
                <w:rFonts w:hint="eastAsia" w:ascii="仿宋" w:hAnsi="仿宋" w:eastAsia="仿宋" w:cs="仿宋"/>
                <w:color w:val="000000"/>
                <w:kern w:val="0"/>
                <w:sz w:val="20"/>
                <w:szCs w:val="20"/>
              </w:rPr>
              <w:t>率达100%。</w:t>
            </w:r>
          </w:p>
        </w:tc>
      </w:tr>
      <w:tr w14:paraId="27B1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noWrap w:val="0"/>
            <w:vAlign w:val="center"/>
          </w:tcPr>
          <w:p w14:paraId="6FCA9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5804F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252A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31B8E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65" w:type="dxa"/>
            <w:noWrap w:val="0"/>
            <w:vAlign w:val="center"/>
          </w:tcPr>
          <w:p w14:paraId="3C2FDE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70" w:type="dxa"/>
            <w:noWrap w:val="0"/>
            <w:vAlign w:val="center"/>
          </w:tcPr>
          <w:p w14:paraId="2BF894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85" w:type="dxa"/>
            <w:noWrap w:val="0"/>
            <w:vAlign w:val="center"/>
          </w:tcPr>
          <w:p w14:paraId="32FBCC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55" w:type="dxa"/>
            <w:noWrap w:val="0"/>
            <w:vAlign w:val="center"/>
          </w:tcPr>
          <w:p w14:paraId="7A93A2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8981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40" w:type="dxa"/>
            <w:noWrap w:val="0"/>
            <w:vAlign w:val="center"/>
          </w:tcPr>
          <w:p w14:paraId="06C50A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2B7F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555" w:type="dxa"/>
            <w:noWrap w:val="0"/>
            <w:vAlign w:val="center"/>
          </w:tcPr>
          <w:p w14:paraId="07E41D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95" w:type="dxa"/>
            <w:noWrap w:val="0"/>
            <w:vAlign w:val="center"/>
          </w:tcPr>
          <w:p w14:paraId="600F42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381" w:type="dxa"/>
            <w:gridSpan w:val="2"/>
            <w:noWrap w:val="0"/>
            <w:vAlign w:val="top"/>
          </w:tcPr>
          <w:p w14:paraId="72D5A1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w:t>
            </w:r>
            <w:r>
              <w:rPr>
                <w:rFonts w:hint="eastAsia" w:ascii="仿宋" w:hAnsi="仿宋" w:eastAsia="仿宋" w:cs="仿宋"/>
                <w:color w:val="000000"/>
                <w:w w:val="90"/>
                <w:kern w:val="0"/>
                <w:sz w:val="20"/>
                <w:szCs w:val="20"/>
              </w:rPr>
              <w:t>析及改进</w:t>
            </w:r>
            <w:r>
              <w:rPr>
                <w:rFonts w:hint="eastAsia" w:ascii="仿宋" w:hAnsi="仿宋" w:eastAsia="仿宋" w:cs="仿宋"/>
                <w:color w:val="000000"/>
                <w:w w:val="90"/>
                <w:kern w:val="0"/>
                <w:sz w:val="20"/>
                <w:szCs w:val="20"/>
                <w:lang w:val="en-US" w:eastAsia="zh-CN"/>
              </w:rPr>
              <w:t>措</w:t>
            </w:r>
            <w:r>
              <w:rPr>
                <w:rFonts w:hint="eastAsia" w:ascii="仿宋" w:hAnsi="仿宋" w:eastAsia="仿宋" w:cs="仿宋"/>
                <w:color w:val="000000"/>
                <w:w w:val="90"/>
                <w:kern w:val="0"/>
                <w:sz w:val="20"/>
                <w:szCs w:val="20"/>
              </w:rPr>
              <w:t>施</w:t>
            </w:r>
          </w:p>
        </w:tc>
      </w:tr>
      <w:tr w14:paraId="2F1E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6" w:type="dxa"/>
            <w:vMerge w:val="continue"/>
            <w:noWrap w:val="0"/>
            <w:vAlign w:val="center"/>
          </w:tcPr>
          <w:p w14:paraId="1C0E12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restart"/>
            <w:noWrap w:val="0"/>
            <w:vAlign w:val="center"/>
          </w:tcPr>
          <w:p w14:paraId="60D32D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170" w:type="dxa"/>
            <w:noWrap w:val="0"/>
            <w:vAlign w:val="center"/>
          </w:tcPr>
          <w:p w14:paraId="1C9D8D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85" w:type="dxa"/>
            <w:noWrap w:val="0"/>
            <w:vAlign w:val="center"/>
          </w:tcPr>
          <w:p w14:paraId="29DC4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整体成本控制</w:t>
            </w:r>
          </w:p>
        </w:tc>
        <w:tc>
          <w:tcPr>
            <w:tcW w:w="1155" w:type="dxa"/>
            <w:noWrap w:val="0"/>
            <w:vAlign w:val="center"/>
          </w:tcPr>
          <w:p w14:paraId="739DEA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≤3306.27万元</w:t>
            </w:r>
          </w:p>
        </w:tc>
        <w:tc>
          <w:tcPr>
            <w:tcW w:w="1140" w:type="dxa"/>
            <w:noWrap w:val="0"/>
            <w:vAlign w:val="center"/>
          </w:tcPr>
          <w:p w14:paraId="0B5D1E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3081.50万元</w:t>
            </w:r>
          </w:p>
        </w:tc>
        <w:tc>
          <w:tcPr>
            <w:tcW w:w="555" w:type="dxa"/>
            <w:noWrap w:val="0"/>
            <w:vAlign w:val="center"/>
          </w:tcPr>
          <w:p w14:paraId="587DA7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495" w:type="dxa"/>
            <w:noWrap w:val="0"/>
            <w:vAlign w:val="center"/>
          </w:tcPr>
          <w:p w14:paraId="2AA8D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381" w:type="dxa"/>
            <w:gridSpan w:val="2"/>
            <w:noWrap w:val="0"/>
            <w:vAlign w:val="center"/>
          </w:tcPr>
          <w:p w14:paraId="11578D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22F3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6" w:type="dxa"/>
            <w:vMerge w:val="continue"/>
            <w:noWrap w:val="0"/>
            <w:vAlign w:val="center"/>
          </w:tcPr>
          <w:p w14:paraId="5E2F2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07EBD2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0" w:type="dxa"/>
            <w:noWrap w:val="0"/>
            <w:vAlign w:val="center"/>
          </w:tcPr>
          <w:p w14:paraId="47F106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485" w:type="dxa"/>
            <w:noWrap w:val="0"/>
            <w:vAlign w:val="center"/>
          </w:tcPr>
          <w:p w14:paraId="6FDF36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5" w:type="dxa"/>
            <w:noWrap w:val="0"/>
            <w:vAlign w:val="center"/>
          </w:tcPr>
          <w:p w14:paraId="0D41C4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6F79E0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555" w:type="dxa"/>
            <w:noWrap w:val="0"/>
            <w:vAlign w:val="center"/>
          </w:tcPr>
          <w:p w14:paraId="7A8769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bookmarkStart w:id="0" w:name="_GoBack"/>
            <w:bookmarkEnd w:id="0"/>
          </w:p>
        </w:tc>
        <w:tc>
          <w:tcPr>
            <w:tcW w:w="495" w:type="dxa"/>
            <w:noWrap w:val="0"/>
            <w:vAlign w:val="center"/>
          </w:tcPr>
          <w:p w14:paraId="47CEC1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81" w:type="dxa"/>
            <w:gridSpan w:val="2"/>
            <w:noWrap w:val="0"/>
            <w:vAlign w:val="center"/>
          </w:tcPr>
          <w:p w14:paraId="518848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07BC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noWrap w:val="0"/>
            <w:vAlign w:val="center"/>
          </w:tcPr>
          <w:p w14:paraId="40F0B6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0C19AC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0" w:type="dxa"/>
            <w:noWrap w:val="0"/>
            <w:vAlign w:val="center"/>
          </w:tcPr>
          <w:p w14:paraId="16F117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485" w:type="dxa"/>
            <w:noWrap w:val="0"/>
            <w:vAlign w:val="center"/>
          </w:tcPr>
          <w:p w14:paraId="3C997C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5" w:type="dxa"/>
            <w:noWrap w:val="0"/>
            <w:vAlign w:val="center"/>
          </w:tcPr>
          <w:p w14:paraId="54A221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26F6E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555" w:type="dxa"/>
            <w:noWrap w:val="0"/>
            <w:vAlign w:val="center"/>
          </w:tcPr>
          <w:p w14:paraId="5F243A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95" w:type="dxa"/>
            <w:noWrap w:val="0"/>
            <w:vAlign w:val="center"/>
          </w:tcPr>
          <w:p w14:paraId="6EF5F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81" w:type="dxa"/>
            <w:gridSpan w:val="2"/>
            <w:noWrap w:val="0"/>
            <w:vAlign w:val="center"/>
          </w:tcPr>
          <w:p w14:paraId="21ADDC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4AF1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16" w:type="dxa"/>
            <w:vMerge w:val="continue"/>
            <w:noWrap w:val="0"/>
            <w:vAlign w:val="center"/>
          </w:tcPr>
          <w:p w14:paraId="0C94F9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restart"/>
            <w:noWrap w:val="0"/>
            <w:vAlign w:val="center"/>
          </w:tcPr>
          <w:p w14:paraId="10D7F8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B7EB3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0" w:type="dxa"/>
            <w:noWrap w:val="0"/>
            <w:vAlign w:val="center"/>
          </w:tcPr>
          <w:p w14:paraId="4CF64A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85" w:type="dxa"/>
            <w:noWrap w:val="0"/>
            <w:vAlign w:val="center"/>
          </w:tcPr>
          <w:p w14:paraId="62DD33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采血量</w:t>
            </w:r>
          </w:p>
        </w:tc>
        <w:tc>
          <w:tcPr>
            <w:tcW w:w="1155" w:type="dxa"/>
            <w:noWrap w:val="0"/>
            <w:vAlign w:val="center"/>
          </w:tcPr>
          <w:p w14:paraId="424A38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15吨</w:t>
            </w:r>
          </w:p>
        </w:tc>
        <w:tc>
          <w:tcPr>
            <w:tcW w:w="1140" w:type="dxa"/>
            <w:noWrap w:val="0"/>
            <w:vAlign w:val="center"/>
          </w:tcPr>
          <w:p w14:paraId="157FD3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14.08吨</w:t>
            </w:r>
          </w:p>
        </w:tc>
        <w:tc>
          <w:tcPr>
            <w:tcW w:w="555" w:type="dxa"/>
            <w:noWrap w:val="0"/>
            <w:vAlign w:val="center"/>
          </w:tcPr>
          <w:p w14:paraId="0722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495" w:type="dxa"/>
            <w:noWrap w:val="0"/>
            <w:vAlign w:val="center"/>
          </w:tcPr>
          <w:p w14:paraId="57AD32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1381" w:type="dxa"/>
            <w:gridSpan w:val="2"/>
            <w:noWrap w:val="0"/>
            <w:vAlign w:val="center"/>
          </w:tcPr>
          <w:p w14:paraId="6AF6A9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6"/>
                <w:szCs w:val="16"/>
                <w:lang w:val="en-US" w:eastAsia="zh-CN"/>
              </w:rPr>
              <w:t>因为全国无偿献血大环境不好，整体采血量均呈下降状态。应创新宣传。</w:t>
            </w:r>
          </w:p>
        </w:tc>
      </w:tr>
      <w:tr w14:paraId="4F93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16" w:type="dxa"/>
            <w:vMerge w:val="continue"/>
            <w:noWrap w:val="0"/>
            <w:vAlign w:val="center"/>
          </w:tcPr>
          <w:p w14:paraId="09953F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43F106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061C13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85" w:type="dxa"/>
            <w:noWrap w:val="0"/>
            <w:vAlign w:val="center"/>
          </w:tcPr>
          <w:p w14:paraId="083C9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临床用血合格率</w:t>
            </w:r>
          </w:p>
        </w:tc>
        <w:tc>
          <w:tcPr>
            <w:tcW w:w="1155" w:type="dxa"/>
            <w:noWrap w:val="0"/>
            <w:vAlign w:val="center"/>
          </w:tcPr>
          <w:p w14:paraId="302C1B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40" w:type="dxa"/>
            <w:noWrap w:val="0"/>
            <w:vAlign w:val="center"/>
          </w:tcPr>
          <w:p w14:paraId="56295F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555" w:type="dxa"/>
            <w:noWrap w:val="0"/>
            <w:vAlign w:val="center"/>
          </w:tcPr>
          <w:p w14:paraId="4E19E4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495" w:type="dxa"/>
            <w:noWrap w:val="0"/>
            <w:vAlign w:val="center"/>
          </w:tcPr>
          <w:p w14:paraId="3AD287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381" w:type="dxa"/>
            <w:gridSpan w:val="2"/>
            <w:noWrap w:val="0"/>
            <w:vAlign w:val="center"/>
          </w:tcPr>
          <w:p w14:paraId="665350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0A93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6" w:type="dxa"/>
            <w:vMerge w:val="continue"/>
            <w:noWrap w:val="0"/>
            <w:vAlign w:val="center"/>
          </w:tcPr>
          <w:p w14:paraId="10BAC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4BA26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4D75FC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85" w:type="dxa"/>
            <w:noWrap w:val="0"/>
            <w:vAlign w:val="center"/>
          </w:tcPr>
          <w:p w14:paraId="45067C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155" w:type="dxa"/>
            <w:noWrap w:val="0"/>
            <w:vAlign w:val="center"/>
          </w:tcPr>
          <w:p w14:paraId="12A2FD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2024年12月之前</w:t>
            </w:r>
            <w:r>
              <w:rPr>
                <w:rFonts w:hint="eastAsia" w:ascii="仿宋" w:hAnsi="仿宋" w:eastAsia="仿宋" w:cs="仿宋"/>
                <w:color w:val="000000"/>
                <w:kern w:val="0"/>
                <w:sz w:val="20"/>
                <w:szCs w:val="20"/>
                <w:lang w:val="en-US" w:eastAsia="zh-CN"/>
              </w:rPr>
              <w:t>完成</w:t>
            </w:r>
          </w:p>
        </w:tc>
        <w:tc>
          <w:tcPr>
            <w:tcW w:w="1140" w:type="dxa"/>
            <w:noWrap w:val="0"/>
            <w:vAlign w:val="center"/>
          </w:tcPr>
          <w:p w14:paraId="0E12D7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w:t>
            </w:r>
            <w:r>
              <w:rPr>
                <w:rFonts w:hint="eastAsia" w:ascii="仿宋" w:hAnsi="仿宋" w:eastAsia="仿宋" w:cs="仿宋"/>
                <w:color w:val="000000"/>
                <w:kern w:val="0"/>
                <w:sz w:val="20"/>
                <w:szCs w:val="20"/>
                <w:lang w:val="en-US" w:eastAsia="zh-CN"/>
              </w:rPr>
              <w:t>已完成</w:t>
            </w:r>
          </w:p>
        </w:tc>
        <w:tc>
          <w:tcPr>
            <w:tcW w:w="555" w:type="dxa"/>
            <w:noWrap w:val="0"/>
            <w:vAlign w:val="center"/>
          </w:tcPr>
          <w:p w14:paraId="0D0CA6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495" w:type="dxa"/>
            <w:noWrap w:val="0"/>
            <w:vAlign w:val="center"/>
          </w:tcPr>
          <w:p w14:paraId="3538A1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381" w:type="dxa"/>
            <w:gridSpan w:val="2"/>
            <w:noWrap w:val="0"/>
            <w:vAlign w:val="center"/>
          </w:tcPr>
          <w:p w14:paraId="08A8FC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6B12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16" w:type="dxa"/>
            <w:vMerge w:val="continue"/>
            <w:noWrap w:val="0"/>
            <w:vAlign w:val="center"/>
          </w:tcPr>
          <w:p w14:paraId="07F7F9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restart"/>
            <w:noWrap w:val="0"/>
            <w:vAlign w:val="center"/>
          </w:tcPr>
          <w:p w14:paraId="100D12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AF1D4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0" w:type="dxa"/>
            <w:noWrap w:val="0"/>
            <w:vAlign w:val="center"/>
          </w:tcPr>
          <w:p w14:paraId="0FB1F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经济效益指标</w:t>
            </w:r>
          </w:p>
        </w:tc>
        <w:tc>
          <w:tcPr>
            <w:tcW w:w="1485" w:type="dxa"/>
            <w:noWrap w:val="0"/>
            <w:vAlign w:val="center"/>
          </w:tcPr>
          <w:p w14:paraId="4E404C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充分发挥资金</w:t>
            </w:r>
            <w:r>
              <w:rPr>
                <w:rFonts w:hint="eastAsia" w:ascii="仿宋" w:hAnsi="仿宋" w:eastAsia="仿宋" w:cs="仿宋"/>
                <w:color w:val="000000"/>
                <w:kern w:val="0"/>
                <w:sz w:val="20"/>
                <w:szCs w:val="20"/>
                <w:lang w:val="en-US" w:eastAsia="zh-CN"/>
              </w:rPr>
              <w:t>使用</w:t>
            </w:r>
            <w:r>
              <w:rPr>
                <w:rFonts w:hint="eastAsia" w:ascii="仿宋" w:hAnsi="仿宋" w:eastAsia="仿宋" w:cs="仿宋"/>
                <w:color w:val="000000"/>
                <w:kern w:val="0"/>
                <w:sz w:val="20"/>
                <w:szCs w:val="20"/>
              </w:rPr>
              <w:t>效益</w:t>
            </w:r>
          </w:p>
        </w:tc>
        <w:tc>
          <w:tcPr>
            <w:tcW w:w="1155" w:type="dxa"/>
            <w:noWrap w:val="0"/>
            <w:vAlign w:val="center"/>
          </w:tcPr>
          <w:p w14:paraId="73F34E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40" w:type="dxa"/>
            <w:noWrap w:val="0"/>
            <w:vAlign w:val="center"/>
          </w:tcPr>
          <w:p w14:paraId="2305C2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555" w:type="dxa"/>
            <w:noWrap w:val="0"/>
            <w:vAlign w:val="center"/>
          </w:tcPr>
          <w:p w14:paraId="41074A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495" w:type="dxa"/>
            <w:noWrap w:val="0"/>
            <w:vAlign w:val="center"/>
          </w:tcPr>
          <w:p w14:paraId="1BD7B5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1" w:type="dxa"/>
            <w:gridSpan w:val="2"/>
            <w:noWrap w:val="0"/>
            <w:vAlign w:val="center"/>
          </w:tcPr>
          <w:p w14:paraId="568874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3946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6" w:type="dxa"/>
            <w:vMerge w:val="continue"/>
            <w:noWrap w:val="0"/>
            <w:vAlign w:val="center"/>
          </w:tcPr>
          <w:p w14:paraId="4ACD5E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71A207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6BB19C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社会效益指标</w:t>
            </w:r>
          </w:p>
        </w:tc>
        <w:tc>
          <w:tcPr>
            <w:tcW w:w="1485" w:type="dxa"/>
            <w:noWrap w:val="0"/>
            <w:vAlign w:val="center"/>
          </w:tcPr>
          <w:p w14:paraId="169BAF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无偿献血工作的社会影响力</w:t>
            </w:r>
          </w:p>
        </w:tc>
        <w:tc>
          <w:tcPr>
            <w:tcW w:w="1155" w:type="dxa"/>
            <w:noWrap w:val="0"/>
            <w:vAlign w:val="center"/>
          </w:tcPr>
          <w:p w14:paraId="4C0E56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40" w:type="dxa"/>
            <w:noWrap w:val="0"/>
            <w:vAlign w:val="center"/>
          </w:tcPr>
          <w:p w14:paraId="2E6A0B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555" w:type="dxa"/>
            <w:noWrap w:val="0"/>
            <w:vAlign w:val="center"/>
          </w:tcPr>
          <w:p w14:paraId="227B1F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495" w:type="dxa"/>
            <w:noWrap w:val="0"/>
            <w:vAlign w:val="center"/>
          </w:tcPr>
          <w:p w14:paraId="2E81B6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1" w:type="dxa"/>
            <w:gridSpan w:val="2"/>
            <w:noWrap w:val="0"/>
            <w:vAlign w:val="center"/>
          </w:tcPr>
          <w:p w14:paraId="66B092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087D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16" w:type="dxa"/>
            <w:vMerge w:val="continue"/>
            <w:noWrap w:val="0"/>
            <w:vAlign w:val="center"/>
          </w:tcPr>
          <w:p w14:paraId="319BE6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54165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3513FB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生态效益指标</w:t>
            </w:r>
          </w:p>
        </w:tc>
        <w:tc>
          <w:tcPr>
            <w:tcW w:w="1485" w:type="dxa"/>
            <w:noWrap w:val="0"/>
            <w:vAlign w:val="center"/>
          </w:tcPr>
          <w:p w14:paraId="7B37C7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采供血工作</w:t>
            </w:r>
            <w:r>
              <w:rPr>
                <w:rFonts w:hint="eastAsia" w:ascii="仿宋" w:hAnsi="仿宋" w:eastAsia="仿宋" w:cs="仿宋"/>
                <w:color w:val="000000"/>
                <w:kern w:val="0"/>
                <w:sz w:val="20"/>
                <w:szCs w:val="20"/>
                <w:lang w:val="en-US" w:eastAsia="zh-CN"/>
              </w:rPr>
              <w:t>避免</w:t>
            </w:r>
            <w:r>
              <w:rPr>
                <w:rFonts w:hint="eastAsia" w:ascii="仿宋" w:hAnsi="仿宋" w:eastAsia="仿宋" w:cs="仿宋"/>
                <w:color w:val="000000"/>
                <w:kern w:val="0"/>
                <w:sz w:val="20"/>
                <w:szCs w:val="20"/>
              </w:rPr>
              <w:t>对生态环境的影响</w:t>
            </w:r>
          </w:p>
        </w:tc>
        <w:tc>
          <w:tcPr>
            <w:tcW w:w="1155" w:type="dxa"/>
            <w:noWrap w:val="0"/>
            <w:vAlign w:val="center"/>
          </w:tcPr>
          <w:p w14:paraId="63B691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40" w:type="dxa"/>
            <w:noWrap w:val="0"/>
            <w:vAlign w:val="center"/>
          </w:tcPr>
          <w:p w14:paraId="0009C8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555" w:type="dxa"/>
            <w:noWrap w:val="0"/>
            <w:vAlign w:val="center"/>
          </w:tcPr>
          <w:p w14:paraId="24DC7A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495" w:type="dxa"/>
            <w:noWrap w:val="0"/>
            <w:vAlign w:val="center"/>
          </w:tcPr>
          <w:p w14:paraId="537394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381" w:type="dxa"/>
            <w:gridSpan w:val="2"/>
            <w:noWrap w:val="0"/>
            <w:vAlign w:val="center"/>
          </w:tcPr>
          <w:p w14:paraId="2F90F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0E2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816" w:type="dxa"/>
            <w:vMerge w:val="continue"/>
            <w:noWrap w:val="0"/>
            <w:vAlign w:val="center"/>
          </w:tcPr>
          <w:p w14:paraId="03F66D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5" w:type="dxa"/>
            <w:vMerge w:val="continue"/>
            <w:noWrap w:val="0"/>
            <w:vAlign w:val="center"/>
          </w:tcPr>
          <w:p w14:paraId="571D92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6AB306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85" w:type="dxa"/>
            <w:noWrap w:val="0"/>
            <w:vAlign w:val="center"/>
          </w:tcPr>
          <w:p w14:paraId="67AAA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建立无偿献血长效机制</w:t>
            </w:r>
          </w:p>
        </w:tc>
        <w:tc>
          <w:tcPr>
            <w:tcW w:w="1155" w:type="dxa"/>
            <w:noWrap w:val="0"/>
            <w:vAlign w:val="center"/>
          </w:tcPr>
          <w:p w14:paraId="060DCF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40" w:type="dxa"/>
            <w:noWrap w:val="0"/>
            <w:vAlign w:val="center"/>
          </w:tcPr>
          <w:p w14:paraId="64FB20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效果良好</w:t>
            </w:r>
          </w:p>
        </w:tc>
        <w:tc>
          <w:tcPr>
            <w:tcW w:w="555" w:type="dxa"/>
            <w:noWrap w:val="0"/>
            <w:vAlign w:val="center"/>
          </w:tcPr>
          <w:p w14:paraId="3BCA406A">
            <w:pPr>
              <w:keepNext w:val="0"/>
              <w:keepLines w:val="0"/>
              <w:pageBreakBefore w:val="0"/>
              <w:widowControl/>
              <w:kinsoku/>
              <w:wordWrap/>
              <w:overflowPunct/>
              <w:topLinePunct w:val="0"/>
              <w:autoSpaceDE/>
              <w:autoSpaceDN/>
              <w:bidi w:val="0"/>
              <w:adjustRightInd/>
              <w:snapToGrid/>
              <w:spacing w:line="240" w:lineRule="exact"/>
              <w:ind w:firstLine="200" w:firstLineChars="10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95" w:type="dxa"/>
            <w:noWrap w:val="0"/>
            <w:vAlign w:val="center"/>
          </w:tcPr>
          <w:p w14:paraId="3C443C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381" w:type="dxa"/>
            <w:gridSpan w:val="2"/>
            <w:noWrap w:val="0"/>
            <w:vAlign w:val="center"/>
          </w:tcPr>
          <w:p w14:paraId="2DCE24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2A5D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6" w:type="dxa"/>
            <w:vMerge w:val="continue"/>
            <w:noWrap w:val="0"/>
            <w:vAlign w:val="center"/>
          </w:tcPr>
          <w:p w14:paraId="0EAD73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2AE267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62F30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70" w:type="dxa"/>
            <w:noWrap w:val="0"/>
            <w:vAlign w:val="center"/>
          </w:tcPr>
          <w:p w14:paraId="3BFBA4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6"/>
                <w:szCs w:val="16"/>
              </w:rPr>
              <w:t>服务对象满意度指标</w:t>
            </w:r>
          </w:p>
        </w:tc>
        <w:tc>
          <w:tcPr>
            <w:tcW w:w="1485" w:type="dxa"/>
            <w:noWrap w:val="0"/>
            <w:vAlign w:val="center"/>
          </w:tcPr>
          <w:p w14:paraId="5D4862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社会公众满意度</w:t>
            </w:r>
          </w:p>
        </w:tc>
        <w:tc>
          <w:tcPr>
            <w:tcW w:w="1155" w:type="dxa"/>
            <w:noWrap w:val="0"/>
            <w:vAlign w:val="center"/>
          </w:tcPr>
          <w:p w14:paraId="6369C400">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95%</w:t>
            </w:r>
          </w:p>
        </w:tc>
        <w:tc>
          <w:tcPr>
            <w:tcW w:w="1140" w:type="dxa"/>
            <w:noWrap w:val="0"/>
            <w:vAlign w:val="center"/>
          </w:tcPr>
          <w:p w14:paraId="42959D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555" w:type="dxa"/>
            <w:noWrap w:val="0"/>
            <w:vAlign w:val="center"/>
          </w:tcPr>
          <w:p w14:paraId="4A0005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95" w:type="dxa"/>
            <w:noWrap w:val="0"/>
            <w:vAlign w:val="center"/>
          </w:tcPr>
          <w:p w14:paraId="6D0BA7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381" w:type="dxa"/>
            <w:gridSpan w:val="2"/>
            <w:noWrap w:val="0"/>
            <w:vAlign w:val="center"/>
          </w:tcPr>
          <w:p w14:paraId="042A49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14:paraId="6571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831" w:type="dxa"/>
            <w:gridSpan w:val="6"/>
            <w:noWrap w:val="0"/>
            <w:vAlign w:val="center"/>
          </w:tcPr>
          <w:p w14:paraId="002003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555" w:type="dxa"/>
            <w:noWrap w:val="0"/>
            <w:vAlign w:val="center"/>
          </w:tcPr>
          <w:p w14:paraId="73977E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95" w:type="dxa"/>
            <w:noWrap w:val="0"/>
            <w:vAlign w:val="center"/>
          </w:tcPr>
          <w:p w14:paraId="4854D0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381" w:type="dxa"/>
            <w:gridSpan w:val="2"/>
            <w:noWrap w:val="0"/>
            <w:vAlign w:val="center"/>
          </w:tcPr>
          <w:p w14:paraId="4109E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bl>
    <w:p w14:paraId="27839D2C">
      <w:pPr>
        <w:widowControl w:val="0"/>
        <w:kinsoku/>
        <w:autoSpaceDE/>
        <w:autoSpaceDN/>
        <w:adjustRightInd/>
        <w:snapToGrid/>
        <w:spacing w:line="600" w:lineRule="exact"/>
        <w:jc w:val="both"/>
        <w:textAlignment w:val="auto"/>
        <w:rPr>
          <w:rFonts w:hint="default" w:asciiTheme="minorAscii" w:hAnsiTheme="minorAscii" w:eastAsiaTheme="minorEastAsia"/>
          <w:vanish/>
          <w:sz w:val="21"/>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谢凌倩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13397458728</w:t>
      </w:r>
      <w:r>
        <w:rPr>
          <w:rFonts w:hint="eastAsia" w:asciiTheme="minorAscii" w:hAnsiTheme="minorAscii"/>
          <w:vanish/>
          <w:sz w:val="21"/>
          <w:lang w:val="en-US" w:eastAsia="zh-CN"/>
        </w:rPr>
        <w:t>119</w:t>
      </w:r>
    </w:p>
    <w:sectPr>
      <w:footerReference r:id="rId4" w:type="default"/>
      <w:pgSz w:w="11906" w:h="16838"/>
      <w:pgMar w:top="1134" w:right="1803"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055A2FC-CA5F-4258-9378-BF6DFAB8D16A}"/>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embedRegular r:id="rId2" w:fontKey="{BDDC20A2-3DDE-40FD-A36B-E2DC027D00C3}"/>
  </w:font>
  <w:font w:name="方正黑体_GBK">
    <w:altName w:val="微软雅黑"/>
    <w:panose1 w:val="02000000000000000000"/>
    <w:charset w:val="86"/>
    <w:family w:val="auto"/>
    <w:pitch w:val="default"/>
    <w:sig w:usb0="00000000" w:usb1="00000000" w:usb2="00000000" w:usb3="00000000" w:csb0="00040000" w:csb1="00000000"/>
    <w:embedRegular r:id="rId3" w:fontKey="{82A123EF-23FF-45E5-9C1F-0C97CE43A3CE}"/>
  </w:font>
  <w:font w:name="Times New Roman Regular">
    <w:altName w:val="Times New Roman"/>
    <w:panose1 w:val="02020603050405020304"/>
    <w:charset w:val="00"/>
    <w:family w:val="auto"/>
    <w:pitch w:val="default"/>
    <w:sig w:usb0="00000000" w:usb1="00000000" w:usb2="00000009" w:usb3="00000000" w:csb0="400001FF" w:csb1="FFFF0000"/>
    <w:embedRegular r:id="rId4" w:fontKey="{9C56A8DC-6BBF-43E6-AF78-532E8DBD4C83}"/>
  </w:font>
  <w:font w:name="仿宋_GB2312">
    <w:panose1 w:val="02010609030101010101"/>
    <w:charset w:val="86"/>
    <w:family w:val="auto"/>
    <w:pitch w:val="default"/>
    <w:sig w:usb0="00000001" w:usb1="080E0000" w:usb2="00000000" w:usb3="00000000" w:csb0="00040000" w:csb1="00000000"/>
    <w:embedRegular r:id="rId5" w:fontKey="{386A2AF5-6F75-4260-85C0-9D2D9F3CBC18}"/>
  </w:font>
  <w:font w:name="仿宋">
    <w:panose1 w:val="02010609060101010101"/>
    <w:charset w:val="86"/>
    <w:family w:val="auto"/>
    <w:pitch w:val="default"/>
    <w:sig w:usb0="800002BF" w:usb1="38CF7CFA" w:usb2="00000016" w:usb3="00000000" w:csb0="00040001" w:csb1="00000000"/>
    <w:embedRegular r:id="rId6" w:fontKey="{ECAC30B0-7B06-43C0-AFFA-340D42BF9565}"/>
  </w:font>
  <w:font w:name="方正小标宋简体">
    <w:panose1 w:val="03000509000000000000"/>
    <w:charset w:val="86"/>
    <w:family w:val="auto"/>
    <w:pitch w:val="default"/>
    <w:sig w:usb0="00000001" w:usb1="080E0000" w:usb2="00000000" w:usb3="00000000" w:csb0="00040000" w:csb1="00000000"/>
    <w:embedRegular r:id="rId7" w:fontKey="{A022EB1C-DF4F-4653-8E64-825605C5001D}"/>
  </w:font>
  <w:font w:name="方正仿宋_GB2312">
    <w:panose1 w:val="02000000000000000000"/>
    <w:charset w:val="86"/>
    <w:family w:val="auto"/>
    <w:pitch w:val="default"/>
    <w:sig w:usb0="A00002BF" w:usb1="184F6CFA" w:usb2="00000012" w:usb3="00000000" w:csb0="00040001" w:csb1="00000000"/>
    <w:embedRegular r:id="rId8" w:fontKey="{6B27A1F1-D886-4EE1-B554-4C916E9A9376}"/>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8C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E7B25">
                          <w:pPr>
                            <w:pStyle w:val="9"/>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CE7B25">
                    <w:pPr>
                      <w:pStyle w:val="9"/>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69D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9B6D8">
                          <w:pPr>
                            <w:pStyle w:val="9"/>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A9B6D8">
                    <w:pPr>
                      <w:pStyle w:val="9"/>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377076"/>
    <w:rsid w:val="008F6B2B"/>
    <w:rsid w:val="00A9133B"/>
    <w:rsid w:val="00AE556A"/>
    <w:rsid w:val="00BF52BD"/>
    <w:rsid w:val="00DC19CB"/>
    <w:rsid w:val="0112174B"/>
    <w:rsid w:val="011253ED"/>
    <w:rsid w:val="013C11E7"/>
    <w:rsid w:val="017654F3"/>
    <w:rsid w:val="01CA75E8"/>
    <w:rsid w:val="02352C16"/>
    <w:rsid w:val="02441F1E"/>
    <w:rsid w:val="0252745F"/>
    <w:rsid w:val="0275710C"/>
    <w:rsid w:val="02803D01"/>
    <w:rsid w:val="028D7421"/>
    <w:rsid w:val="02A66735"/>
    <w:rsid w:val="02EB4148"/>
    <w:rsid w:val="03357A55"/>
    <w:rsid w:val="033C60AA"/>
    <w:rsid w:val="034C108A"/>
    <w:rsid w:val="0350044F"/>
    <w:rsid w:val="035704F5"/>
    <w:rsid w:val="036D51AF"/>
    <w:rsid w:val="03822CFE"/>
    <w:rsid w:val="03912F41"/>
    <w:rsid w:val="03A44C8B"/>
    <w:rsid w:val="03F425F3"/>
    <w:rsid w:val="048437C2"/>
    <w:rsid w:val="04875B1C"/>
    <w:rsid w:val="049F51EA"/>
    <w:rsid w:val="04E2157A"/>
    <w:rsid w:val="04F06920"/>
    <w:rsid w:val="04FC0279"/>
    <w:rsid w:val="05070ED0"/>
    <w:rsid w:val="051668EE"/>
    <w:rsid w:val="05216546"/>
    <w:rsid w:val="053973EC"/>
    <w:rsid w:val="05505DB7"/>
    <w:rsid w:val="05654685"/>
    <w:rsid w:val="05687CD1"/>
    <w:rsid w:val="05790336"/>
    <w:rsid w:val="05AF5BC9"/>
    <w:rsid w:val="05BB6053"/>
    <w:rsid w:val="05DD3B11"/>
    <w:rsid w:val="05E95AA6"/>
    <w:rsid w:val="060519C4"/>
    <w:rsid w:val="06141C07"/>
    <w:rsid w:val="06186DAE"/>
    <w:rsid w:val="063877F4"/>
    <w:rsid w:val="0641242C"/>
    <w:rsid w:val="066B6695"/>
    <w:rsid w:val="06840E03"/>
    <w:rsid w:val="06B25C3E"/>
    <w:rsid w:val="06E03F5B"/>
    <w:rsid w:val="06F701F2"/>
    <w:rsid w:val="06FC2DC7"/>
    <w:rsid w:val="07254DB3"/>
    <w:rsid w:val="07373DFF"/>
    <w:rsid w:val="07BD684A"/>
    <w:rsid w:val="07CD02C0"/>
    <w:rsid w:val="07FA4B11"/>
    <w:rsid w:val="080D2385"/>
    <w:rsid w:val="08862D45"/>
    <w:rsid w:val="08994CEF"/>
    <w:rsid w:val="089B03BE"/>
    <w:rsid w:val="08C416C3"/>
    <w:rsid w:val="08C72F61"/>
    <w:rsid w:val="08FF5C82"/>
    <w:rsid w:val="08FF631A"/>
    <w:rsid w:val="09093579"/>
    <w:rsid w:val="09102B5A"/>
    <w:rsid w:val="096E7880"/>
    <w:rsid w:val="09760CC5"/>
    <w:rsid w:val="0976720A"/>
    <w:rsid w:val="09E047E1"/>
    <w:rsid w:val="09EF276F"/>
    <w:rsid w:val="09F32F88"/>
    <w:rsid w:val="09F76469"/>
    <w:rsid w:val="09F91840"/>
    <w:rsid w:val="0A1641A0"/>
    <w:rsid w:val="0A5371A2"/>
    <w:rsid w:val="0A570314"/>
    <w:rsid w:val="0A8C6210"/>
    <w:rsid w:val="0A954046"/>
    <w:rsid w:val="0ACA6D38"/>
    <w:rsid w:val="0AFB5144"/>
    <w:rsid w:val="0B19291A"/>
    <w:rsid w:val="0B2B77D7"/>
    <w:rsid w:val="0B600AEA"/>
    <w:rsid w:val="0B7E46B5"/>
    <w:rsid w:val="0BA90338"/>
    <w:rsid w:val="0BB80875"/>
    <w:rsid w:val="0BC813B2"/>
    <w:rsid w:val="0BE8099C"/>
    <w:rsid w:val="0C032821"/>
    <w:rsid w:val="0C180A78"/>
    <w:rsid w:val="0C2C414C"/>
    <w:rsid w:val="0C790A16"/>
    <w:rsid w:val="0CB258D1"/>
    <w:rsid w:val="0D276746"/>
    <w:rsid w:val="0D2E35AF"/>
    <w:rsid w:val="0D464D9C"/>
    <w:rsid w:val="0D904269"/>
    <w:rsid w:val="0DBC5B20"/>
    <w:rsid w:val="0DC161D1"/>
    <w:rsid w:val="0DD52794"/>
    <w:rsid w:val="0DFD6191"/>
    <w:rsid w:val="0DFE7584"/>
    <w:rsid w:val="0E337665"/>
    <w:rsid w:val="0E956870"/>
    <w:rsid w:val="0EBB106C"/>
    <w:rsid w:val="0ECC08B5"/>
    <w:rsid w:val="0F037349"/>
    <w:rsid w:val="0F0A004B"/>
    <w:rsid w:val="0F1302D9"/>
    <w:rsid w:val="0F2D333D"/>
    <w:rsid w:val="0F3A26DF"/>
    <w:rsid w:val="0F8F693E"/>
    <w:rsid w:val="0FA37392"/>
    <w:rsid w:val="0FBC30F4"/>
    <w:rsid w:val="0FCE1148"/>
    <w:rsid w:val="0FD541B5"/>
    <w:rsid w:val="0FDD28FA"/>
    <w:rsid w:val="106F52FA"/>
    <w:rsid w:val="108654B0"/>
    <w:rsid w:val="108B0D18"/>
    <w:rsid w:val="109C10AA"/>
    <w:rsid w:val="10C666A5"/>
    <w:rsid w:val="10D606A6"/>
    <w:rsid w:val="11641C95"/>
    <w:rsid w:val="117143B2"/>
    <w:rsid w:val="118D73D1"/>
    <w:rsid w:val="118E7D16"/>
    <w:rsid w:val="11AE1162"/>
    <w:rsid w:val="11C826A1"/>
    <w:rsid w:val="11CB7A83"/>
    <w:rsid w:val="11FC1519"/>
    <w:rsid w:val="1223366A"/>
    <w:rsid w:val="125029A4"/>
    <w:rsid w:val="125735A8"/>
    <w:rsid w:val="126637C4"/>
    <w:rsid w:val="126D6927"/>
    <w:rsid w:val="126F2A7F"/>
    <w:rsid w:val="129A7987"/>
    <w:rsid w:val="12E73AEB"/>
    <w:rsid w:val="12ED7A68"/>
    <w:rsid w:val="133B4F65"/>
    <w:rsid w:val="136F6008"/>
    <w:rsid w:val="137A38FF"/>
    <w:rsid w:val="137D598D"/>
    <w:rsid w:val="13916645"/>
    <w:rsid w:val="13AA72A4"/>
    <w:rsid w:val="13D1738A"/>
    <w:rsid w:val="141176C7"/>
    <w:rsid w:val="141A2ADF"/>
    <w:rsid w:val="143877FD"/>
    <w:rsid w:val="143C379A"/>
    <w:rsid w:val="14700758"/>
    <w:rsid w:val="14843A55"/>
    <w:rsid w:val="14C633DB"/>
    <w:rsid w:val="14EF7AC7"/>
    <w:rsid w:val="14FB646C"/>
    <w:rsid w:val="151A1F43"/>
    <w:rsid w:val="156D73A9"/>
    <w:rsid w:val="1570003C"/>
    <w:rsid w:val="157437EC"/>
    <w:rsid w:val="15745BF8"/>
    <w:rsid w:val="159E296F"/>
    <w:rsid w:val="15CC3983"/>
    <w:rsid w:val="15FA2070"/>
    <w:rsid w:val="16105F47"/>
    <w:rsid w:val="163E2DAF"/>
    <w:rsid w:val="16640041"/>
    <w:rsid w:val="1666516D"/>
    <w:rsid w:val="16AE07B1"/>
    <w:rsid w:val="16BB1304"/>
    <w:rsid w:val="16C86822"/>
    <w:rsid w:val="16CF0EB7"/>
    <w:rsid w:val="16D75B9E"/>
    <w:rsid w:val="16FA5506"/>
    <w:rsid w:val="1723614E"/>
    <w:rsid w:val="17316795"/>
    <w:rsid w:val="176F6C9D"/>
    <w:rsid w:val="17817CD8"/>
    <w:rsid w:val="17B46DA6"/>
    <w:rsid w:val="17C233EE"/>
    <w:rsid w:val="17CF598E"/>
    <w:rsid w:val="17D02F59"/>
    <w:rsid w:val="17D46287"/>
    <w:rsid w:val="17DC3392"/>
    <w:rsid w:val="17DF606D"/>
    <w:rsid w:val="17FCFFF6"/>
    <w:rsid w:val="182B52BA"/>
    <w:rsid w:val="185A794E"/>
    <w:rsid w:val="185C1918"/>
    <w:rsid w:val="18602A8A"/>
    <w:rsid w:val="186407CC"/>
    <w:rsid w:val="188543AE"/>
    <w:rsid w:val="18940D83"/>
    <w:rsid w:val="18A36F6F"/>
    <w:rsid w:val="18B52DD6"/>
    <w:rsid w:val="18D94E58"/>
    <w:rsid w:val="192E6FAC"/>
    <w:rsid w:val="19367C8D"/>
    <w:rsid w:val="194B54E8"/>
    <w:rsid w:val="1989731E"/>
    <w:rsid w:val="199D21E8"/>
    <w:rsid w:val="19D21766"/>
    <w:rsid w:val="19E25E4D"/>
    <w:rsid w:val="19E805B2"/>
    <w:rsid w:val="1A8200F5"/>
    <w:rsid w:val="1A912364"/>
    <w:rsid w:val="1A9F6725"/>
    <w:rsid w:val="1B3A4F50"/>
    <w:rsid w:val="1B572F6A"/>
    <w:rsid w:val="1BD512CB"/>
    <w:rsid w:val="1BE003BF"/>
    <w:rsid w:val="1BF81C71"/>
    <w:rsid w:val="1BFA6E7C"/>
    <w:rsid w:val="1C0F0A4F"/>
    <w:rsid w:val="1C2E1479"/>
    <w:rsid w:val="1C7452C7"/>
    <w:rsid w:val="1C782A98"/>
    <w:rsid w:val="1C7B3A29"/>
    <w:rsid w:val="1C91677A"/>
    <w:rsid w:val="1C962F1E"/>
    <w:rsid w:val="1CBF872E"/>
    <w:rsid w:val="1CD7789E"/>
    <w:rsid w:val="1CDB6B83"/>
    <w:rsid w:val="1D3369BF"/>
    <w:rsid w:val="1D350989"/>
    <w:rsid w:val="1D3B2E55"/>
    <w:rsid w:val="1D412E8A"/>
    <w:rsid w:val="1D4E55A7"/>
    <w:rsid w:val="1D85512F"/>
    <w:rsid w:val="1D985D4D"/>
    <w:rsid w:val="1D9B4896"/>
    <w:rsid w:val="1DAC5C38"/>
    <w:rsid w:val="1DB21FDA"/>
    <w:rsid w:val="1DB418AE"/>
    <w:rsid w:val="1DD7426F"/>
    <w:rsid w:val="1DDB32DF"/>
    <w:rsid w:val="1DF3687A"/>
    <w:rsid w:val="1E053DEB"/>
    <w:rsid w:val="1E0E440A"/>
    <w:rsid w:val="1E28404A"/>
    <w:rsid w:val="1E2B4838"/>
    <w:rsid w:val="1EA7241E"/>
    <w:rsid w:val="1F1966BF"/>
    <w:rsid w:val="1F1A294F"/>
    <w:rsid w:val="1F253E23"/>
    <w:rsid w:val="1F29007A"/>
    <w:rsid w:val="1F2D5E39"/>
    <w:rsid w:val="1F59095F"/>
    <w:rsid w:val="1F62533A"/>
    <w:rsid w:val="1F9E45C4"/>
    <w:rsid w:val="200B13BD"/>
    <w:rsid w:val="200D7EB9"/>
    <w:rsid w:val="2011123A"/>
    <w:rsid w:val="20415BE2"/>
    <w:rsid w:val="20542ED4"/>
    <w:rsid w:val="20880DD0"/>
    <w:rsid w:val="20A51982"/>
    <w:rsid w:val="20B0125E"/>
    <w:rsid w:val="21020B82"/>
    <w:rsid w:val="21116909"/>
    <w:rsid w:val="211F239D"/>
    <w:rsid w:val="21432E67"/>
    <w:rsid w:val="21BC6D7E"/>
    <w:rsid w:val="21D70DF2"/>
    <w:rsid w:val="222D011A"/>
    <w:rsid w:val="22325497"/>
    <w:rsid w:val="228C2DF9"/>
    <w:rsid w:val="22E177D9"/>
    <w:rsid w:val="22FE234B"/>
    <w:rsid w:val="234C4337"/>
    <w:rsid w:val="237006B3"/>
    <w:rsid w:val="2377306D"/>
    <w:rsid w:val="23A10B26"/>
    <w:rsid w:val="23E12CD1"/>
    <w:rsid w:val="241F7A66"/>
    <w:rsid w:val="24215DEA"/>
    <w:rsid w:val="2429118E"/>
    <w:rsid w:val="2460453E"/>
    <w:rsid w:val="24977834"/>
    <w:rsid w:val="24B62957"/>
    <w:rsid w:val="24CD172E"/>
    <w:rsid w:val="24EF7670"/>
    <w:rsid w:val="25541BF3"/>
    <w:rsid w:val="25B53364"/>
    <w:rsid w:val="25B82157"/>
    <w:rsid w:val="25C66622"/>
    <w:rsid w:val="25E1520A"/>
    <w:rsid w:val="25EE7927"/>
    <w:rsid w:val="260D3D3C"/>
    <w:rsid w:val="262339B3"/>
    <w:rsid w:val="2642329D"/>
    <w:rsid w:val="26487037"/>
    <w:rsid w:val="265579A6"/>
    <w:rsid w:val="26606A55"/>
    <w:rsid w:val="266F2816"/>
    <w:rsid w:val="26B84685"/>
    <w:rsid w:val="26DD6069"/>
    <w:rsid w:val="26E33204"/>
    <w:rsid w:val="26E472D4"/>
    <w:rsid w:val="271635D9"/>
    <w:rsid w:val="273B1194"/>
    <w:rsid w:val="273D0B66"/>
    <w:rsid w:val="274F4006"/>
    <w:rsid w:val="27615CCB"/>
    <w:rsid w:val="276521AF"/>
    <w:rsid w:val="277E6F02"/>
    <w:rsid w:val="27F37477"/>
    <w:rsid w:val="282A2009"/>
    <w:rsid w:val="286E6AFD"/>
    <w:rsid w:val="28A05E63"/>
    <w:rsid w:val="28A14755"/>
    <w:rsid w:val="28A16ED3"/>
    <w:rsid w:val="28B05368"/>
    <w:rsid w:val="28BA09C2"/>
    <w:rsid w:val="28E13773"/>
    <w:rsid w:val="28FF2559"/>
    <w:rsid w:val="290855A0"/>
    <w:rsid w:val="293D309F"/>
    <w:rsid w:val="295E4DC4"/>
    <w:rsid w:val="29744F8B"/>
    <w:rsid w:val="2976210D"/>
    <w:rsid w:val="29764647"/>
    <w:rsid w:val="29810ADD"/>
    <w:rsid w:val="29891621"/>
    <w:rsid w:val="298A4F2C"/>
    <w:rsid w:val="2994068B"/>
    <w:rsid w:val="29990575"/>
    <w:rsid w:val="29CE019B"/>
    <w:rsid w:val="2A2E6E04"/>
    <w:rsid w:val="2A44631D"/>
    <w:rsid w:val="2A475858"/>
    <w:rsid w:val="2A6265E6"/>
    <w:rsid w:val="2ACE0D23"/>
    <w:rsid w:val="2AE337D3"/>
    <w:rsid w:val="2AF6742D"/>
    <w:rsid w:val="2B48582E"/>
    <w:rsid w:val="2B65697C"/>
    <w:rsid w:val="2B6861CE"/>
    <w:rsid w:val="2B742DBD"/>
    <w:rsid w:val="2BA666A3"/>
    <w:rsid w:val="2BB86A0D"/>
    <w:rsid w:val="2BCD4966"/>
    <w:rsid w:val="2BD35726"/>
    <w:rsid w:val="2C016BF2"/>
    <w:rsid w:val="2C4368D7"/>
    <w:rsid w:val="2C882884"/>
    <w:rsid w:val="2CFB44A5"/>
    <w:rsid w:val="2D102879"/>
    <w:rsid w:val="2D452523"/>
    <w:rsid w:val="2D5C76E6"/>
    <w:rsid w:val="2D614E83"/>
    <w:rsid w:val="2D8C7D6D"/>
    <w:rsid w:val="2DA23D5C"/>
    <w:rsid w:val="2E0527A2"/>
    <w:rsid w:val="2E570C09"/>
    <w:rsid w:val="2EC851B9"/>
    <w:rsid w:val="2EF22236"/>
    <w:rsid w:val="2EFA10EB"/>
    <w:rsid w:val="2F035681"/>
    <w:rsid w:val="30034980"/>
    <w:rsid w:val="30436451"/>
    <w:rsid w:val="30937A49"/>
    <w:rsid w:val="30DD5D86"/>
    <w:rsid w:val="30EE2159"/>
    <w:rsid w:val="311D6658"/>
    <w:rsid w:val="312A2265"/>
    <w:rsid w:val="312D54CE"/>
    <w:rsid w:val="31415AE2"/>
    <w:rsid w:val="316B4522"/>
    <w:rsid w:val="31A17F44"/>
    <w:rsid w:val="31F6028F"/>
    <w:rsid w:val="32192170"/>
    <w:rsid w:val="32C87D5D"/>
    <w:rsid w:val="32D007AA"/>
    <w:rsid w:val="333F3E43"/>
    <w:rsid w:val="33552D94"/>
    <w:rsid w:val="33A855B9"/>
    <w:rsid w:val="33DC34B5"/>
    <w:rsid w:val="34272982"/>
    <w:rsid w:val="346040E6"/>
    <w:rsid w:val="348A335A"/>
    <w:rsid w:val="349153D9"/>
    <w:rsid w:val="349E4B37"/>
    <w:rsid w:val="34AF7E34"/>
    <w:rsid w:val="34C06933"/>
    <w:rsid w:val="351333BE"/>
    <w:rsid w:val="352B641F"/>
    <w:rsid w:val="3555351F"/>
    <w:rsid w:val="359A53D6"/>
    <w:rsid w:val="35D01EDB"/>
    <w:rsid w:val="35E30B2B"/>
    <w:rsid w:val="35FB40C6"/>
    <w:rsid w:val="361E7EF8"/>
    <w:rsid w:val="362D2523"/>
    <w:rsid w:val="3632560E"/>
    <w:rsid w:val="36372C24"/>
    <w:rsid w:val="3667175C"/>
    <w:rsid w:val="36932E2C"/>
    <w:rsid w:val="36B32DAA"/>
    <w:rsid w:val="36FC0F5D"/>
    <w:rsid w:val="372C112F"/>
    <w:rsid w:val="375773F8"/>
    <w:rsid w:val="37C30C14"/>
    <w:rsid w:val="384B0C09"/>
    <w:rsid w:val="384D1B3E"/>
    <w:rsid w:val="38686D8A"/>
    <w:rsid w:val="386C12AB"/>
    <w:rsid w:val="388D2FD0"/>
    <w:rsid w:val="388F4508"/>
    <w:rsid w:val="38DD3F57"/>
    <w:rsid w:val="38F848ED"/>
    <w:rsid w:val="38FA1D7C"/>
    <w:rsid w:val="390414E4"/>
    <w:rsid w:val="390B4021"/>
    <w:rsid w:val="39123EA1"/>
    <w:rsid w:val="391F00CC"/>
    <w:rsid w:val="392504E1"/>
    <w:rsid w:val="392C2B4D"/>
    <w:rsid w:val="393E32BB"/>
    <w:rsid w:val="39487A70"/>
    <w:rsid w:val="39B06F76"/>
    <w:rsid w:val="39B337F4"/>
    <w:rsid w:val="3A137505"/>
    <w:rsid w:val="3A6932B0"/>
    <w:rsid w:val="3AE3204D"/>
    <w:rsid w:val="3B11272D"/>
    <w:rsid w:val="3B335F33"/>
    <w:rsid w:val="3B4E4C98"/>
    <w:rsid w:val="3B765F9D"/>
    <w:rsid w:val="3B8D7241"/>
    <w:rsid w:val="3BEE647B"/>
    <w:rsid w:val="3C3016C1"/>
    <w:rsid w:val="3C3E2F5F"/>
    <w:rsid w:val="3C860462"/>
    <w:rsid w:val="3C9A19C5"/>
    <w:rsid w:val="3CC66AB0"/>
    <w:rsid w:val="3CC72F54"/>
    <w:rsid w:val="3D1C4922"/>
    <w:rsid w:val="3D294FD4"/>
    <w:rsid w:val="3D42082D"/>
    <w:rsid w:val="3DB114C5"/>
    <w:rsid w:val="3DC6320C"/>
    <w:rsid w:val="3DC840E4"/>
    <w:rsid w:val="3DE82198"/>
    <w:rsid w:val="3E762CD2"/>
    <w:rsid w:val="3E8B7FB1"/>
    <w:rsid w:val="3E9A6446"/>
    <w:rsid w:val="3E9F19CB"/>
    <w:rsid w:val="3EB672D9"/>
    <w:rsid w:val="3EC37246"/>
    <w:rsid w:val="3EC65D55"/>
    <w:rsid w:val="3EDB58AE"/>
    <w:rsid w:val="3EFDDE87"/>
    <w:rsid w:val="3F4A47F3"/>
    <w:rsid w:val="3F5D36FC"/>
    <w:rsid w:val="3F786788"/>
    <w:rsid w:val="3F8B3280"/>
    <w:rsid w:val="3FEF7BCA"/>
    <w:rsid w:val="40210BCD"/>
    <w:rsid w:val="40402A78"/>
    <w:rsid w:val="405415CD"/>
    <w:rsid w:val="40616487"/>
    <w:rsid w:val="407D392A"/>
    <w:rsid w:val="40CB28E7"/>
    <w:rsid w:val="40E96E62"/>
    <w:rsid w:val="41674009"/>
    <w:rsid w:val="41767F8A"/>
    <w:rsid w:val="417E223F"/>
    <w:rsid w:val="41832A67"/>
    <w:rsid w:val="41874A60"/>
    <w:rsid w:val="419B2857"/>
    <w:rsid w:val="41AE11D8"/>
    <w:rsid w:val="41C37A62"/>
    <w:rsid w:val="41D61543"/>
    <w:rsid w:val="41D71DA8"/>
    <w:rsid w:val="4231255B"/>
    <w:rsid w:val="42634AA3"/>
    <w:rsid w:val="429E34DB"/>
    <w:rsid w:val="42DC5767"/>
    <w:rsid w:val="42ED2FE9"/>
    <w:rsid w:val="432A5FEB"/>
    <w:rsid w:val="43593ABC"/>
    <w:rsid w:val="435A070C"/>
    <w:rsid w:val="437454B8"/>
    <w:rsid w:val="43BD19AF"/>
    <w:rsid w:val="44090172"/>
    <w:rsid w:val="44201E87"/>
    <w:rsid w:val="447137A5"/>
    <w:rsid w:val="44AA2919"/>
    <w:rsid w:val="44B30262"/>
    <w:rsid w:val="451340A4"/>
    <w:rsid w:val="452151CC"/>
    <w:rsid w:val="456F5F37"/>
    <w:rsid w:val="45707D87"/>
    <w:rsid w:val="45926C38"/>
    <w:rsid w:val="45E05087"/>
    <w:rsid w:val="45F72580"/>
    <w:rsid w:val="460348D1"/>
    <w:rsid w:val="460A6A25"/>
    <w:rsid w:val="46292D62"/>
    <w:rsid w:val="467C140D"/>
    <w:rsid w:val="46AB4F07"/>
    <w:rsid w:val="46DA7D28"/>
    <w:rsid w:val="46F35C30"/>
    <w:rsid w:val="4765466F"/>
    <w:rsid w:val="47C84024"/>
    <w:rsid w:val="47F44E19"/>
    <w:rsid w:val="481608EC"/>
    <w:rsid w:val="48164D90"/>
    <w:rsid w:val="48284AC3"/>
    <w:rsid w:val="48511B4B"/>
    <w:rsid w:val="4876582E"/>
    <w:rsid w:val="489D725F"/>
    <w:rsid w:val="48DB1B35"/>
    <w:rsid w:val="48FD1D08"/>
    <w:rsid w:val="490E5A67"/>
    <w:rsid w:val="49107A31"/>
    <w:rsid w:val="49823EC1"/>
    <w:rsid w:val="498F7ABD"/>
    <w:rsid w:val="49C87BBE"/>
    <w:rsid w:val="49E0309E"/>
    <w:rsid w:val="49F45924"/>
    <w:rsid w:val="4A5B793F"/>
    <w:rsid w:val="4A66404E"/>
    <w:rsid w:val="4A6C0C97"/>
    <w:rsid w:val="4A857FAB"/>
    <w:rsid w:val="4A8835F7"/>
    <w:rsid w:val="4AA00CEE"/>
    <w:rsid w:val="4AA4190C"/>
    <w:rsid w:val="4AB03279"/>
    <w:rsid w:val="4AB12B4E"/>
    <w:rsid w:val="4AB32D6A"/>
    <w:rsid w:val="4ADB5E1D"/>
    <w:rsid w:val="4B0C5FD6"/>
    <w:rsid w:val="4B1A0571"/>
    <w:rsid w:val="4B2D6CD9"/>
    <w:rsid w:val="4B4C0AC8"/>
    <w:rsid w:val="4B620C50"/>
    <w:rsid w:val="4B9805B5"/>
    <w:rsid w:val="4BBC5C4E"/>
    <w:rsid w:val="4C11760B"/>
    <w:rsid w:val="4C207F2B"/>
    <w:rsid w:val="4C561BFF"/>
    <w:rsid w:val="4C6611ED"/>
    <w:rsid w:val="4C7351BF"/>
    <w:rsid w:val="4C816990"/>
    <w:rsid w:val="4CA8773E"/>
    <w:rsid w:val="4D023B34"/>
    <w:rsid w:val="4D094EC3"/>
    <w:rsid w:val="4D5D3BD3"/>
    <w:rsid w:val="4D783DF7"/>
    <w:rsid w:val="4D7D140D"/>
    <w:rsid w:val="4D88228C"/>
    <w:rsid w:val="4DCB500F"/>
    <w:rsid w:val="4E3B0C44"/>
    <w:rsid w:val="4EA773D1"/>
    <w:rsid w:val="4EB7F892"/>
    <w:rsid w:val="4ED141EC"/>
    <w:rsid w:val="4ED76890"/>
    <w:rsid w:val="4EF851EF"/>
    <w:rsid w:val="4EFB4CDF"/>
    <w:rsid w:val="4F2C7325"/>
    <w:rsid w:val="4FAD422B"/>
    <w:rsid w:val="4FCD637F"/>
    <w:rsid w:val="4FD01CC8"/>
    <w:rsid w:val="4FE53195"/>
    <w:rsid w:val="500D1B24"/>
    <w:rsid w:val="500F0A42"/>
    <w:rsid w:val="50102CD6"/>
    <w:rsid w:val="502E4111"/>
    <w:rsid w:val="503D7A64"/>
    <w:rsid w:val="50C8299F"/>
    <w:rsid w:val="50ED2406"/>
    <w:rsid w:val="50FE637F"/>
    <w:rsid w:val="516A7314"/>
    <w:rsid w:val="51707F2A"/>
    <w:rsid w:val="517A6374"/>
    <w:rsid w:val="51DC4954"/>
    <w:rsid w:val="52102850"/>
    <w:rsid w:val="52201E6B"/>
    <w:rsid w:val="526E7576"/>
    <w:rsid w:val="5285323E"/>
    <w:rsid w:val="528D316F"/>
    <w:rsid w:val="52BE430B"/>
    <w:rsid w:val="52E8648C"/>
    <w:rsid w:val="52ED2B91"/>
    <w:rsid w:val="534C565A"/>
    <w:rsid w:val="53B93D3E"/>
    <w:rsid w:val="543F3D14"/>
    <w:rsid w:val="544E58B1"/>
    <w:rsid w:val="545A0829"/>
    <w:rsid w:val="545C3C0D"/>
    <w:rsid w:val="5464510E"/>
    <w:rsid w:val="548C2946"/>
    <w:rsid w:val="549F7EBB"/>
    <w:rsid w:val="54D95840"/>
    <w:rsid w:val="54F40207"/>
    <w:rsid w:val="552A0475"/>
    <w:rsid w:val="55752584"/>
    <w:rsid w:val="559674D1"/>
    <w:rsid w:val="55B60A05"/>
    <w:rsid w:val="55EC65BF"/>
    <w:rsid w:val="55F85AD5"/>
    <w:rsid w:val="56143C4D"/>
    <w:rsid w:val="56151261"/>
    <w:rsid w:val="56260894"/>
    <w:rsid w:val="56397B3F"/>
    <w:rsid w:val="56C87388"/>
    <w:rsid w:val="56CD0D0F"/>
    <w:rsid w:val="56D81F95"/>
    <w:rsid w:val="56DE2F1C"/>
    <w:rsid w:val="56EA7B13"/>
    <w:rsid w:val="56FB453E"/>
    <w:rsid w:val="572D6FF1"/>
    <w:rsid w:val="578C2978"/>
    <w:rsid w:val="578D10CB"/>
    <w:rsid w:val="5792174B"/>
    <w:rsid w:val="57935FB4"/>
    <w:rsid w:val="57DA5B0A"/>
    <w:rsid w:val="57E83927"/>
    <w:rsid w:val="57F23B91"/>
    <w:rsid w:val="57F546A9"/>
    <w:rsid w:val="58207565"/>
    <w:rsid w:val="58294CE8"/>
    <w:rsid w:val="586B53C7"/>
    <w:rsid w:val="58B303D9"/>
    <w:rsid w:val="58EC0A6C"/>
    <w:rsid w:val="59554FEC"/>
    <w:rsid w:val="59B72258"/>
    <w:rsid w:val="59BC506B"/>
    <w:rsid w:val="59ED4980"/>
    <w:rsid w:val="5A0422B2"/>
    <w:rsid w:val="5A5915AC"/>
    <w:rsid w:val="5A5B63D6"/>
    <w:rsid w:val="5A975B2D"/>
    <w:rsid w:val="5ABBC979"/>
    <w:rsid w:val="5AFF3461"/>
    <w:rsid w:val="5B631C42"/>
    <w:rsid w:val="5B765E19"/>
    <w:rsid w:val="5BB04C2C"/>
    <w:rsid w:val="5BBE2F03"/>
    <w:rsid w:val="5BD82630"/>
    <w:rsid w:val="5BD963A8"/>
    <w:rsid w:val="5BDC70BB"/>
    <w:rsid w:val="5BE81D98"/>
    <w:rsid w:val="5BFC7B3B"/>
    <w:rsid w:val="5C037EDF"/>
    <w:rsid w:val="5C9E02EB"/>
    <w:rsid w:val="5CB02B3A"/>
    <w:rsid w:val="5CD94CAE"/>
    <w:rsid w:val="5CDD41DD"/>
    <w:rsid w:val="5D3C274B"/>
    <w:rsid w:val="5DC514D7"/>
    <w:rsid w:val="5DF41277"/>
    <w:rsid w:val="5DF64FF0"/>
    <w:rsid w:val="5E3D49CC"/>
    <w:rsid w:val="5E6A778C"/>
    <w:rsid w:val="5E733BD4"/>
    <w:rsid w:val="5E77C7C6"/>
    <w:rsid w:val="5EB461F8"/>
    <w:rsid w:val="5EBC1D87"/>
    <w:rsid w:val="5EC12F45"/>
    <w:rsid w:val="5EC710E8"/>
    <w:rsid w:val="5ECE7D1A"/>
    <w:rsid w:val="5EFA588B"/>
    <w:rsid w:val="5F1E2284"/>
    <w:rsid w:val="5F244831"/>
    <w:rsid w:val="5F307846"/>
    <w:rsid w:val="5F444FFA"/>
    <w:rsid w:val="5F78314C"/>
    <w:rsid w:val="5F7B6E87"/>
    <w:rsid w:val="5F9277CA"/>
    <w:rsid w:val="5FAB519D"/>
    <w:rsid w:val="5FBC5DC5"/>
    <w:rsid w:val="5FC8476A"/>
    <w:rsid w:val="5FE442E7"/>
    <w:rsid w:val="5FF67529"/>
    <w:rsid w:val="5FFFAAE0"/>
    <w:rsid w:val="600E2019"/>
    <w:rsid w:val="60762418"/>
    <w:rsid w:val="609B2D54"/>
    <w:rsid w:val="60A54AAB"/>
    <w:rsid w:val="60A80FF4"/>
    <w:rsid w:val="60BE791B"/>
    <w:rsid w:val="60F24707"/>
    <w:rsid w:val="610E0230"/>
    <w:rsid w:val="610E43FE"/>
    <w:rsid w:val="6155202D"/>
    <w:rsid w:val="616109D2"/>
    <w:rsid w:val="61930DA7"/>
    <w:rsid w:val="61DE64C6"/>
    <w:rsid w:val="62116A72"/>
    <w:rsid w:val="62223BC5"/>
    <w:rsid w:val="622814F0"/>
    <w:rsid w:val="622D4D58"/>
    <w:rsid w:val="6260512D"/>
    <w:rsid w:val="62D07359"/>
    <w:rsid w:val="62E278F0"/>
    <w:rsid w:val="62E418BB"/>
    <w:rsid w:val="631E4199"/>
    <w:rsid w:val="63666773"/>
    <w:rsid w:val="638E3995"/>
    <w:rsid w:val="638E7A78"/>
    <w:rsid w:val="63D27752"/>
    <w:rsid w:val="63DD455C"/>
    <w:rsid w:val="647E043F"/>
    <w:rsid w:val="648C4EA5"/>
    <w:rsid w:val="64A03E97"/>
    <w:rsid w:val="64BF187A"/>
    <w:rsid w:val="64D4770D"/>
    <w:rsid w:val="64E97D5C"/>
    <w:rsid w:val="64F14763"/>
    <w:rsid w:val="64F42CD6"/>
    <w:rsid w:val="654A5B17"/>
    <w:rsid w:val="65A65A90"/>
    <w:rsid w:val="65C634F9"/>
    <w:rsid w:val="65C73C04"/>
    <w:rsid w:val="65E126BE"/>
    <w:rsid w:val="66300BF5"/>
    <w:rsid w:val="66314170"/>
    <w:rsid w:val="66347B2F"/>
    <w:rsid w:val="664675B7"/>
    <w:rsid w:val="665C20B0"/>
    <w:rsid w:val="666432A3"/>
    <w:rsid w:val="66761DF0"/>
    <w:rsid w:val="667FD72C"/>
    <w:rsid w:val="668E4BD6"/>
    <w:rsid w:val="66BB18A7"/>
    <w:rsid w:val="66C57588"/>
    <w:rsid w:val="66C947F9"/>
    <w:rsid w:val="66F45E44"/>
    <w:rsid w:val="670646DE"/>
    <w:rsid w:val="674F5CBF"/>
    <w:rsid w:val="678216A2"/>
    <w:rsid w:val="67883798"/>
    <w:rsid w:val="67B60119"/>
    <w:rsid w:val="67EA2AF6"/>
    <w:rsid w:val="681220C0"/>
    <w:rsid w:val="68770075"/>
    <w:rsid w:val="691E53FA"/>
    <w:rsid w:val="692D47C9"/>
    <w:rsid w:val="69346F3E"/>
    <w:rsid w:val="693A00BE"/>
    <w:rsid w:val="694F7CAA"/>
    <w:rsid w:val="69686370"/>
    <w:rsid w:val="69946F8A"/>
    <w:rsid w:val="69966CB4"/>
    <w:rsid w:val="69BF3B13"/>
    <w:rsid w:val="6A016C3D"/>
    <w:rsid w:val="6A12486A"/>
    <w:rsid w:val="6A323A8E"/>
    <w:rsid w:val="6A3D7B02"/>
    <w:rsid w:val="6A590DE0"/>
    <w:rsid w:val="6A975464"/>
    <w:rsid w:val="6ABE64BE"/>
    <w:rsid w:val="6AED777A"/>
    <w:rsid w:val="6B3B7824"/>
    <w:rsid w:val="6B5534D4"/>
    <w:rsid w:val="6B5F16C5"/>
    <w:rsid w:val="6B6F4633"/>
    <w:rsid w:val="6B762F90"/>
    <w:rsid w:val="6B943D34"/>
    <w:rsid w:val="6BCB7ABB"/>
    <w:rsid w:val="6BF6657C"/>
    <w:rsid w:val="6C076004"/>
    <w:rsid w:val="6C094140"/>
    <w:rsid w:val="6C532091"/>
    <w:rsid w:val="6CB85165"/>
    <w:rsid w:val="6CD61C8C"/>
    <w:rsid w:val="6CF22E26"/>
    <w:rsid w:val="6CF3201F"/>
    <w:rsid w:val="6CF3EA5A"/>
    <w:rsid w:val="6D0F3924"/>
    <w:rsid w:val="6D167504"/>
    <w:rsid w:val="6D45758A"/>
    <w:rsid w:val="6D7777CF"/>
    <w:rsid w:val="6D97573A"/>
    <w:rsid w:val="6D981ED0"/>
    <w:rsid w:val="6DDB5FB0"/>
    <w:rsid w:val="6DE76703"/>
    <w:rsid w:val="6DED63D3"/>
    <w:rsid w:val="6E114F28"/>
    <w:rsid w:val="6E7D2BC3"/>
    <w:rsid w:val="6EB35373"/>
    <w:rsid w:val="6ED24CBD"/>
    <w:rsid w:val="6F1A0749"/>
    <w:rsid w:val="6F324A90"/>
    <w:rsid w:val="6F505649"/>
    <w:rsid w:val="6F7400F2"/>
    <w:rsid w:val="6FEF5D36"/>
    <w:rsid w:val="6FF15617"/>
    <w:rsid w:val="700A492A"/>
    <w:rsid w:val="704E2A69"/>
    <w:rsid w:val="709F32C5"/>
    <w:rsid w:val="71192D04"/>
    <w:rsid w:val="712D191E"/>
    <w:rsid w:val="713C6D66"/>
    <w:rsid w:val="71773ABC"/>
    <w:rsid w:val="719637E6"/>
    <w:rsid w:val="719B1193"/>
    <w:rsid w:val="71E52F59"/>
    <w:rsid w:val="72021D5D"/>
    <w:rsid w:val="720A6E02"/>
    <w:rsid w:val="72447D0E"/>
    <w:rsid w:val="725D177B"/>
    <w:rsid w:val="728F502A"/>
    <w:rsid w:val="72F96CB0"/>
    <w:rsid w:val="730209FD"/>
    <w:rsid w:val="73123FD7"/>
    <w:rsid w:val="731C0031"/>
    <w:rsid w:val="73902250"/>
    <w:rsid w:val="73FD752A"/>
    <w:rsid w:val="74277859"/>
    <w:rsid w:val="748A603A"/>
    <w:rsid w:val="74987AE6"/>
    <w:rsid w:val="74AC2B47"/>
    <w:rsid w:val="74CB335A"/>
    <w:rsid w:val="753C4E9B"/>
    <w:rsid w:val="75463985"/>
    <w:rsid w:val="754A7097"/>
    <w:rsid w:val="75546BA3"/>
    <w:rsid w:val="755C3532"/>
    <w:rsid w:val="75764AC6"/>
    <w:rsid w:val="75D9424A"/>
    <w:rsid w:val="761958C7"/>
    <w:rsid w:val="763B5B01"/>
    <w:rsid w:val="76606810"/>
    <w:rsid w:val="76852C06"/>
    <w:rsid w:val="769B7804"/>
    <w:rsid w:val="76E94996"/>
    <w:rsid w:val="76F123A0"/>
    <w:rsid w:val="76F26278"/>
    <w:rsid w:val="775C13BB"/>
    <w:rsid w:val="77757BC8"/>
    <w:rsid w:val="778B6351"/>
    <w:rsid w:val="779FCBF0"/>
    <w:rsid w:val="77B51620"/>
    <w:rsid w:val="77C35F4A"/>
    <w:rsid w:val="77C80759"/>
    <w:rsid w:val="77E85551"/>
    <w:rsid w:val="77F7E21B"/>
    <w:rsid w:val="781113A7"/>
    <w:rsid w:val="78224565"/>
    <w:rsid w:val="782C63A8"/>
    <w:rsid w:val="784309DA"/>
    <w:rsid w:val="78BC253A"/>
    <w:rsid w:val="78CA10FB"/>
    <w:rsid w:val="78D173A6"/>
    <w:rsid w:val="78D21481"/>
    <w:rsid w:val="78DC3F71"/>
    <w:rsid w:val="78EE0E61"/>
    <w:rsid w:val="79194A7E"/>
    <w:rsid w:val="791E6510"/>
    <w:rsid w:val="79382508"/>
    <w:rsid w:val="79782905"/>
    <w:rsid w:val="79E2F975"/>
    <w:rsid w:val="7A28257D"/>
    <w:rsid w:val="7A3525A4"/>
    <w:rsid w:val="7A450285"/>
    <w:rsid w:val="7A750BD8"/>
    <w:rsid w:val="7ABD1848"/>
    <w:rsid w:val="7AC92CDC"/>
    <w:rsid w:val="7AFE508C"/>
    <w:rsid w:val="7B096418"/>
    <w:rsid w:val="7B3A03BD"/>
    <w:rsid w:val="7B3BDBF2"/>
    <w:rsid w:val="7B51340D"/>
    <w:rsid w:val="7B6770D5"/>
    <w:rsid w:val="7BCF1E62"/>
    <w:rsid w:val="7BDD2EF3"/>
    <w:rsid w:val="7C086DD5"/>
    <w:rsid w:val="7C0C5FF4"/>
    <w:rsid w:val="7C10035C"/>
    <w:rsid w:val="7C417926"/>
    <w:rsid w:val="7C5B09E8"/>
    <w:rsid w:val="7C8D4A41"/>
    <w:rsid w:val="7CB92CB8"/>
    <w:rsid w:val="7CBC6FAC"/>
    <w:rsid w:val="7CD13904"/>
    <w:rsid w:val="7CDE2AA0"/>
    <w:rsid w:val="7CE3278B"/>
    <w:rsid w:val="7D10135B"/>
    <w:rsid w:val="7D162B61"/>
    <w:rsid w:val="7DA71A0B"/>
    <w:rsid w:val="7E5E42B5"/>
    <w:rsid w:val="7E892FF5"/>
    <w:rsid w:val="7EAB6311"/>
    <w:rsid w:val="7EB16AF4"/>
    <w:rsid w:val="7EB460B3"/>
    <w:rsid w:val="7EBDCBBF"/>
    <w:rsid w:val="7EC74CC1"/>
    <w:rsid w:val="7ECF746B"/>
    <w:rsid w:val="7ED26AAB"/>
    <w:rsid w:val="7EDB5E10"/>
    <w:rsid w:val="7EE50036"/>
    <w:rsid w:val="7EE6408F"/>
    <w:rsid w:val="7F3EB32E"/>
    <w:rsid w:val="7F492D2C"/>
    <w:rsid w:val="7F572FBC"/>
    <w:rsid w:val="7F5F3F3B"/>
    <w:rsid w:val="7F5FE5E8"/>
    <w:rsid w:val="7F7FC8C5"/>
    <w:rsid w:val="7FEB2083"/>
    <w:rsid w:val="7FF802FC"/>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qFormat/>
    <w:uiPriority w:val="0"/>
    <w:pPr>
      <w:spacing w:after="120"/>
    </w:pPr>
  </w:style>
  <w:style w:type="paragraph" w:styleId="4">
    <w:name w:val="Body Text Indent 3"/>
    <w:basedOn w:val="1"/>
    <w:qFormat/>
    <w:uiPriority w:val="0"/>
    <w:pPr>
      <w:spacing w:after="120"/>
      <w:ind w:left="420" w:leftChars="200"/>
    </w:pPr>
    <w:rPr>
      <w:sz w:val="16"/>
      <w:szCs w:val="16"/>
    </w:rPr>
  </w:style>
  <w:style w:type="paragraph" w:styleId="8">
    <w:name w:val="Body Text Indent"/>
    <w:basedOn w:val="1"/>
    <w:unhideWhenUsed/>
    <w:qFormat/>
    <w:uiPriority w:val="0"/>
    <w:pPr>
      <w:spacing w:beforeLines="0" w:afterLines="0"/>
      <w:ind w:firstLine="640" w:firstLineChars="200"/>
    </w:pPr>
    <w:rPr>
      <w:rFonts w:hint="default"/>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unhideWhenUsed/>
    <w:qFormat/>
    <w:uiPriority w:val="99"/>
    <w:pPr>
      <w:spacing w:beforeLines="0" w:afterLines="0"/>
      <w:ind w:firstLine="420"/>
    </w:pPr>
    <w:rPr>
      <w:rFonts w:hint="default"/>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标题1"/>
    <w:basedOn w:val="5"/>
    <w:qFormat/>
    <w:uiPriority w:val="0"/>
    <w:rPr>
      <w:rFonts w:eastAsia="黑体"/>
    </w:rPr>
  </w:style>
  <w:style w:type="paragraph" w:customStyle="1" w:styleId="1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5794</Words>
  <Characters>6188</Characters>
  <Lines>0</Lines>
  <Paragraphs>0</Paragraphs>
  <TotalTime>11</TotalTime>
  <ScaleCrop>false</ScaleCrop>
  <LinksUpToDate>false</LinksUpToDate>
  <CharactersWithSpaces>6284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Administrator</cp:lastModifiedBy>
  <cp:lastPrinted>2025-04-10T10:25:00Z</cp:lastPrinted>
  <dcterms:modified xsi:type="dcterms:W3CDTF">2025-09-19T00:32:56Z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2E59967559EAD85B47E0F5671AAD0169_43</vt:lpwstr>
  </property>
  <property fmtid="{D5CDD505-2E9C-101B-9397-08002B2CF9AE}" pid="4" name="KSOTemplateDocerSaveRecord">
    <vt:lpwstr>eyJoZGlkIjoiZTgzYjczOTQxZTJiODAzYjYyYzUzN2E0YmJhZTI4MWUifQ==</vt:lpwstr>
  </property>
</Properties>
</file>