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359BA">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2F26813">
      <w:pPr>
        <w:pStyle w:val="13"/>
        <w:jc w:val="center"/>
        <w:rPr>
          <w:rFonts w:ascii="Times New Roman" w:hAnsi="Times New Roman" w:cs="Times New Roman"/>
          <w:sz w:val="56"/>
          <w:szCs w:val="56"/>
        </w:rPr>
      </w:pPr>
    </w:p>
    <w:p w14:paraId="1B38D72A">
      <w:pPr>
        <w:pStyle w:val="13"/>
        <w:jc w:val="center"/>
        <w:rPr>
          <w:rFonts w:ascii="Times New Roman" w:hAnsi="Times New Roman" w:cs="Times New Roman"/>
          <w:sz w:val="84"/>
          <w:szCs w:val="84"/>
        </w:rPr>
      </w:pPr>
    </w:p>
    <w:p w14:paraId="35AE1BAE">
      <w:pPr>
        <w:pStyle w:val="13"/>
        <w:jc w:val="center"/>
        <w:rPr>
          <w:rFonts w:ascii="Times New Roman" w:hAnsi="Times New Roman" w:cs="Times New Roman"/>
          <w:sz w:val="84"/>
          <w:szCs w:val="84"/>
        </w:rPr>
      </w:pPr>
    </w:p>
    <w:p w14:paraId="5BA5A816">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E426D5C">
      <w:pPr>
        <w:pStyle w:val="13"/>
        <w:jc w:val="center"/>
        <w:rPr>
          <w:rFonts w:ascii="Times New Roman" w:hAnsi="Times New Roman" w:cs="Times New Roman"/>
          <w:sz w:val="32"/>
          <w:szCs w:val="32"/>
        </w:rPr>
      </w:pPr>
      <w:r>
        <w:rPr>
          <w:rFonts w:hint="eastAsia" w:ascii="Times New Roman" w:hAnsi="Times New Roman" w:eastAsia="方正小标宋简体" w:cs="Times New Roman"/>
          <w:sz w:val="72"/>
          <w:szCs w:val="72"/>
          <w:lang w:eastAsia="zh-CN"/>
        </w:rPr>
        <w:t>市就业服务中心</w:t>
      </w:r>
      <w:r>
        <w:rPr>
          <w:rFonts w:ascii="Times New Roman" w:hAnsi="Times New Roman" w:eastAsia="方正小标宋简体" w:cs="Times New Roman"/>
          <w:sz w:val="72"/>
          <w:szCs w:val="72"/>
        </w:rPr>
        <w:t>部门决算</w:t>
      </w:r>
    </w:p>
    <w:p w14:paraId="57DAAAE0">
      <w:pPr>
        <w:pStyle w:val="13"/>
        <w:jc w:val="center"/>
        <w:rPr>
          <w:rFonts w:ascii="Times New Roman" w:hAnsi="Times New Roman" w:cs="Times New Roman"/>
          <w:sz w:val="32"/>
          <w:szCs w:val="32"/>
        </w:rPr>
      </w:pPr>
    </w:p>
    <w:p w14:paraId="3FDFB5EC">
      <w:pPr>
        <w:pStyle w:val="13"/>
        <w:jc w:val="center"/>
        <w:rPr>
          <w:rFonts w:ascii="Times New Roman" w:hAnsi="Times New Roman" w:cs="Times New Roman"/>
          <w:sz w:val="32"/>
          <w:szCs w:val="32"/>
        </w:rPr>
      </w:pPr>
    </w:p>
    <w:p w14:paraId="70F9ACE8">
      <w:pPr>
        <w:pStyle w:val="13"/>
        <w:spacing w:line="540" w:lineRule="exact"/>
        <w:jc w:val="center"/>
        <w:rPr>
          <w:rFonts w:ascii="Times New Roman" w:hAnsi="Times New Roman" w:cs="Times New Roman"/>
          <w:sz w:val="56"/>
          <w:szCs w:val="56"/>
        </w:rPr>
      </w:pPr>
    </w:p>
    <w:p w14:paraId="71FE249F">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6F88EA2">
      <w:pPr>
        <w:pStyle w:val="13"/>
        <w:spacing w:line="600" w:lineRule="exact"/>
        <w:jc w:val="both"/>
        <w:rPr>
          <w:rFonts w:ascii="Times New Roman" w:hAnsi="Times New Roman" w:cs="Times New Roman"/>
          <w:b/>
          <w:sz w:val="36"/>
          <w:szCs w:val="28"/>
        </w:rPr>
      </w:pPr>
    </w:p>
    <w:p w14:paraId="426C84D0">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A1234B7">
      <w:pPr>
        <w:pStyle w:val="13"/>
        <w:spacing w:line="600" w:lineRule="exact"/>
        <w:jc w:val="center"/>
        <w:rPr>
          <w:rFonts w:ascii="Times New Roman" w:hAnsi="Times New Roman" w:cs="Times New Roman"/>
          <w:b/>
          <w:sz w:val="36"/>
          <w:szCs w:val="28"/>
        </w:rPr>
      </w:pPr>
    </w:p>
    <w:p w14:paraId="04991F67">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市就业服务中心</w:t>
      </w:r>
      <w:r>
        <w:rPr>
          <w:rFonts w:ascii="Times New Roman" w:hAnsi="Times New Roman" w:cs="Times New Roman"/>
          <w:bCs/>
          <w:sz w:val="32"/>
          <w:szCs w:val="32"/>
        </w:rPr>
        <w:t>概况</w:t>
      </w:r>
    </w:p>
    <w:p w14:paraId="71AF6EA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FD31CA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A9A340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E9E9E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43A34E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E1431D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216C1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D8C58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11D7C8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C977FF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8BED71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1F6494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A237C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131A4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3F1D79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6C041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191D3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79E005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36E4E7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796939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CC90D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C3981D1">
      <w:pPr>
        <w:autoSpaceDE w:val="0"/>
        <w:autoSpaceDN w:val="0"/>
        <w:adjustRightInd w:val="0"/>
        <w:spacing w:line="500" w:lineRule="exact"/>
        <w:ind w:left="0" w:leftChars="0" w:firstLine="0" w:firstLineChars="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59236C4">
      <w:pPr>
        <w:autoSpaceDE w:val="0"/>
        <w:autoSpaceDN w:val="0"/>
        <w:adjustRightInd w:val="0"/>
        <w:spacing w:line="500" w:lineRule="exact"/>
        <w:ind w:left="0" w:leftChars="0" w:firstLine="0" w:firstLineChars="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w:t>
      </w:r>
      <w:r>
        <w:rPr>
          <w:rFonts w:hint="eastAsia" w:ascii="Times New Roman" w:hAnsi="Times New Roman" w:eastAsia="仿宋_GB2312" w:cs="Times New Roman"/>
          <w:color w:val="000000"/>
          <w:kern w:val="0"/>
          <w:sz w:val="32"/>
          <w:szCs w:val="32"/>
          <w:lang w:eastAsia="zh-CN"/>
        </w:rPr>
        <w:t>收入</w:t>
      </w:r>
      <w:r>
        <w:rPr>
          <w:rFonts w:hint="eastAsia" w:ascii="Times New Roman" w:hAnsi="Times New Roman" w:eastAsia="仿宋_GB2312" w:cs="Times New Roman"/>
          <w:color w:val="000000"/>
          <w:kern w:val="0"/>
          <w:sz w:val="32"/>
          <w:szCs w:val="32"/>
        </w:rPr>
        <w:t>支出决算情况说明</w:t>
      </w:r>
    </w:p>
    <w:p w14:paraId="15335B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22B994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5E676E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134EC1E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04CF50F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A87E82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79283D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793D7EF">
      <w:pPr>
        <w:pStyle w:val="13"/>
        <w:spacing w:line="600" w:lineRule="exact"/>
        <w:rPr>
          <w:rFonts w:ascii="Times New Roman" w:hAnsi="Times New Roman" w:cs="Times New Roman"/>
          <w:bCs/>
          <w:sz w:val="28"/>
          <w:szCs w:val="28"/>
        </w:rPr>
      </w:pPr>
    </w:p>
    <w:p w14:paraId="523DC0C2">
      <w:pPr>
        <w:jc w:val="center"/>
        <w:rPr>
          <w:rFonts w:ascii="Times New Roman" w:hAnsi="Times New Roman" w:cs="Times New Roman"/>
          <w:sz w:val="72"/>
          <w:szCs w:val="72"/>
        </w:rPr>
      </w:pPr>
    </w:p>
    <w:p w14:paraId="36076A71">
      <w:pPr>
        <w:jc w:val="center"/>
        <w:rPr>
          <w:rFonts w:ascii="Times New Roman" w:hAnsi="Times New Roman" w:cs="Times New Roman"/>
          <w:sz w:val="72"/>
          <w:szCs w:val="72"/>
        </w:rPr>
      </w:pPr>
    </w:p>
    <w:p w14:paraId="61D96C0B">
      <w:pPr>
        <w:jc w:val="center"/>
        <w:rPr>
          <w:rFonts w:ascii="Times New Roman" w:hAnsi="Times New Roman" w:cs="Times New Roman"/>
          <w:sz w:val="72"/>
          <w:szCs w:val="72"/>
        </w:rPr>
      </w:pPr>
    </w:p>
    <w:p w14:paraId="21B7EF73">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81CA425">
      <w:pPr>
        <w:rPr>
          <w:rFonts w:ascii="Times New Roman" w:hAnsi="Times New Roman" w:eastAsia="方正小标宋_GBK" w:cs="Times New Roman"/>
          <w:sz w:val="72"/>
          <w:szCs w:val="72"/>
        </w:rPr>
      </w:pPr>
    </w:p>
    <w:p w14:paraId="0DE7637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89C09D6">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市就业服务中心</w:t>
      </w:r>
      <w:r>
        <w:rPr>
          <w:rFonts w:ascii="Times New Roman" w:hAnsi="Times New Roman" w:eastAsia="方正小标宋_GBK" w:cs="Times New Roman"/>
          <w:sz w:val="52"/>
          <w:szCs w:val="52"/>
        </w:rPr>
        <w:t>概况</w:t>
      </w:r>
    </w:p>
    <w:p w14:paraId="7CC792E4">
      <w:pPr>
        <w:pStyle w:val="3"/>
        <w:ind w:left="0" w:leftChars="0" w:firstLine="0" w:firstLineChars="0"/>
        <w:rPr>
          <w:rFonts w:ascii="Times New Roman" w:hAnsi="Times New Roman" w:cs="Times New Roman"/>
        </w:rPr>
      </w:pPr>
    </w:p>
    <w:p w14:paraId="0393F00D">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17CCAA4">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怀化市就业服务中心贯彻落实党中央和省委、市委关于就业服务工作的方针政策和决策部署。主要职责是：</w:t>
      </w:r>
    </w:p>
    <w:p w14:paraId="32C40F9E">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（一）参与制订促进就业、人才强市和失业保险发展规划及年度计划，为指导推进全市公共就业服务体系建设提供服务。</w:t>
      </w:r>
    </w:p>
    <w:p w14:paraId="44EDBDFE">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二）承担组织落实促进就业各项政策措施的相关事务性工作，为高校毕业生、登记失业人员、农村劳动力、脱贫人口、退捕渔民及就业困难人员等群体提供政策咨询、职业指导、岗位信息、就业失业与求职登记、职业培训、就业援助等公共就业服务。</w:t>
      </w:r>
    </w:p>
    <w:p w14:paraId="51F08BFC">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（三）承担组织落实创业带动就业政策措施的相关事务性工作，为各类群体开展创新创业活动提供创业培训、创业指导、创业载体和创业担保贷款等创业服务。</w:t>
      </w:r>
    </w:p>
    <w:p w14:paraId="663DDA48">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（四）承担组织落实职业技能培训和创业培训相关工作。</w:t>
      </w:r>
    </w:p>
    <w:p w14:paraId="746C8FD2">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（五）承担组织落实失业保险各项政策的相关事务性工作；承担市直企事业等单位失业保险经办服务工作。</w:t>
      </w:r>
    </w:p>
    <w:p w14:paraId="32FC362A">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（六）承担人力资源开发与服务工作；承担企业高层次人才引进相关工作；承担流动人员人事档案管理相关事务性工作。</w:t>
      </w:r>
    </w:p>
    <w:p w14:paraId="445B2F97">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（七）为公共就业服务信息化建设提供技术支持和服务保障；承担就业失业相关统计分析、就业失业信息监测工作。</w:t>
      </w:r>
    </w:p>
    <w:p w14:paraId="730CE2B8">
      <w:pPr>
        <w:spacing w:line="60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（八）承担市委人才工作领导小组、市就业和农民工工作暨根治拖欠农民工工资工作领导小组涉及就业的日常事务性、服务性工作。</w:t>
      </w:r>
    </w:p>
    <w:p w14:paraId="295FCF19">
      <w:pPr>
        <w:widowControl/>
        <w:spacing w:line="600" w:lineRule="exact"/>
        <w:ind w:left="0" w:leftChars="0" w:firstLine="640" w:firstLineChars="200"/>
        <w:rPr>
          <w:rFonts w:hint="eastAsia" w:ascii="方正仿宋_GB2312" w:hAnsi="方正仿宋_GB2312" w:eastAsia="方正仿宋_GB2312" w:cs="方正仿宋_GB2312"/>
          <w:color w:val="auto"/>
          <w:sz w:val="32"/>
          <w:szCs w:val="32"/>
          <w:highlight w:val="none"/>
          <w:lang w:eastAsia="zh-CN"/>
        </w:rPr>
      </w:pPr>
      <w:r>
        <w:rPr>
          <w:rFonts w:hint="eastAsia" w:ascii="方正仿宋_GB2312" w:hAnsi="方正仿宋_GB2312" w:eastAsia="方正仿宋_GB2312" w:cs="方正仿宋_GB2312"/>
          <w:color w:val="auto"/>
          <w:sz w:val="32"/>
          <w:szCs w:val="32"/>
          <w:highlight w:val="none"/>
        </w:rPr>
        <w:t>（九）完成市人力资源和社会保障局交办的其他任务</w:t>
      </w:r>
      <w:r>
        <w:rPr>
          <w:rFonts w:hint="eastAsia" w:ascii="方正仿宋_GB2312" w:hAnsi="方正仿宋_GB2312" w:eastAsia="方正仿宋_GB2312" w:cs="方正仿宋_GB2312"/>
          <w:color w:val="auto"/>
          <w:sz w:val="32"/>
          <w:szCs w:val="32"/>
          <w:highlight w:val="none"/>
          <w:lang w:eastAsia="zh-CN"/>
        </w:rPr>
        <w:t>。</w:t>
      </w:r>
    </w:p>
    <w:p w14:paraId="3C327D75">
      <w:pPr>
        <w:widowControl/>
        <w:spacing w:line="600" w:lineRule="exact"/>
        <w:rPr>
          <w:rFonts w:hint="eastAsia" w:ascii="方正仿宋_GB2312" w:hAnsi="方正仿宋_GB2312" w:eastAsia="方正仿宋_GB2312" w:cs="方正仿宋_GB2312"/>
          <w:color w:val="auto"/>
          <w:sz w:val="32"/>
          <w:szCs w:val="32"/>
          <w:highlight w:val="none"/>
          <w:lang w:eastAsia="zh-CN"/>
        </w:rPr>
      </w:pPr>
    </w:p>
    <w:p w14:paraId="17DE053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CC52A43">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59BCF14B">
      <w:pPr>
        <w:widowControl/>
        <w:spacing w:line="600" w:lineRule="exact"/>
        <w:ind w:left="0" w:leftChars="0" w:firstLine="640" w:firstLineChars="200"/>
        <w:rPr>
          <w:rFonts w:hint="eastAsia" w:ascii="方正仿宋_GB2312" w:hAnsi="方正仿宋_GB2312" w:eastAsia="方正仿宋_GB2312" w:cs="方正仿宋_GB2312"/>
          <w:i w:val="0"/>
          <w:iCs w:val="0"/>
          <w:caps w:val="0"/>
          <w:color w:val="auto"/>
          <w:spacing w:val="0"/>
          <w:kern w:val="0"/>
          <w:sz w:val="32"/>
          <w:szCs w:val="32"/>
          <w:highlight w:val="none"/>
          <w:shd w:val="clear" w:fill="FFFFFF"/>
          <w:lang w:val="en-US" w:eastAsia="zh-CN" w:bidi="ar"/>
        </w:rPr>
      </w:pPr>
      <w:r>
        <w:rPr>
          <w:rFonts w:hint="eastAsia" w:ascii="方正仿宋_GB2312" w:hAnsi="方正仿宋_GB2312" w:eastAsia="方正仿宋_GB2312" w:cs="方正仿宋_GB2312"/>
          <w:bCs/>
          <w:color w:val="auto"/>
          <w:kern w:val="0"/>
          <w:sz w:val="32"/>
          <w:szCs w:val="32"/>
          <w:highlight w:val="none"/>
          <w:lang w:eastAsia="zh-CN"/>
        </w:rPr>
        <w:t>市就业服务中心</w:t>
      </w:r>
      <w:r>
        <w:rPr>
          <w:rFonts w:hint="eastAsia" w:ascii="方正仿宋_GB2312" w:hAnsi="方正仿宋_GB2312" w:eastAsia="方正仿宋_GB2312" w:cs="方正仿宋_GB2312"/>
          <w:bCs/>
          <w:color w:val="auto"/>
          <w:kern w:val="0"/>
          <w:sz w:val="32"/>
          <w:szCs w:val="32"/>
          <w:highlight w:val="none"/>
        </w:rPr>
        <w:t>内设机构包括：</w:t>
      </w:r>
      <w:r>
        <w:rPr>
          <w:rFonts w:hint="eastAsia" w:ascii="方正仿宋_GB2312" w:hAnsi="方正仿宋_GB2312" w:eastAsia="方正仿宋_GB2312" w:cs="方正仿宋_GB2312"/>
          <w:i w:val="0"/>
          <w:iCs w:val="0"/>
          <w:caps w:val="0"/>
          <w:color w:val="auto"/>
          <w:spacing w:val="0"/>
          <w:kern w:val="0"/>
          <w:sz w:val="32"/>
          <w:szCs w:val="32"/>
          <w:highlight w:val="none"/>
          <w:shd w:val="clear" w:fill="FFFFFF"/>
          <w:lang w:val="en-US" w:eastAsia="zh-CN" w:bidi="ar"/>
        </w:rPr>
        <w:t>综合部、财务和内控稽核部、城乡就业部、创业指导服务部、就业技能服务部、失业保险部、人事档案服务部和市企业用工服务中心。</w:t>
      </w:r>
    </w:p>
    <w:p w14:paraId="3EA09D90">
      <w:pPr>
        <w:widowControl/>
        <w:numPr>
          <w:ilvl w:val="0"/>
          <w:numId w:val="1"/>
        </w:numPr>
        <w:spacing w:line="600" w:lineRule="exact"/>
        <w:ind w:left="0" w:leftChars="0" w:firstLine="0" w:firstLineChars="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521E1C38">
      <w:pPr>
        <w:widowControl/>
        <w:numPr>
          <w:ilvl w:val="0"/>
          <w:numId w:val="0"/>
        </w:numPr>
        <w:spacing w:line="600" w:lineRule="exact"/>
        <w:ind w:left="0" w:leftChars="0" w:firstLine="640" w:firstLineChars="200"/>
        <w:rPr>
          <w:rFonts w:hint="eastAsia" w:ascii="Times New Roman" w:hAnsi="Times New Roman" w:eastAsia="方正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市就业服务中心</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方正仿宋_GB2312" w:hAnsi="方正仿宋_GB2312" w:eastAsia="方正仿宋_GB2312" w:cs="方正仿宋_GB2312"/>
          <w:bCs/>
          <w:color w:val="auto"/>
          <w:kern w:val="0"/>
          <w:sz w:val="32"/>
          <w:szCs w:val="32"/>
          <w:highlight w:val="none"/>
          <w:lang w:eastAsia="zh-CN"/>
        </w:rPr>
        <w:t>就业服务中心</w:t>
      </w:r>
      <w:r>
        <w:rPr>
          <w:rFonts w:hint="eastAsia" w:ascii="方正仿宋_GB2312" w:hAnsi="方正仿宋_GB2312" w:eastAsia="方正仿宋_GB2312" w:cs="方正仿宋_GB2312"/>
          <w:bCs/>
          <w:color w:val="auto"/>
          <w:kern w:val="0"/>
          <w:sz w:val="32"/>
          <w:szCs w:val="32"/>
          <w:highlight w:val="none"/>
        </w:rPr>
        <w:t>单位本级</w:t>
      </w:r>
      <w:r>
        <w:rPr>
          <w:rFonts w:hint="eastAsia" w:ascii="方正仿宋_GB2312" w:hAnsi="方正仿宋_GB2312" w:eastAsia="方正仿宋_GB2312" w:cs="方正仿宋_GB2312"/>
          <w:bCs/>
          <w:color w:val="auto"/>
          <w:kern w:val="0"/>
          <w:sz w:val="32"/>
          <w:szCs w:val="32"/>
          <w:highlight w:val="none"/>
          <w:lang w:eastAsia="zh-CN"/>
        </w:rPr>
        <w:t>。</w:t>
      </w:r>
    </w:p>
    <w:p w14:paraId="5FAEAF8A">
      <w:pPr>
        <w:jc w:val="left"/>
        <w:rPr>
          <w:rFonts w:ascii="Times New Roman" w:hAnsi="Times New Roman" w:eastAsia="仿宋_GB2312" w:cs="Times New Roman"/>
          <w:sz w:val="28"/>
          <w:szCs w:val="32"/>
        </w:rPr>
      </w:pPr>
    </w:p>
    <w:p w14:paraId="409DB9BE">
      <w:pPr>
        <w:jc w:val="center"/>
        <w:rPr>
          <w:rFonts w:ascii="Times New Roman" w:hAnsi="Times New Roman" w:eastAsia="黑体" w:cs="Times New Roman"/>
          <w:sz w:val="28"/>
          <w:szCs w:val="28"/>
        </w:rPr>
      </w:pPr>
    </w:p>
    <w:p w14:paraId="56F51F89">
      <w:pPr>
        <w:jc w:val="center"/>
        <w:rPr>
          <w:rFonts w:ascii="Times New Roman" w:hAnsi="Times New Roman" w:eastAsia="黑体" w:cs="Times New Roman"/>
          <w:sz w:val="28"/>
          <w:szCs w:val="28"/>
        </w:rPr>
      </w:pPr>
    </w:p>
    <w:p w14:paraId="10F29B3A">
      <w:pPr>
        <w:jc w:val="center"/>
        <w:rPr>
          <w:rFonts w:ascii="Times New Roman" w:hAnsi="Times New Roman" w:eastAsia="黑体" w:cs="Times New Roman"/>
          <w:sz w:val="28"/>
          <w:szCs w:val="28"/>
        </w:rPr>
      </w:pPr>
    </w:p>
    <w:p w14:paraId="01F8D495">
      <w:pPr>
        <w:jc w:val="center"/>
        <w:rPr>
          <w:rFonts w:ascii="Times New Roman" w:hAnsi="Times New Roman" w:eastAsia="黑体" w:cs="Times New Roman"/>
          <w:sz w:val="28"/>
          <w:szCs w:val="28"/>
        </w:rPr>
      </w:pPr>
    </w:p>
    <w:p w14:paraId="50657EDC">
      <w:pPr>
        <w:jc w:val="center"/>
        <w:rPr>
          <w:rFonts w:ascii="Times New Roman" w:hAnsi="Times New Roman" w:eastAsia="黑体" w:cs="Times New Roman"/>
          <w:sz w:val="28"/>
          <w:szCs w:val="28"/>
        </w:rPr>
      </w:pPr>
    </w:p>
    <w:p w14:paraId="26279AD0">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0B85E65">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288B48A9">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65C6BD83">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346D3530">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411EBBB2">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562792D7">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51493F44">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p>
    <w:p w14:paraId="2301359B">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A5ADCEF">
      <w:pPr>
        <w:pStyle w:val="13"/>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（见附件）</w:t>
      </w:r>
    </w:p>
    <w:p w14:paraId="455BEE3C">
      <w:pPr>
        <w:pStyle w:val="13"/>
        <w:jc w:val="center"/>
        <w:rPr>
          <w:rFonts w:ascii="Times New Roman" w:hAnsi="Times New Roman" w:cs="Times New Roman"/>
          <w:sz w:val="72"/>
          <w:szCs w:val="72"/>
        </w:rPr>
      </w:pPr>
    </w:p>
    <w:p w14:paraId="788B89DF">
      <w:pPr>
        <w:pStyle w:val="13"/>
        <w:jc w:val="center"/>
        <w:rPr>
          <w:rFonts w:ascii="Times New Roman" w:hAnsi="Times New Roman" w:eastAsia="方正小标宋_GBK" w:cs="Times New Roman"/>
          <w:sz w:val="72"/>
          <w:szCs w:val="72"/>
        </w:rPr>
      </w:pPr>
    </w:p>
    <w:p w14:paraId="74DDF228">
      <w:pPr>
        <w:pStyle w:val="13"/>
        <w:spacing w:line="360" w:lineRule="auto"/>
        <w:jc w:val="center"/>
        <w:rPr>
          <w:rFonts w:ascii="Times New Roman" w:hAnsi="Times New Roman" w:eastAsia="方正小标宋_GBK" w:cs="Times New Roman"/>
          <w:sz w:val="52"/>
          <w:szCs w:val="52"/>
        </w:rPr>
      </w:pPr>
    </w:p>
    <w:p w14:paraId="50BC9C1D">
      <w:pPr>
        <w:pStyle w:val="13"/>
        <w:spacing w:line="360" w:lineRule="auto"/>
        <w:jc w:val="center"/>
        <w:rPr>
          <w:rFonts w:ascii="Times New Roman" w:hAnsi="Times New Roman" w:eastAsia="方正小标宋_GBK" w:cs="Times New Roman"/>
          <w:sz w:val="52"/>
          <w:szCs w:val="52"/>
        </w:rPr>
      </w:pPr>
    </w:p>
    <w:p w14:paraId="02B2F41C">
      <w:pPr>
        <w:pStyle w:val="13"/>
        <w:spacing w:line="360" w:lineRule="auto"/>
        <w:jc w:val="center"/>
        <w:rPr>
          <w:rFonts w:ascii="Times New Roman" w:hAnsi="Times New Roman" w:eastAsia="方正小标宋_GBK" w:cs="Times New Roman"/>
          <w:sz w:val="52"/>
          <w:szCs w:val="52"/>
        </w:rPr>
      </w:pPr>
    </w:p>
    <w:p w14:paraId="7A9BBE58">
      <w:pPr>
        <w:pStyle w:val="13"/>
        <w:spacing w:line="360" w:lineRule="auto"/>
        <w:jc w:val="center"/>
        <w:rPr>
          <w:rFonts w:ascii="Times New Roman" w:hAnsi="Times New Roman" w:eastAsia="方正小标宋_GBK" w:cs="Times New Roman"/>
          <w:sz w:val="52"/>
          <w:szCs w:val="52"/>
        </w:rPr>
      </w:pPr>
    </w:p>
    <w:p w14:paraId="1EF767E7">
      <w:pPr>
        <w:pStyle w:val="13"/>
        <w:spacing w:line="360" w:lineRule="auto"/>
        <w:jc w:val="center"/>
        <w:rPr>
          <w:rFonts w:ascii="Times New Roman" w:hAnsi="Times New Roman" w:eastAsia="方正小标宋_GBK" w:cs="Times New Roman"/>
          <w:sz w:val="52"/>
          <w:szCs w:val="52"/>
        </w:rPr>
      </w:pPr>
    </w:p>
    <w:p w14:paraId="67D159E3">
      <w:pPr>
        <w:pStyle w:val="13"/>
        <w:spacing w:line="360" w:lineRule="auto"/>
        <w:jc w:val="center"/>
        <w:rPr>
          <w:rFonts w:ascii="Times New Roman" w:hAnsi="Times New Roman" w:eastAsia="方正小标宋_GBK" w:cs="Times New Roman"/>
          <w:sz w:val="52"/>
          <w:szCs w:val="52"/>
        </w:rPr>
      </w:pPr>
    </w:p>
    <w:p w14:paraId="02F02C3C">
      <w:pPr>
        <w:pStyle w:val="13"/>
        <w:spacing w:line="360" w:lineRule="auto"/>
        <w:jc w:val="center"/>
        <w:rPr>
          <w:rFonts w:ascii="Times New Roman" w:hAnsi="Times New Roman" w:eastAsia="方正小标宋_GBK" w:cs="Times New Roman"/>
          <w:sz w:val="52"/>
          <w:szCs w:val="52"/>
        </w:rPr>
      </w:pPr>
    </w:p>
    <w:p w14:paraId="11650E9D">
      <w:pPr>
        <w:pStyle w:val="13"/>
        <w:spacing w:line="360" w:lineRule="auto"/>
        <w:jc w:val="center"/>
        <w:rPr>
          <w:rFonts w:ascii="Times New Roman" w:hAnsi="Times New Roman" w:eastAsia="方正小标宋_GBK" w:cs="Times New Roman"/>
          <w:sz w:val="52"/>
          <w:szCs w:val="52"/>
        </w:rPr>
      </w:pPr>
    </w:p>
    <w:p w14:paraId="2F0EE929">
      <w:pPr>
        <w:pStyle w:val="13"/>
        <w:spacing w:line="360" w:lineRule="auto"/>
        <w:jc w:val="center"/>
        <w:rPr>
          <w:rFonts w:ascii="Times New Roman" w:hAnsi="Times New Roman" w:eastAsia="方正小标宋_GBK" w:cs="Times New Roman"/>
          <w:sz w:val="52"/>
          <w:szCs w:val="52"/>
        </w:rPr>
      </w:pPr>
    </w:p>
    <w:p w14:paraId="113614CB">
      <w:pPr>
        <w:pStyle w:val="13"/>
        <w:spacing w:line="360" w:lineRule="auto"/>
        <w:jc w:val="center"/>
        <w:rPr>
          <w:rFonts w:ascii="Times New Roman" w:hAnsi="Times New Roman" w:eastAsia="方正小标宋_GBK" w:cs="Times New Roman"/>
          <w:sz w:val="52"/>
          <w:szCs w:val="52"/>
        </w:rPr>
      </w:pPr>
    </w:p>
    <w:p w14:paraId="0BAC07BA">
      <w:pPr>
        <w:pStyle w:val="13"/>
        <w:spacing w:line="360" w:lineRule="auto"/>
        <w:jc w:val="center"/>
        <w:rPr>
          <w:rFonts w:ascii="Times New Roman" w:hAnsi="Times New Roman" w:eastAsia="方正小标宋_GBK" w:cs="Times New Roman"/>
          <w:sz w:val="52"/>
          <w:szCs w:val="52"/>
        </w:rPr>
      </w:pPr>
    </w:p>
    <w:p w14:paraId="7D279EF0">
      <w:pPr>
        <w:pStyle w:val="13"/>
        <w:spacing w:line="360" w:lineRule="auto"/>
        <w:jc w:val="center"/>
        <w:rPr>
          <w:rFonts w:ascii="Times New Roman" w:hAnsi="Times New Roman" w:eastAsia="方正小标宋_GBK" w:cs="Times New Roman"/>
          <w:sz w:val="52"/>
          <w:szCs w:val="52"/>
        </w:rPr>
      </w:pPr>
    </w:p>
    <w:p w14:paraId="414B1204">
      <w:pPr>
        <w:pStyle w:val="13"/>
        <w:spacing w:line="360" w:lineRule="auto"/>
        <w:jc w:val="center"/>
        <w:rPr>
          <w:rFonts w:ascii="Times New Roman" w:hAnsi="Times New Roman" w:eastAsia="方正小标宋_GBK" w:cs="Times New Roman"/>
          <w:sz w:val="52"/>
          <w:szCs w:val="52"/>
        </w:rPr>
      </w:pPr>
    </w:p>
    <w:p w14:paraId="000E52F4">
      <w:pPr>
        <w:pStyle w:val="13"/>
        <w:spacing w:line="360" w:lineRule="auto"/>
        <w:jc w:val="center"/>
        <w:rPr>
          <w:rFonts w:ascii="Times New Roman" w:hAnsi="Times New Roman" w:eastAsia="方正小标宋_GBK" w:cs="Times New Roman"/>
          <w:sz w:val="52"/>
          <w:szCs w:val="52"/>
        </w:rPr>
      </w:pPr>
    </w:p>
    <w:p w14:paraId="5D3D881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02E02F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8A40F62">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2E3F5F37">
      <w:pPr>
        <w:pStyle w:val="13"/>
        <w:spacing w:line="360" w:lineRule="auto"/>
        <w:jc w:val="center"/>
        <w:rPr>
          <w:rFonts w:ascii="Times New Roman" w:hAnsi="Times New Roman" w:eastAsia="方正小标宋_GBK" w:cs="Times New Roman"/>
          <w:sz w:val="52"/>
          <w:szCs w:val="52"/>
        </w:rPr>
      </w:pPr>
    </w:p>
    <w:p w14:paraId="0FCDE07A">
      <w:pPr>
        <w:pStyle w:val="13"/>
        <w:overflowPunct w:val="0"/>
        <w:autoSpaceDE/>
        <w:autoSpaceDN/>
        <w:spacing w:line="600" w:lineRule="exact"/>
        <w:ind w:firstLine="640" w:firstLineChars="200"/>
        <w:jc w:val="both"/>
        <w:rPr>
          <w:rFonts w:ascii="Times New Roman" w:hAnsi="Times New Roman" w:cs="Times New Roman"/>
          <w:bCs/>
          <w:sz w:val="32"/>
          <w:szCs w:val="32"/>
        </w:rPr>
      </w:pPr>
    </w:p>
    <w:p w14:paraId="5CB86A8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99A493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103.13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11.55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本年度有新增在职人员。</w:t>
      </w:r>
    </w:p>
    <w:p w14:paraId="7294E51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差旅费、办公费等重点支出，体现在有关支出科目中。</w:t>
      </w:r>
    </w:p>
    <w:p w14:paraId="0B77051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6953B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2F2FFB3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E1A94A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887.55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89.11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108.47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10.89</w:t>
      </w:r>
      <w:r>
        <w:rPr>
          <w:rFonts w:ascii="Times New Roman" w:hAnsi="Times New Roman" w:eastAsia="仿宋_GB2312" w:cs="Times New Roman"/>
          <w:sz w:val="32"/>
          <w:szCs w:val="32"/>
        </w:rPr>
        <w:t>%。</w:t>
      </w:r>
    </w:p>
    <w:p w14:paraId="790CC37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DD77B5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本年度有新增在职人员。</w:t>
      </w:r>
    </w:p>
    <w:p w14:paraId="418AEFB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788A22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418F44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104.5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本年度有新增在职人员。</w:t>
      </w:r>
    </w:p>
    <w:p w14:paraId="1DE4DC6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249B17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70.29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社会保障和就业支出829.77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31.71万元，占3.18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hint="eastAsia" w:ascii="Times New Roman" w:hAnsi="Times New Roman" w:eastAsia="仿宋_GB2312" w:cs="Times New Roman"/>
          <w:sz w:val="32"/>
          <w:szCs w:val="32"/>
          <w:lang w:val="en-US" w:eastAsia="zh-CN"/>
        </w:rPr>
        <w:t>64.25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DA7C54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26EF9C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867.86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114.77</w:t>
      </w:r>
      <w:r>
        <w:rPr>
          <w:rFonts w:ascii="Times New Roman" w:hAnsi="Times New Roman" w:eastAsia="仿宋_GB2312" w:cs="Times New Roman"/>
          <w:sz w:val="32"/>
          <w:szCs w:val="32"/>
        </w:rPr>
        <w:t>%，其中：</w:t>
      </w:r>
    </w:p>
    <w:p w14:paraId="0990C573">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val="en-US" w:eastAsia="zh-CN"/>
        </w:rPr>
        <w:t>2019999</w:t>
      </w:r>
    </w:p>
    <w:p w14:paraId="74C16CC1">
      <w:pPr>
        <w:pStyle w:val="13"/>
        <w:overflowPunct w:val="0"/>
        <w:autoSpaceDE/>
        <w:autoSpaceDN/>
        <w:spacing w:line="600" w:lineRule="exact"/>
        <w:ind w:firstLine="640" w:firstLineChars="200"/>
        <w:jc w:val="both"/>
        <w:rPr>
          <w:rFonts w:hint="default"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70.29</w:t>
      </w:r>
      <w:r>
        <w:rPr>
          <w:rFonts w:ascii="Times New Roman" w:hAnsi="Times New Roman" w:eastAsia="仿宋_GB2312" w:cs="Times New Roman"/>
          <w:sz w:val="32"/>
          <w:szCs w:val="32"/>
        </w:rPr>
        <w:t>万元，决算数大于年初预算数的主要原因是：</w:t>
      </w:r>
      <w:r>
        <w:rPr>
          <w:rFonts w:hint="eastAsia" w:ascii="方正仿宋_GB2312" w:hAnsi="方正仿宋_GB2312" w:eastAsia="方正仿宋_GB2312" w:cs="方正仿宋_GB2312"/>
          <w:color w:val="auto"/>
          <w:sz w:val="32"/>
          <w:szCs w:val="32"/>
          <w:highlight w:val="none"/>
        </w:rPr>
        <w:t>年初未</w:t>
      </w:r>
      <w:r>
        <w:rPr>
          <w:rFonts w:hint="eastAsia" w:ascii="方正仿宋_GB2312" w:hAnsi="方正仿宋_GB2312" w:eastAsia="方正仿宋_GB2312" w:cs="方正仿宋_GB2312"/>
          <w:color w:val="auto"/>
          <w:sz w:val="32"/>
          <w:szCs w:val="32"/>
          <w:highlight w:val="none"/>
          <w:lang w:eastAsia="zh-CN"/>
        </w:rPr>
        <w:t>包含</w:t>
      </w:r>
      <w:r>
        <w:rPr>
          <w:rFonts w:hint="eastAsia" w:ascii="方正仿宋_GB2312" w:hAnsi="方正仿宋_GB2312" w:eastAsia="方正仿宋_GB2312" w:cs="方正仿宋_GB2312"/>
          <w:color w:val="auto"/>
          <w:sz w:val="32"/>
          <w:szCs w:val="32"/>
          <w:highlight w:val="none"/>
        </w:rPr>
        <w:t>该项预算</w:t>
      </w:r>
      <w:r>
        <w:rPr>
          <w:rFonts w:hint="eastAsia" w:ascii="方正仿宋_GB2312" w:hAnsi="方正仿宋_GB2312" w:eastAsia="方正仿宋_GB2312" w:cs="方正仿宋_GB2312"/>
          <w:color w:val="auto"/>
          <w:sz w:val="32"/>
          <w:szCs w:val="32"/>
          <w:highlight w:val="none"/>
          <w:lang w:eastAsia="zh-CN"/>
        </w:rPr>
        <w:t>，为发放</w:t>
      </w:r>
      <w:r>
        <w:rPr>
          <w:rFonts w:hint="eastAsia" w:ascii="方正仿宋_GB2312" w:hAnsi="方正仿宋_GB2312" w:eastAsia="方正仿宋_GB2312" w:cs="方正仿宋_GB2312"/>
          <w:color w:val="auto"/>
          <w:sz w:val="32"/>
          <w:szCs w:val="32"/>
          <w:highlight w:val="none"/>
          <w:lang w:val="en-US" w:eastAsia="zh-CN"/>
        </w:rPr>
        <w:t>2025年在职人员工资、津贴补贴、奖金等。</w:t>
      </w:r>
    </w:p>
    <w:p w14:paraId="42CF223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w:t>
      </w:r>
      <w:r>
        <w:rPr>
          <w:rFonts w:hint="eastAsia" w:ascii="方正仿宋_GB2312" w:hAnsi="方正仿宋_GB2312" w:eastAsia="方正仿宋_GB2312" w:cs="方正仿宋_GB2312"/>
          <w:color w:val="auto"/>
          <w:sz w:val="32"/>
          <w:szCs w:val="32"/>
          <w:highlight w:val="none"/>
        </w:rPr>
        <w:t>社会保障和就业支出（类）人力资源和社会保障管理事务（款）社会保险经办机构（项）</w:t>
      </w:r>
      <w:r>
        <w:rPr>
          <w:rFonts w:hint="eastAsia" w:ascii="Times New Roman" w:hAnsi="Times New Roman" w:eastAsia="仿宋_GB2312" w:cs="Times New Roman"/>
          <w:sz w:val="32"/>
          <w:szCs w:val="32"/>
          <w:lang w:val="en-US" w:eastAsia="zh-CN"/>
        </w:rPr>
        <w:t>2080109</w:t>
      </w:r>
    </w:p>
    <w:p w14:paraId="225287EB">
      <w:pPr>
        <w:pStyle w:val="13"/>
        <w:numPr>
          <w:ilvl w:val="0"/>
          <w:numId w:val="0"/>
        </w:numPr>
        <w:ind w:left="5" w:leftChars="0" w:firstLine="518" w:firstLineChars="162"/>
        <w:rPr>
          <w:rFonts w:hint="eastAsia"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574.59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602.32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104.83</w:t>
      </w:r>
      <w:r>
        <w:rPr>
          <w:rFonts w:ascii="Times New Roman" w:hAnsi="Times New Roman" w:eastAsia="仿宋_GB2312" w:cs="Times New Roman"/>
          <w:sz w:val="32"/>
          <w:szCs w:val="32"/>
        </w:rPr>
        <w:t>%，决算数大于年初预算数的主要原因是：</w:t>
      </w:r>
      <w:r>
        <w:rPr>
          <w:rFonts w:hint="eastAsia" w:ascii="方正仿宋_GB2312" w:hAnsi="方正仿宋_GB2312" w:eastAsia="方正仿宋_GB2312" w:cs="方正仿宋_GB2312"/>
          <w:color w:val="auto"/>
          <w:sz w:val="32"/>
          <w:szCs w:val="32"/>
          <w:highlight w:val="none"/>
          <w:lang w:val="en-US" w:eastAsia="zh-CN"/>
        </w:rPr>
        <w:t>本年度有新增在职人员，</w:t>
      </w:r>
      <w:r>
        <w:rPr>
          <w:rFonts w:hint="eastAsia" w:ascii="方正仿宋_GB2312" w:hAnsi="方正仿宋_GB2312" w:eastAsia="方正仿宋_GB2312" w:cs="方正仿宋_GB2312"/>
          <w:color w:val="auto"/>
          <w:sz w:val="32"/>
          <w:szCs w:val="32"/>
          <w:highlight w:val="none"/>
        </w:rPr>
        <w:t>对应的</w:t>
      </w:r>
      <w:r>
        <w:rPr>
          <w:rFonts w:hint="eastAsia" w:ascii="方正仿宋_GB2312" w:hAnsi="方正仿宋_GB2312" w:eastAsia="方正仿宋_GB2312" w:cs="方正仿宋_GB2312"/>
          <w:color w:val="auto"/>
          <w:sz w:val="32"/>
          <w:szCs w:val="32"/>
          <w:highlight w:val="none"/>
          <w:lang w:eastAsia="zh-CN"/>
        </w:rPr>
        <w:t>薪酬</w:t>
      </w:r>
      <w:r>
        <w:rPr>
          <w:rFonts w:hint="eastAsia" w:ascii="方正仿宋_GB2312" w:hAnsi="方正仿宋_GB2312" w:eastAsia="方正仿宋_GB2312" w:cs="方正仿宋_GB2312"/>
          <w:color w:val="auto"/>
          <w:sz w:val="32"/>
          <w:szCs w:val="32"/>
          <w:highlight w:val="none"/>
        </w:rPr>
        <w:t>、社保及办公</w:t>
      </w:r>
      <w:r>
        <w:rPr>
          <w:rFonts w:hint="eastAsia" w:ascii="方正仿宋_GB2312" w:hAnsi="方正仿宋_GB2312" w:eastAsia="方正仿宋_GB2312" w:cs="方正仿宋_GB2312"/>
          <w:color w:val="auto"/>
          <w:sz w:val="32"/>
          <w:szCs w:val="32"/>
          <w:highlight w:val="none"/>
          <w:lang w:eastAsia="zh-CN"/>
        </w:rPr>
        <w:t>相关</w:t>
      </w:r>
      <w:r>
        <w:rPr>
          <w:rFonts w:hint="eastAsia" w:ascii="方正仿宋_GB2312" w:hAnsi="方正仿宋_GB2312" w:eastAsia="方正仿宋_GB2312" w:cs="方正仿宋_GB2312"/>
          <w:color w:val="auto"/>
          <w:sz w:val="32"/>
          <w:szCs w:val="32"/>
          <w:highlight w:val="none"/>
        </w:rPr>
        <w:t>费用</w:t>
      </w:r>
      <w:r>
        <w:rPr>
          <w:rFonts w:hint="eastAsia" w:ascii="方正仿宋_GB2312" w:hAnsi="方正仿宋_GB2312" w:eastAsia="方正仿宋_GB2312" w:cs="方正仿宋_GB2312"/>
          <w:color w:val="auto"/>
          <w:sz w:val="32"/>
          <w:szCs w:val="32"/>
          <w:highlight w:val="none"/>
          <w:lang w:eastAsia="zh-CN"/>
        </w:rPr>
        <w:t>都会增加</w:t>
      </w:r>
      <w:r>
        <w:rPr>
          <w:rFonts w:hint="eastAsia" w:ascii="方正仿宋_GB2312" w:hAnsi="方正仿宋_GB2312" w:eastAsia="方正仿宋_GB2312" w:cs="方正仿宋_GB2312"/>
          <w:color w:val="auto"/>
          <w:sz w:val="32"/>
          <w:szCs w:val="32"/>
          <w:highlight w:val="none"/>
        </w:rPr>
        <w:t>。</w:t>
      </w:r>
    </w:p>
    <w:p w14:paraId="0A9BE678">
      <w:pPr>
        <w:pStyle w:val="13"/>
        <w:keepNext w:val="0"/>
        <w:keepLines w:val="0"/>
        <w:pageBreakBefore w:val="0"/>
        <w:widowControl w:val="0"/>
        <w:numPr>
          <w:numId w:val="0"/>
        </w:numPr>
        <w:kinsoku/>
        <w:wordWrap/>
        <w:overflowPunct/>
        <w:topLinePunct w:val="0"/>
        <w:bidi w:val="0"/>
        <w:snapToGrid/>
        <w:spacing w:line="600" w:lineRule="exact"/>
        <w:ind w:left="8" w:leftChars="0" w:firstLine="627" w:firstLineChars="196"/>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方正仿宋_GB2312" w:hAnsi="方正仿宋_GB2312" w:eastAsia="方正仿宋_GB2312" w:cs="方正仿宋_GB2312"/>
          <w:color w:val="auto"/>
          <w:sz w:val="32"/>
          <w:szCs w:val="32"/>
          <w:highlight w:val="none"/>
        </w:rPr>
        <w:t>社会保障和就业支出（类）</w:t>
      </w:r>
      <w:r>
        <w:rPr>
          <w:rFonts w:hint="eastAsia" w:ascii="方正仿宋_GB2312" w:hAnsi="方正仿宋_GB2312" w:eastAsia="方正仿宋_GB2312" w:cs="方正仿宋_GB2312"/>
          <w:color w:val="auto"/>
          <w:sz w:val="32"/>
          <w:szCs w:val="32"/>
          <w:highlight w:val="none"/>
          <w:lang w:eastAsia="zh-CN"/>
        </w:rPr>
        <w:t>行政事业单位养老支出</w:t>
      </w:r>
      <w:r>
        <w:rPr>
          <w:rFonts w:hint="eastAsia" w:ascii="方正仿宋_GB2312" w:hAnsi="方正仿宋_GB2312" w:eastAsia="方正仿宋_GB2312" w:cs="方正仿宋_GB2312"/>
          <w:color w:val="auto"/>
          <w:sz w:val="32"/>
          <w:szCs w:val="32"/>
          <w:highlight w:val="none"/>
        </w:rPr>
        <w:t>（款</w:t>
      </w:r>
      <w:r>
        <w:rPr>
          <w:rFonts w:hint="eastAsia" w:ascii="方正仿宋_GB2312" w:hAnsi="方正仿宋_GB2312" w:eastAsia="方正仿宋_GB2312" w:cs="方正仿宋_GB2312"/>
          <w:color w:val="auto"/>
          <w:sz w:val="32"/>
          <w:szCs w:val="32"/>
          <w:highlight w:val="none"/>
          <w:lang w:eastAsia="zh-CN"/>
        </w:rPr>
        <w:t>）机关事业单位基本养老保险缴费支出（项）</w:t>
      </w:r>
      <w:r>
        <w:rPr>
          <w:rFonts w:hint="eastAsia" w:ascii="Times New Roman" w:hAnsi="Times New Roman" w:eastAsia="仿宋_GB2312" w:cs="Times New Roman"/>
          <w:sz w:val="32"/>
          <w:szCs w:val="32"/>
          <w:lang w:val="en-US" w:eastAsia="zh-CN"/>
        </w:rPr>
        <w:t>2080505</w:t>
      </w:r>
    </w:p>
    <w:p w14:paraId="28375BE6">
      <w:pPr>
        <w:pStyle w:val="13"/>
        <w:keepNext w:val="0"/>
        <w:keepLines w:val="0"/>
        <w:pageBreakBefore w:val="0"/>
        <w:widowControl w:val="0"/>
        <w:numPr>
          <w:ilvl w:val="0"/>
          <w:numId w:val="0"/>
        </w:numPr>
        <w:kinsoku/>
        <w:wordWrap/>
        <w:overflowPunct/>
        <w:topLinePunct w:val="0"/>
        <w:bidi w:val="0"/>
        <w:snapToGrid/>
        <w:spacing w:line="600" w:lineRule="exact"/>
        <w:ind w:left="10" w:leftChars="0" w:firstLine="537" w:firstLineChars="168"/>
        <w:textAlignment w:val="auto"/>
        <w:rPr>
          <w:rFonts w:hint="eastAsia" w:ascii="方正仿宋_GB2312" w:hAnsi="方正仿宋_GB2312" w:eastAsia="方正仿宋_GB2312" w:cs="方正仿宋_GB2312"/>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72.78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76.79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105.51</w:t>
      </w:r>
      <w:r>
        <w:rPr>
          <w:rFonts w:ascii="Times New Roman" w:hAnsi="Times New Roman" w:eastAsia="仿宋_GB2312" w:cs="Times New Roman"/>
          <w:sz w:val="32"/>
          <w:szCs w:val="32"/>
        </w:rPr>
        <w:t>%，决算数大于年初预算数的主要原因是：</w:t>
      </w:r>
      <w:r>
        <w:rPr>
          <w:rFonts w:hint="eastAsia" w:ascii="方正仿宋_GB2312" w:hAnsi="方正仿宋_GB2312" w:eastAsia="方正仿宋_GB2312" w:cs="方正仿宋_GB2312"/>
          <w:color w:val="auto"/>
          <w:sz w:val="32"/>
          <w:szCs w:val="32"/>
          <w:highlight w:val="none"/>
          <w:lang w:eastAsia="zh-CN"/>
        </w:rPr>
        <w:t>本</w:t>
      </w:r>
      <w:r>
        <w:rPr>
          <w:rFonts w:hint="eastAsia" w:ascii="方正仿宋_GB2312" w:hAnsi="方正仿宋_GB2312" w:eastAsia="方正仿宋_GB2312" w:cs="方正仿宋_GB2312"/>
          <w:color w:val="auto"/>
          <w:sz w:val="32"/>
          <w:szCs w:val="32"/>
          <w:highlight w:val="none"/>
        </w:rPr>
        <w:t>年度内新增</w:t>
      </w:r>
      <w:r>
        <w:rPr>
          <w:rFonts w:hint="eastAsia" w:ascii="方正仿宋_GB2312" w:hAnsi="方正仿宋_GB2312" w:eastAsia="方正仿宋_GB2312" w:cs="方正仿宋_GB2312"/>
          <w:color w:val="auto"/>
          <w:sz w:val="32"/>
          <w:szCs w:val="32"/>
          <w:highlight w:val="none"/>
          <w:lang w:eastAsia="zh-CN"/>
        </w:rPr>
        <w:t>在职</w:t>
      </w:r>
      <w:r>
        <w:rPr>
          <w:rFonts w:hint="eastAsia" w:ascii="方正仿宋_GB2312" w:hAnsi="方正仿宋_GB2312" w:eastAsia="方正仿宋_GB2312" w:cs="方正仿宋_GB2312"/>
          <w:color w:val="auto"/>
          <w:sz w:val="32"/>
          <w:szCs w:val="32"/>
          <w:highlight w:val="none"/>
        </w:rPr>
        <w:t>人员，</w:t>
      </w:r>
      <w:r>
        <w:rPr>
          <w:rFonts w:hint="eastAsia" w:ascii="方正仿宋_GB2312" w:hAnsi="方正仿宋_GB2312" w:eastAsia="方正仿宋_GB2312" w:cs="方正仿宋_GB2312"/>
          <w:color w:val="auto"/>
          <w:sz w:val="32"/>
          <w:szCs w:val="32"/>
          <w:highlight w:val="none"/>
          <w:lang w:eastAsia="zh-CN"/>
        </w:rPr>
        <w:t>所以</w:t>
      </w:r>
      <w:r>
        <w:rPr>
          <w:rFonts w:hint="eastAsia" w:ascii="方正仿宋_GB2312" w:hAnsi="方正仿宋_GB2312" w:eastAsia="方正仿宋_GB2312" w:cs="方正仿宋_GB2312"/>
          <w:color w:val="auto"/>
          <w:sz w:val="32"/>
          <w:szCs w:val="32"/>
          <w:highlight w:val="none"/>
        </w:rPr>
        <w:t>缴费基数总额</w:t>
      </w:r>
      <w:r>
        <w:rPr>
          <w:rFonts w:hint="eastAsia" w:ascii="方正仿宋_GB2312" w:hAnsi="方正仿宋_GB2312" w:eastAsia="方正仿宋_GB2312" w:cs="方正仿宋_GB2312"/>
          <w:color w:val="auto"/>
          <w:sz w:val="32"/>
          <w:szCs w:val="32"/>
          <w:highlight w:val="none"/>
          <w:lang w:eastAsia="zh-CN"/>
        </w:rPr>
        <w:t>有</w:t>
      </w:r>
      <w:r>
        <w:rPr>
          <w:rFonts w:hint="eastAsia" w:ascii="方正仿宋_GB2312" w:hAnsi="方正仿宋_GB2312" w:eastAsia="方正仿宋_GB2312" w:cs="方正仿宋_GB2312"/>
          <w:color w:val="auto"/>
          <w:sz w:val="32"/>
          <w:szCs w:val="32"/>
          <w:highlight w:val="none"/>
        </w:rPr>
        <w:t>增加，相应</w:t>
      </w:r>
      <w:r>
        <w:rPr>
          <w:rFonts w:hint="eastAsia" w:ascii="方正仿宋_GB2312" w:hAnsi="方正仿宋_GB2312" w:eastAsia="方正仿宋_GB2312" w:cs="方正仿宋_GB2312"/>
          <w:color w:val="auto"/>
          <w:sz w:val="32"/>
          <w:szCs w:val="32"/>
          <w:highlight w:val="none"/>
          <w:lang w:eastAsia="zh-CN"/>
        </w:rPr>
        <w:t>养老</w:t>
      </w:r>
      <w:r>
        <w:rPr>
          <w:rFonts w:hint="eastAsia" w:ascii="方正仿宋_GB2312" w:hAnsi="方正仿宋_GB2312" w:eastAsia="方正仿宋_GB2312" w:cs="方正仿宋_GB2312"/>
          <w:color w:val="auto"/>
          <w:sz w:val="32"/>
          <w:szCs w:val="32"/>
          <w:highlight w:val="none"/>
        </w:rPr>
        <w:t>保险支出</w:t>
      </w:r>
      <w:r>
        <w:rPr>
          <w:rFonts w:hint="eastAsia" w:ascii="方正仿宋_GB2312" w:hAnsi="方正仿宋_GB2312" w:eastAsia="方正仿宋_GB2312" w:cs="方正仿宋_GB2312"/>
          <w:color w:val="auto"/>
          <w:sz w:val="32"/>
          <w:szCs w:val="32"/>
          <w:highlight w:val="none"/>
          <w:lang w:eastAsia="zh-CN"/>
        </w:rPr>
        <w:t>也有增加</w:t>
      </w:r>
      <w:r>
        <w:rPr>
          <w:rFonts w:hint="eastAsia" w:ascii="方正仿宋_GB2312" w:hAnsi="方正仿宋_GB2312" w:eastAsia="方正仿宋_GB2312" w:cs="方正仿宋_GB2312"/>
          <w:color w:val="auto"/>
          <w:sz w:val="32"/>
          <w:szCs w:val="32"/>
          <w:highlight w:val="none"/>
        </w:rPr>
        <w:t>。</w:t>
      </w:r>
    </w:p>
    <w:p w14:paraId="71B961B9">
      <w:pPr>
        <w:pStyle w:val="13"/>
        <w:keepNext w:val="0"/>
        <w:keepLines w:val="0"/>
        <w:pageBreakBefore w:val="0"/>
        <w:widowControl w:val="0"/>
        <w:numPr>
          <w:ilvl w:val="0"/>
          <w:numId w:val="0"/>
        </w:numPr>
        <w:kinsoku/>
        <w:wordWrap/>
        <w:overflowPunct/>
        <w:topLinePunct w:val="0"/>
        <w:bidi w:val="0"/>
        <w:snapToGrid/>
        <w:spacing w:line="600" w:lineRule="exact"/>
        <w:ind w:left="8" w:leftChars="0" w:firstLine="627" w:firstLineChars="196"/>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eastAsia" w:ascii="方正仿宋_GB2312" w:hAnsi="方正仿宋_GB2312" w:eastAsia="方正仿宋_GB2312" w:cs="方正仿宋_GB2312"/>
          <w:color w:val="auto"/>
          <w:sz w:val="32"/>
          <w:szCs w:val="32"/>
          <w:highlight w:val="none"/>
        </w:rPr>
        <w:t>社会保障和就业支出（类）</w:t>
      </w:r>
      <w:r>
        <w:rPr>
          <w:rFonts w:hint="eastAsia" w:ascii="Times New Roman" w:hAnsi="Times New Roman" w:eastAsia="仿宋_GB2312" w:cs="Times New Roman"/>
          <w:sz w:val="32"/>
          <w:szCs w:val="32"/>
          <w:lang w:val="en-US" w:eastAsia="zh-CN"/>
        </w:rPr>
        <w:t>就业补助</w:t>
      </w:r>
      <w:r>
        <w:rPr>
          <w:rFonts w:hint="eastAsia" w:ascii="方正仿宋_GB2312" w:hAnsi="方正仿宋_GB2312" w:eastAsia="方正仿宋_GB2312" w:cs="方正仿宋_GB2312"/>
          <w:color w:val="auto"/>
          <w:sz w:val="32"/>
          <w:szCs w:val="32"/>
          <w:highlight w:val="none"/>
        </w:rPr>
        <w:t>（款</w:t>
      </w:r>
      <w:r>
        <w:rPr>
          <w:rFonts w:hint="eastAsia" w:ascii="方正仿宋_GB2312" w:hAnsi="方正仿宋_GB2312" w:eastAsia="方正仿宋_GB2312" w:cs="方正仿宋_GB2312"/>
          <w:color w:val="auto"/>
          <w:sz w:val="32"/>
          <w:szCs w:val="32"/>
          <w:highlight w:val="none"/>
          <w:lang w:eastAsia="zh-CN"/>
        </w:rPr>
        <w:t>）</w:t>
      </w:r>
      <w:r>
        <w:rPr>
          <w:rFonts w:hint="eastAsia" w:ascii="Times New Roman" w:hAnsi="Times New Roman" w:eastAsia="仿宋_GB2312" w:cs="Times New Roman"/>
          <w:sz w:val="32"/>
          <w:szCs w:val="32"/>
          <w:lang w:val="en-US" w:eastAsia="zh-CN"/>
        </w:rPr>
        <w:t>其他就业补助支出</w:t>
      </w:r>
      <w:r>
        <w:rPr>
          <w:rFonts w:hint="eastAsia" w:ascii="方正仿宋_GB2312" w:hAnsi="方正仿宋_GB2312" w:eastAsia="方正仿宋_GB2312" w:cs="方正仿宋_GB2312"/>
          <w:color w:val="auto"/>
          <w:sz w:val="32"/>
          <w:szCs w:val="32"/>
          <w:highlight w:val="none"/>
          <w:lang w:eastAsia="zh-CN"/>
        </w:rPr>
        <w:t>（项）</w:t>
      </w:r>
      <w:r>
        <w:rPr>
          <w:rFonts w:hint="eastAsia" w:ascii="Times New Roman" w:hAnsi="Times New Roman" w:eastAsia="仿宋_GB2312" w:cs="Times New Roman"/>
          <w:sz w:val="32"/>
          <w:szCs w:val="32"/>
          <w:lang w:val="en-US" w:eastAsia="zh-CN"/>
        </w:rPr>
        <w:t>2080799</w:t>
      </w:r>
    </w:p>
    <w:p w14:paraId="0B981D17">
      <w:pPr>
        <w:pStyle w:val="13"/>
        <w:overflowPunct w:val="0"/>
        <w:autoSpaceDE/>
        <w:autoSpaceDN/>
        <w:spacing w:line="600" w:lineRule="exact"/>
        <w:ind w:firstLine="640" w:firstLineChars="200"/>
        <w:jc w:val="both"/>
        <w:rPr>
          <w:rFonts w:hint="eastAsia" w:ascii="方正仿宋_GB2312" w:hAnsi="方正仿宋_GB2312" w:eastAsia="方正仿宋_GB2312" w:cs="方正仿宋_GB2312"/>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23.61</w:t>
      </w:r>
      <w:r>
        <w:rPr>
          <w:rFonts w:ascii="Times New Roman" w:hAnsi="Times New Roman" w:eastAsia="仿宋_GB2312" w:cs="Times New Roman"/>
          <w:sz w:val="32"/>
          <w:szCs w:val="32"/>
        </w:rPr>
        <w:t>万元，决算数大于年初预算数的主要原因是：</w:t>
      </w:r>
      <w:r>
        <w:rPr>
          <w:rFonts w:hint="eastAsia" w:ascii="方正仿宋_GB2312" w:hAnsi="方正仿宋_GB2312" w:eastAsia="方正仿宋_GB2312" w:cs="方正仿宋_GB2312"/>
          <w:color w:val="auto"/>
          <w:sz w:val="32"/>
          <w:szCs w:val="32"/>
          <w:highlight w:val="none"/>
        </w:rPr>
        <w:t>年初未</w:t>
      </w:r>
      <w:r>
        <w:rPr>
          <w:rFonts w:hint="eastAsia" w:ascii="方正仿宋_GB2312" w:hAnsi="方正仿宋_GB2312" w:eastAsia="方正仿宋_GB2312" w:cs="方正仿宋_GB2312"/>
          <w:color w:val="auto"/>
          <w:sz w:val="32"/>
          <w:szCs w:val="32"/>
          <w:highlight w:val="none"/>
          <w:lang w:eastAsia="zh-CN"/>
        </w:rPr>
        <w:t>包含</w:t>
      </w:r>
      <w:r>
        <w:rPr>
          <w:rFonts w:hint="eastAsia" w:ascii="方正仿宋_GB2312" w:hAnsi="方正仿宋_GB2312" w:eastAsia="方正仿宋_GB2312" w:cs="方正仿宋_GB2312"/>
          <w:color w:val="auto"/>
          <w:sz w:val="32"/>
          <w:szCs w:val="32"/>
          <w:highlight w:val="none"/>
        </w:rPr>
        <w:t>该项预算</w:t>
      </w:r>
      <w:r>
        <w:rPr>
          <w:rFonts w:hint="eastAsia" w:ascii="方正仿宋_GB2312" w:hAnsi="方正仿宋_GB2312" w:eastAsia="方正仿宋_GB2312" w:cs="方正仿宋_GB2312"/>
          <w:color w:val="auto"/>
          <w:sz w:val="32"/>
          <w:szCs w:val="32"/>
          <w:highlight w:val="none"/>
          <w:lang w:eastAsia="zh-CN"/>
        </w:rPr>
        <w:t>，为</w:t>
      </w:r>
      <w:r>
        <w:rPr>
          <w:rFonts w:hint="eastAsia" w:ascii="方正仿宋_GB2312" w:hAnsi="方正仿宋_GB2312" w:eastAsia="方正仿宋_GB2312" w:cs="方正仿宋_GB2312"/>
          <w:color w:val="auto"/>
          <w:sz w:val="32"/>
          <w:szCs w:val="32"/>
          <w:highlight w:val="none"/>
          <w:lang w:val="en-US" w:eastAsia="zh-CN"/>
        </w:rPr>
        <w:t>2025年</w:t>
      </w:r>
      <w:r>
        <w:rPr>
          <w:rFonts w:hint="eastAsia" w:ascii="方正仿宋_GB2312" w:hAnsi="方正仿宋_GB2312" w:eastAsia="方正仿宋_GB2312" w:cs="方正仿宋_GB2312"/>
          <w:color w:val="auto"/>
          <w:sz w:val="32"/>
          <w:szCs w:val="32"/>
          <w:highlight w:val="none"/>
          <w:lang w:eastAsia="zh-CN"/>
        </w:rPr>
        <w:t>缴纳社保费及办公、差旅费等工作运行相关费用。</w:t>
      </w:r>
    </w:p>
    <w:p w14:paraId="135C3509">
      <w:pPr>
        <w:pStyle w:val="13"/>
        <w:keepNext w:val="0"/>
        <w:keepLines w:val="0"/>
        <w:pageBreakBefore w:val="0"/>
        <w:widowControl w:val="0"/>
        <w:numPr>
          <w:ilvl w:val="0"/>
          <w:numId w:val="0"/>
        </w:numPr>
        <w:kinsoku/>
        <w:wordWrap/>
        <w:overflowPunct/>
        <w:topLinePunct w:val="0"/>
        <w:bidi w:val="0"/>
        <w:snapToGrid/>
        <w:spacing w:line="600" w:lineRule="exact"/>
        <w:ind w:left="8" w:leftChars="0" w:firstLine="627" w:firstLineChars="196"/>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eastAsia" w:ascii="方正仿宋_GB2312" w:hAnsi="方正仿宋_GB2312" w:eastAsia="方正仿宋_GB2312" w:cs="方正仿宋_GB2312"/>
          <w:color w:val="auto"/>
          <w:sz w:val="32"/>
          <w:szCs w:val="32"/>
          <w:highlight w:val="none"/>
          <w:lang w:val="en-US" w:eastAsia="zh-CN"/>
        </w:rPr>
        <w:t>、</w:t>
      </w:r>
      <w:r>
        <w:rPr>
          <w:rFonts w:hint="eastAsia" w:ascii="方正仿宋_GB2312" w:hAnsi="方正仿宋_GB2312" w:eastAsia="方正仿宋_GB2312" w:cs="方正仿宋_GB2312"/>
          <w:color w:val="auto"/>
          <w:sz w:val="32"/>
          <w:szCs w:val="32"/>
          <w:highlight w:val="none"/>
        </w:rPr>
        <w:t>社会保障和就业支出（类）</w:t>
      </w:r>
      <w:r>
        <w:rPr>
          <w:rFonts w:hint="eastAsia" w:ascii="方正仿宋_GB2312" w:hAnsi="方正仿宋_GB2312" w:eastAsia="方正仿宋_GB2312" w:cs="方正仿宋_GB2312"/>
          <w:color w:val="auto"/>
          <w:sz w:val="32"/>
          <w:szCs w:val="32"/>
          <w:highlight w:val="none"/>
          <w:lang w:val="en-US" w:eastAsia="zh-CN"/>
        </w:rPr>
        <w:t>其他社会保障和就业支出</w:t>
      </w:r>
      <w:r>
        <w:rPr>
          <w:rFonts w:hint="eastAsia" w:ascii="方正仿宋_GB2312" w:hAnsi="方正仿宋_GB2312" w:eastAsia="方正仿宋_GB2312" w:cs="方正仿宋_GB2312"/>
          <w:color w:val="auto"/>
          <w:sz w:val="32"/>
          <w:szCs w:val="32"/>
          <w:highlight w:val="none"/>
        </w:rPr>
        <w:t>（款</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lang w:val="en-US" w:eastAsia="zh-CN"/>
        </w:rPr>
        <w:t>其他社会保障和就业支出</w:t>
      </w:r>
      <w:r>
        <w:rPr>
          <w:rFonts w:hint="eastAsia" w:ascii="方正仿宋_GB2312" w:hAnsi="方正仿宋_GB2312" w:eastAsia="方正仿宋_GB2312" w:cs="方正仿宋_GB2312"/>
          <w:color w:val="auto"/>
          <w:sz w:val="32"/>
          <w:szCs w:val="32"/>
          <w:highlight w:val="none"/>
          <w:lang w:eastAsia="zh-CN"/>
        </w:rPr>
        <w:t>（项）</w:t>
      </w:r>
      <w:r>
        <w:rPr>
          <w:rFonts w:hint="eastAsia" w:ascii="Times New Roman" w:hAnsi="Times New Roman" w:eastAsia="仿宋_GB2312" w:cs="Times New Roman"/>
          <w:sz w:val="32"/>
          <w:szCs w:val="32"/>
          <w:lang w:val="en-US" w:eastAsia="zh-CN"/>
        </w:rPr>
        <w:t>2089999</w:t>
      </w:r>
    </w:p>
    <w:p w14:paraId="02B0D3B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134.01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127.05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财政压减工作经费，</w:t>
      </w:r>
      <w:r>
        <w:rPr>
          <w:rFonts w:hint="eastAsia" w:ascii="Times New Roman" w:hAnsi="Times New Roman" w:eastAsia="仿宋_GB2312" w:cs="Times New Roman"/>
          <w:sz w:val="32"/>
          <w:szCs w:val="32"/>
          <w:lang w:eastAsia="zh-CN"/>
        </w:rPr>
        <w:t>部分</w:t>
      </w:r>
      <w:r>
        <w:rPr>
          <w:rFonts w:hint="eastAsia" w:ascii="Times New Roman" w:hAnsi="Times New Roman" w:eastAsia="仿宋_GB2312" w:cs="Times New Roman"/>
          <w:sz w:val="32"/>
          <w:szCs w:val="32"/>
        </w:rPr>
        <w:t>指标未下达</w:t>
      </w:r>
      <w:r>
        <w:rPr>
          <w:rFonts w:hint="eastAsia" w:ascii="Times New Roman" w:hAnsi="Times New Roman" w:eastAsia="仿宋_GB2312" w:cs="Times New Roman"/>
          <w:sz w:val="32"/>
          <w:szCs w:val="32"/>
          <w:lang w:eastAsia="zh-CN"/>
        </w:rPr>
        <w:t>。</w:t>
      </w:r>
    </w:p>
    <w:p w14:paraId="5B045130">
      <w:pPr>
        <w:pStyle w:val="13"/>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w:t>
      </w:r>
      <w:r>
        <w:rPr>
          <w:rFonts w:hint="eastAsia" w:ascii="方正仿宋_GB2312" w:hAnsi="方正仿宋_GB2312" w:eastAsia="方正仿宋_GB2312" w:cs="方正仿宋_GB2312"/>
          <w:color w:val="auto"/>
          <w:sz w:val="32"/>
          <w:szCs w:val="32"/>
          <w:highlight w:val="none"/>
        </w:rPr>
        <w:t>（类）行政事业单位医疗（款</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行政单位医疗</w:t>
      </w:r>
      <w:r>
        <w:rPr>
          <w:rFonts w:hint="eastAsia" w:ascii="方正仿宋_GB2312" w:hAnsi="方正仿宋_GB2312" w:eastAsia="方正仿宋_GB2312" w:cs="方正仿宋_GB2312"/>
          <w:color w:val="auto"/>
          <w:sz w:val="32"/>
          <w:szCs w:val="32"/>
          <w:highlight w:val="none"/>
          <w:lang w:eastAsia="zh-CN"/>
        </w:rPr>
        <w:t>（项）</w:t>
      </w:r>
      <w:r>
        <w:rPr>
          <w:rFonts w:hint="eastAsia" w:ascii="Times New Roman" w:hAnsi="Times New Roman" w:eastAsia="仿宋_GB2312" w:cs="Times New Roman"/>
          <w:sz w:val="32"/>
          <w:szCs w:val="32"/>
          <w:lang w:val="en-US" w:eastAsia="zh-CN"/>
        </w:rPr>
        <w:t>2101101</w:t>
      </w:r>
    </w:p>
    <w:p w14:paraId="5BB4C552">
      <w:pPr>
        <w:pStyle w:val="13"/>
        <w:numPr>
          <w:numId w:val="0"/>
        </w:numPr>
        <w:overflowPunct w:val="0"/>
        <w:autoSpaceDE/>
        <w:autoSpaceDN/>
        <w:spacing w:line="600" w:lineRule="exact"/>
        <w:ind w:left="0" w:leftChars="0" w:firstLine="640" w:firstLineChars="200"/>
        <w:jc w:val="both"/>
        <w:rPr>
          <w:rFonts w:hint="eastAsia"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方正仿宋_GB2312" w:hAnsi="方正仿宋_GB2312" w:eastAsia="方正仿宋_GB2312" w:cs="方正仿宋_GB2312"/>
          <w:color w:val="auto"/>
          <w:sz w:val="32"/>
          <w:szCs w:val="32"/>
          <w:highlight w:val="none"/>
        </w:rPr>
        <w:t>年初未</w:t>
      </w:r>
      <w:r>
        <w:rPr>
          <w:rFonts w:hint="eastAsia" w:ascii="方正仿宋_GB2312" w:hAnsi="方正仿宋_GB2312" w:eastAsia="方正仿宋_GB2312" w:cs="方正仿宋_GB2312"/>
          <w:color w:val="auto"/>
          <w:sz w:val="32"/>
          <w:szCs w:val="32"/>
          <w:highlight w:val="none"/>
          <w:lang w:eastAsia="zh-CN"/>
        </w:rPr>
        <w:t>包含</w:t>
      </w:r>
      <w:r>
        <w:rPr>
          <w:rFonts w:hint="eastAsia" w:ascii="方正仿宋_GB2312" w:hAnsi="方正仿宋_GB2312" w:eastAsia="方正仿宋_GB2312" w:cs="方正仿宋_GB2312"/>
          <w:color w:val="auto"/>
          <w:sz w:val="32"/>
          <w:szCs w:val="32"/>
          <w:highlight w:val="none"/>
        </w:rPr>
        <w:t>该项预算</w:t>
      </w:r>
      <w:r>
        <w:rPr>
          <w:rFonts w:hint="eastAsia" w:ascii="方正仿宋_GB2312" w:hAnsi="方正仿宋_GB2312" w:eastAsia="方正仿宋_GB2312" w:cs="方正仿宋_GB2312"/>
          <w:color w:val="auto"/>
          <w:sz w:val="32"/>
          <w:szCs w:val="32"/>
          <w:highlight w:val="none"/>
          <w:lang w:eastAsia="zh-CN"/>
        </w:rPr>
        <w:t>，为</w:t>
      </w:r>
      <w:r>
        <w:rPr>
          <w:rFonts w:hint="eastAsia" w:ascii="方正仿宋_GB2312" w:hAnsi="方正仿宋_GB2312" w:eastAsia="方正仿宋_GB2312" w:cs="方正仿宋_GB2312"/>
          <w:color w:val="auto"/>
          <w:sz w:val="32"/>
          <w:szCs w:val="32"/>
          <w:highlight w:val="none"/>
          <w:lang w:val="en-US" w:eastAsia="zh-CN"/>
        </w:rPr>
        <w:t>2025年职工医疗保险。</w:t>
      </w:r>
    </w:p>
    <w:p w14:paraId="6557C884">
      <w:pPr>
        <w:pStyle w:val="13"/>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w:t>
      </w:r>
      <w:r>
        <w:rPr>
          <w:rFonts w:hint="eastAsia" w:ascii="方正仿宋_GB2312" w:hAnsi="方正仿宋_GB2312" w:eastAsia="方正仿宋_GB2312" w:cs="方正仿宋_GB2312"/>
          <w:color w:val="auto"/>
          <w:sz w:val="32"/>
          <w:szCs w:val="32"/>
          <w:highlight w:val="none"/>
        </w:rPr>
        <w:t>（类）行政事业单位医疗（款</w:t>
      </w:r>
      <w:r>
        <w:rPr>
          <w:rFonts w:hint="eastAsia" w:ascii="方正仿宋_GB2312" w:hAnsi="方正仿宋_GB2312" w:eastAsia="方正仿宋_GB2312" w:cs="方正仿宋_GB2312"/>
          <w:color w:val="auto"/>
          <w:sz w:val="32"/>
          <w:szCs w:val="32"/>
          <w:highlight w:val="none"/>
          <w:lang w:eastAsia="zh-CN"/>
        </w:rPr>
        <w:t>）</w:t>
      </w:r>
      <w:r>
        <w:rPr>
          <w:rFonts w:hint="eastAsia" w:ascii="方正仿宋_GB2312" w:hAnsi="方正仿宋_GB2312" w:eastAsia="方正仿宋_GB2312" w:cs="方正仿宋_GB2312"/>
          <w:color w:val="auto"/>
          <w:sz w:val="32"/>
          <w:szCs w:val="32"/>
          <w:highlight w:val="none"/>
        </w:rPr>
        <w:t>行政单位医疗</w:t>
      </w:r>
      <w:r>
        <w:rPr>
          <w:rFonts w:hint="eastAsia" w:ascii="方正仿宋_GB2312" w:hAnsi="方正仿宋_GB2312" w:eastAsia="方正仿宋_GB2312" w:cs="方正仿宋_GB2312"/>
          <w:color w:val="auto"/>
          <w:sz w:val="32"/>
          <w:szCs w:val="32"/>
          <w:highlight w:val="none"/>
          <w:lang w:eastAsia="zh-CN"/>
        </w:rPr>
        <w:t>（项）</w:t>
      </w:r>
      <w:r>
        <w:rPr>
          <w:rFonts w:hint="eastAsia" w:ascii="Times New Roman" w:hAnsi="Times New Roman" w:eastAsia="仿宋_GB2312" w:cs="Times New Roman"/>
          <w:sz w:val="32"/>
          <w:szCs w:val="32"/>
          <w:lang w:val="en-US" w:eastAsia="zh-CN"/>
        </w:rPr>
        <w:t>2101102</w:t>
      </w:r>
    </w:p>
    <w:p w14:paraId="366EAE1C">
      <w:pPr>
        <w:pStyle w:val="13"/>
        <w:numPr>
          <w:ilvl w:val="0"/>
          <w:numId w:val="0"/>
        </w:numPr>
        <w:overflowPunct w:val="0"/>
        <w:autoSpaceDE/>
        <w:autoSpaceDN/>
        <w:spacing w:line="600" w:lineRule="exact"/>
        <w:ind w:left="0" w:leftChars="0" w:firstLine="640" w:firstLineChars="200"/>
        <w:jc w:val="both"/>
        <w:rPr>
          <w:rFonts w:hint="eastAsia"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hint="eastAsia" w:ascii="方正仿宋_GB2312" w:hAnsi="方正仿宋_GB2312" w:eastAsia="方正仿宋_GB2312" w:cs="方正仿宋_GB2312"/>
          <w:color w:val="auto"/>
          <w:sz w:val="32"/>
          <w:szCs w:val="32"/>
          <w:highlight w:val="none"/>
          <w:lang w:eastAsia="zh-CN"/>
        </w:rPr>
        <w:t>为</w:t>
      </w:r>
      <w:r>
        <w:rPr>
          <w:rFonts w:hint="eastAsia" w:ascii="方正仿宋_GB2312" w:hAnsi="方正仿宋_GB2312" w:eastAsia="方正仿宋_GB2312" w:cs="方正仿宋_GB2312"/>
          <w:color w:val="auto"/>
          <w:sz w:val="32"/>
          <w:szCs w:val="32"/>
          <w:highlight w:val="none"/>
          <w:lang w:val="en-US" w:eastAsia="zh-CN"/>
        </w:rPr>
        <w:t>2025年职工医疗保险。</w:t>
      </w:r>
    </w:p>
    <w:p w14:paraId="64371DAF">
      <w:pPr>
        <w:pStyle w:val="13"/>
        <w:numPr>
          <w:numId w:val="0"/>
        </w:numPr>
        <w:overflowPunct w:val="0"/>
        <w:autoSpaceDE/>
        <w:autoSpaceDN/>
        <w:spacing w:line="600" w:lineRule="exact"/>
        <w:ind w:left="0" w:leftChars="0" w:firstLine="640" w:firstLineChars="200"/>
        <w:jc w:val="both"/>
        <w:rPr>
          <w:rFonts w:hint="default" w:ascii="方正仿宋_GB2312" w:hAnsi="方正仿宋_GB2312" w:eastAsia="方正仿宋_GB2312" w:cs="方正仿宋_GB2312"/>
          <w:color w:val="auto"/>
          <w:sz w:val="32"/>
          <w:szCs w:val="32"/>
          <w:highlight w:val="none"/>
          <w:lang w:val="en-US" w:eastAsia="zh-CN"/>
        </w:rPr>
      </w:pPr>
      <w:r>
        <w:rPr>
          <w:rFonts w:hint="eastAsia" w:ascii="Times New Roman" w:hAnsi="Times New Roman" w:eastAsia="仿宋_GB2312" w:cs="Times New Roman"/>
          <w:sz w:val="32"/>
          <w:szCs w:val="32"/>
          <w:lang w:val="en-US" w:eastAsia="zh-CN"/>
        </w:rPr>
        <w:t>8、</w:t>
      </w:r>
      <w:r>
        <w:rPr>
          <w:rFonts w:hint="eastAsia" w:ascii="方正仿宋_GB2312" w:hAnsi="方正仿宋_GB2312" w:eastAsia="方正仿宋_GB2312" w:cs="方正仿宋_GB2312"/>
          <w:color w:val="auto"/>
          <w:sz w:val="32"/>
          <w:szCs w:val="32"/>
          <w:highlight w:val="none"/>
          <w:lang w:val="en-US" w:eastAsia="zh-CN"/>
        </w:rPr>
        <w:t>住房保障支出</w:t>
      </w:r>
      <w:r>
        <w:rPr>
          <w:rFonts w:hint="eastAsia" w:ascii="方正仿宋_GB2312" w:hAnsi="方正仿宋_GB2312" w:eastAsia="方正仿宋_GB2312" w:cs="方正仿宋_GB2312"/>
          <w:color w:val="auto"/>
          <w:sz w:val="32"/>
          <w:szCs w:val="32"/>
          <w:highlight w:val="none"/>
        </w:rPr>
        <w:t>（类）住房改革支出（款</w:t>
      </w:r>
      <w:r>
        <w:rPr>
          <w:rFonts w:hint="eastAsia" w:ascii="方正仿宋_GB2312" w:hAnsi="方正仿宋_GB2312" w:eastAsia="方正仿宋_GB2312" w:cs="方正仿宋_GB2312"/>
          <w:color w:val="auto"/>
          <w:sz w:val="32"/>
          <w:szCs w:val="32"/>
          <w:highlight w:val="none"/>
          <w:lang w:eastAsia="zh-CN"/>
        </w:rPr>
        <w:t>）住房公积金（项）</w:t>
      </w:r>
      <w:r>
        <w:rPr>
          <w:rFonts w:hint="eastAsia" w:ascii="Times New Roman" w:hAnsi="Times New Roman" w:eastAsia="仿宋_GB2312" w:cs="Times New Roman"/>
          <w:sz w:val="32"/>
          <w:szCs w:val="32"/>
          <w:lang w:val="en-US" w:eastAsia="zh-CN"/>
        </w:rPr>
        <w:t>2210201</w:t>
      </w:r>
    </w:p>
    <w:p w14:paraId="29D1BE7D">
      <w:pPr>
        <w:pStyle w:val="13"/>
        <w:overflowPunct w:val="0"/>
        <w:autoSpaceDE/>
        <w:autoSpaceDN/>
        <w:spacing w:line="600" w:lineRule="exact"/>
        <w:ind w:firstLine="640" w:firstLineChars="200"/>
        <w:jc w:val="both"/>
        <w:rPr>
          <w:rFonts w:hint="eastAsia" w:ascii="方正仿宋_GB2312" w:hAnsi="方正仿宋_GB2312" w:eastAsia="方正仿宋_GB2312" w:cs="方正仿宋_GB2312"/>
          <w:color w:val="auto"/>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111.93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方正仿宋_GB2312" w:hAnsi="方正仿宋_GB2312" w:eastAsia="方正仿宋_GB2312" w:cs="方正仿宋_GB2312"/>
          <w:color w:val="auto"/>
          <w:sz w:val="32"/>
          <w:szCs w:val="32"/>
          <w:highlight w:val="none"/>
          <w:lang w:eastAsia="zh-CN"/>
        </w:rPr>
        <w:t>本</w:t>
      </w:r>
      <w:r>
        <w:rPr>
          <w:rFonts w:hint="eastAsia" w:ascii="方正仿宋_GB2312" w:hAnsi="方正仿宋_GB2312" w:eastAsia="方正仿宋_GB2312" w:cs="方正仿宋_GB2312"/>
          <w:color w:val="auto"/>
          <w:sz w:val="32"/>
          <w:szCs w:val="32"/>
          <w:highlight w:val="none"/>
        </w:rPr>
        <w:t>年度内</w:t>
      </w:r>
      <w:r>
        <w:rPr>
          <w:rFonts w:hint="eastAsia" w:ascii="方正仿宋_GB2312" w:hAnsi="方正仿宋_GB2312" w:eastAsia="方正仿宋_GB2312" w:cs="方正仿宋_GB2312"/>
          <w:color w:val="auto"/>
          <w:sz w:val="32"/>
          <w:szCs w:val="32"/>
          <w:highlight w:val="none"/>
          <w:lang w:eastAsia="zh-CN"/>
        </w:rPr>
        <w:t>有</w:t>
      </w:r>
      <w:r>
        <w:rPr>
          <w:rFonts w:hint="eastAsia" w:ascii="方正仿宋_GB2312" w:hAnsi="方正仿宋_GB2312" w:eastAsia="方正仿宋_GB2312" w:cs="方正仿宋_GB2312"/>
          <w:color w:val="auto"/>
          <w:sz w:val="32"/>
          <w:szCs w:val="32"/>
          <w:highlight w:val="none"/>
        </w:rPr>
        <w:t>新增</w:t>
      </w:r>
      <w:r>
        <w:rPr>
          <w:rFonts w:hint="eastAsia" w:ascii="方正仿宋_GB2312" w:hAnsi="方正仿宋_GB2312" w:eastAsia="方正仿宋_GB2312" w:cs="方正仿宋_GB2312"/>
          <w:color w:val="auto"/>
          <w:sz w:val="32"/>
          <w:szCs w:val="32"/>
          <w:highlight w:val="none"/>
          <w:lang w:eastAsia="zh-CN"/>
        </w:rPr>
        <w:t>在职</w:t>
      </w:r>
      <w:r>
        <w:rPr>
          <w:rFonts w:hint="eastAsia" w:ascii="方正仿宋_GB2312" w:hAnsi="方正仿宋_GB2312" w:eastAsia="方正仿宋_GB2312" w:cs="方正仿宋_GB2312"/>
          <w:color w:val="auto"/>
          <w:sz w:val="32"/>
          <w:szCs w:val="32"/>
          <w:highlight w:val="none"/>
        </w:rPr>
        <w:t>人员，</w:t>
      </w:r>
      <w:r>
        <w:rPr>
          <w:rFonts w:hint="eastAsia" w:ascii="方正仿宋_GB2312" w:hAnsi="方正仿宋_GB2312" w:eastAsia="方正仿宋_GB2312" w:cs="方正仿宋_GB2312"/>
          <w:color w:val="auto"/>
          <w:sz w:val="32"/>
          <w:szCs w:val="32"/>
          <w:highlight w:val="none"/>
          <w:lang w:eastAsia="zh-CN"/>
        </w:rPr>
        <w:t>所以公积金</w:t>
      </w:r>
      <w:r>
        <w:rPr>
          <w:rFonts w:hint="eastAsia" w:ascii="方正仿宋_GB2312" w:hAnsi="方正仿宋_GB2312" w:eastAsia="方正仿宋_GB2312" w:cs="方正仿宋_GB2312"/>
          <w:color w:val="auto"/>
          <w:sz w:val="32"/>
          <w:szCs w:val="32"/>
          <w:highlight w:val="none"/>
        </w:rPr>
        <w:t>缴费基数总额</w:t>
      </w:r>
      <w:r>
        <w:rPr>
          <w:rFonts w:hint="eastAsia" w:ascii="方正仿宋_GB2312" w:hAnsi="方正仿宋_GB2312" w:eastAsia="方正仿宋_GB2312" w:cs="方正仿宋_GB2312"/>
          <w:color w:val="auto"/>
          <w:sz w:val="32"/>
          <w:szCs w:val="32"/>
          <w:highlight w:val="none"/>
          <w:lang w:eastAsia="zh-CN"/>
        </w:rPr>
        <w:t>有</w:t>
      </w:r>
      <w:r>
        <w:rPr>
          <w:rFonts w:hint="eastAsia" w:ascii="方正仿宋_GB2312" w:hAnsi="方正仿宋_GB2312" w:eastAsia="方正仿宋_GB2312" w:cs="方正仿宋_GB2312"/>
          <w:color w:val="auto"/>
          <w:sz w:val="32"/>
          <w:szCs w:val="32"/>
          <w:highlight w:val="none"/>
        </w:rPr>
        <w:t>增加，相</w:t>
      </w:r>
      <w:r>
        <w:rPr>
          <w:rFonts w:hint="eastAsia" w:ascii="方正仿宋_GB2312" w:hAnsi="方正仿宋_GB2312" w:eastAsia="方正仿宋_GB2312" w:cs="方正仿宋_GB2312"/>
          <w:color w:val="auto"/>
          <w:sz w:val="32"/>
          <w:szCs w:val="32"/>
          <w:highlight w:val="none"/>
          <w:lang w:eastAsia="zh-CN"/>
        </w:rPr>
        <w:t>应住房公积金的</w:t>
      </w:r>
      <w:r>
        <w:rPr>
          <w:rFonts w:hint="eastAsia" w:ascii="方正仿宋_GB2312" w:hAnsi="方正仿宋_GB2312" w:eastAsia="方正仿宋_GB2312" w:cs="方正仿宋_GB2312"/>
          <w:color w:val="auto"/>
          <w:sz w:val="32"/>
          <w:szCs w:val="32"/>
          <w:highlight w:val="none"/>
        </w:rPr>
        <w:t>支出</w:t>
      </w:r>
      <w:r>
        <w:rPr>
          <w:rFonts w:hint="eastAsia" w:ascii="方正仿宋_GB2312" w:hAnsi="方正仿宋_GB2312" w:eastAsia="方正仿宋_GB2312" w:cs="方正仿宋_GB2312"/>
          <w:color w:val="auto"/>
          <w:sz w:val="32"/>
          <w:szCs w:val="32"/>
          <w:highlight w:val="none"/>
          <w:lang w:eastAsia="zh-CN"/>
        </w:rPr>
        <w:t>也有增加。</w:t>
      </w:r>
    </w:p>
    <w:p w14:paraId="7F397E40">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sz w:val="32"/>
          <w:szCs w:val="32"/>
          <w:lang w:eastAsia="zh-CN"/>
        </w:rPr>
      </w:pPr>
      <w:r>
        <w:rPr>
          <w:rFonts w:hint="eastAsia" w:ascii="Times New Roman" w:hAnsi="Times New Roman" w:eastAsia="仿宋_GB2312" w:cs="Times New Roman"/>
          <w:sz w:val="32"/>
          <w:szCs w:val="32"/>
        </w:rPr>
        <w:t>按照支出功能分类，人员经费方面占财政拨款支出总额的比重较高，主要是：</w:t>
      </w:r>
      <w:r>
        <w:rPr>
          <w:rFonts w:hint="eastAsia" w:ascii="方正仿宋_GB2312" w:hAnsi="方正仿宋_GB2312" w:eastAsia="方正仿宋_GB2312" w:cs="方正仿宋_GB2312"/>
          <w:color w:val="auto"/>
          <w:sz w:val="32"/>
          <w:szCs w:val="32"/>
          <w:highlight w:val="none"/>
        </w:rPr>
        <w:t>社会保障和就业支出（类）人力资源和社会保障管理事务（款）社会保险经办机构（项）</w:t>
      </w:r>
      <w:r>
        <w:rPr>
          <w:rFonts w:hint="eastAsia" w:ascii="方正仿宋_GB2312" w:hAnsi="方正仿宋_GB2312" w:eastAsia="方正仿宋_GB2312" w:cs="方正仿宋_GB2312"/>
          <w:color w:val="auto"/>
          <w:sz w:val="32"/>
          <w:szCs w:val="32"/>
          <w:highlight w:val="none"/>
          <w:lang w:val="en-US" w:eastAsia="zh-CN"/>
        </w:rPr>
        <w:t>2080109</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602.32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60.47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发放在职人员的工资、奖金、津贴补贴和缴纳各类社会保险费等</w:t>
      </w:r>
      <w:r>
        <w:rPr>
          <w:rFonts w:hint="eastAsia" w:ascii="Times New Roman" w:hAnsi="Times New Roman" w:eastAsia="楷体_GB2312" w:cs="Times New Roman"/>
          <w:b w:val="0"/>
          <w:bCs w:val="0"/>
          <w:i/>
          <w:color w:val="auto"/>
          <w:sz w:val="32"/>
          <w:szCs w:val="32"/>
          <w:lang w:eastAsia="zh-CN"/>
        </w:rPr>
        <w:t>。</w:t>
      </w:r>
    </w:p>
    <w:p w14:paraId="23E0B16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4D7017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887.55</w:t>
      </w:r>
      <w:r>
        <w:rPr>
          <w:rFonts w:ascii="Times New Roman" w:hAnsi="Times New Roman" w:eastAsia="仿宋_GB2312" w:cs="Times New Roman"/>
          <w:sz w:val="32"/>
          <w:szCs w:val="32"/>
        </w:rPr>
        <w:t>万元，其中：</w:t>
      </w:r>
    </w:p>
    <w:p w14:paraId="72794A4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809.06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91.16</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社会保险缴费等。</w:t>
      </w:r>
    </w:p>
    <w:p w14:paraId="7E1FF13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78.49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、公务用车运行费等</w:t>
      </w:r>
      <w:r>
        <w:rPr>
          <w:rFonts w:ascii="Times New Roman" w:hAnsi="Times New Roman" w:eastAsia="仿宋_GB2312" w:cs="Times New Roman"/>
          <w:sz w:val="32"/>
          <w:szCs w:val="32"/>
        </w:rPr>
        <w:t>。</w:t>
      </w:r>
    </w:p>
    <w:p w14:paraId="2A07861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0931C62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1EF9FF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3.17</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3.17</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%；与上年相比增加</w:t>
      </w:r>
      <w:r>
        <w:rPr>
          <w:rFonts w:hint="eastAsia" w:ascii="Times New Roman" w:hAnsi="Times New Roman" w:eastAsia="仿宋_GB2312" w:cs="Times New Roman"/>
          <w:sz w:val="32"/>
          <w:szCs w:val="32"/>
          <w:highlight w:val="none"/>
          <w:lang w:val="en-US" w:eastAsia="zh-CN"/>
        </w:rPr>
        <w:t>1.72</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118.62</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highlight w:val="none"/>
          <w:lang w:val="en-US" w:eastAsia="zh-CN"/>
        </w:rPr>
        <w:t>⑴上年度受各类因素影响，公务活动压缩，三公经费支出偏低；⑵本年新增工作人员，公务活动基数扩大，公车运行、公务接待等刚性支出同步增加。但全年决算数未超过年初预算数。</w:t>
      </w:r>
    </w:p>
    <w:p w14:paraId="0189732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8E89200">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6A9784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117.69</w:t>
      </w:r>
      <w:r>
        <w:rPr>
          <w:rFonts w:ascii="Times New Roman" w:hAnsi="Times New Roman" w:eastAsia="仿宋_GB2312" w:cs="Times New Roman"/>
          <w:sz w:val="32"/>
          <w:szCs w:val="32"/>
        </w:rPr>
        <w:t>%。其中：</w:t>
      </w:r>
    </w:p>
    <w:p w14:paraId="15B0B5C8">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油卡充值、车辆维修、过路过桥费等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117.69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2024年7月</w:t>
      </w:r>
      <w:r>
        <w:rPr>
          <w:rFonts w:hint="eastAsia" w:ascii="方正仿宋_GB2312" w:hAnsi="方正仿宋_GB2312" w:eastAsia="方正仿宋_GB2312" w:cs="方正仿宋_GB2312"/>
          <w:color w:val="auto"/>
          <w:sz w:val="32"/>
          <w:szCs w:val="32"/>
          <w:highlight w:val="none"/>
        </w:rPr>
        <w:t>人社局划拨一台公务用车到本中心</w:t>
      </w:r>
      <w:r>
        <w:rPr>
          <w:rFonts w:hint="eastAsia" w:ascii="方正仿宋_GB2312" w:hAnsi="方正仿宋_GB2312" w:eastAsia="方正仿宋_GB2312" w:cs="方正仿宋_GB2312"/>
          <w:color w:val="auto"/>
          <w:sz w:val="32"/>
          <w:szCs w:val="32"/>
          <w:highlight w:val="none"/>
          <w:lang w:eastAsia="zh-CN"/>
        </w:rPr>
        <w:t>，产生半年的公务用车运行费；本年度是全年的公务用车运行费，所以本年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于上年</w:t>
      </w:r>
      <w:r>
        <w:rPr>
          <w:rFonts w:hint="eastAsia" w:ascii="Times New Roman" w:hAnsi="Times New Roman" w:eastAsia="仿宋_GB2312" w:cs="Times New Roman"/>
          <w:sz w:val="32"/>
          <w:szCs w:val="32"/>
          <w:lang w:eastAsia="zh-CN"/>
        </w:rPr>
        <w:t>决算</w:t>
      </w:r>
      <w:r>
        <w:rPr>
          <w:rFonts w:ascii="Times New Roman" w:hAnsi="Times New Roman" w:eastAsia="仿宋_GB2312" w:cs="Times New Roman"/>
          <w:sz w:val="32"/>
          <w:szCs w:val="32"/>
        </w:rPr>
        <w:t>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rPr>
        <w:t>辆。</w:t>
      </w:r>
    </w:p>
    <w:p w14:paraId="408114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126.67</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highlight w:val="none"/>
          <w:lang w:val="en-US" w:eastAsia="zh-CN"/>
        </w:rPr>
        <w:t>上年度受各类因素影响，公务活动压缩，</w:t>
      </w:r>
      <w:r>
        <w:rPr>
          <w:rFonts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highlight w:val="none"/>
          <w:lang w:val="en-US" w:eastAsia="zh-CN"/>
        </w:rPr>
        <w:t>支出偏低。（2）</w:t>
      </w:r>
      <w:r>
        <w:rPr>
          <w:rFonts w:hint="eastAsia" w:ascii="Times New Roman" w:hAnsi="Times New Roman" w:eastAsia="仿宋_GB2312" w:cs="Times New Roman"/>
          <w:sz w:val="32"/>
          <w:szCs w:val="32"/>
          <w:lang w:eastAsia="zh-CN"/>
        </w:rPr>
        <w:t>本年度</w:t>
      </w:r>
      <w:r>
        <w:rPr>
          <w:rFonts w:ascii="Times New Roman" w:hAnsi="Times New Roman" w:eastAsia="仿宋_GB2312" w:cs="Times New Roman"/>
          <w:sz w:val="32"/>
          <w:szCs w:val="32"/>
        </w:rPr>
        <w:t>业务对接、</w:t>
      </w:r>
      <w:r>
        <w:rPr>
          <w:rFonts w:hint="eastAsia" w:ascii="Times New Roman" w:hAnsi="Times New Roman" w:eastAsia="仿宋_GB2312" w:cs="Times New Roman"/>
          <w:sz w:val="32"/>
          <w:szCs w:val="32"/>
          <w:lang w:eastAsia="zh-CN"/>
        </w:rPr>
        <w:t>劳务协作</w:t>
      </w:r>
      <w:r>
        <w:rPr>
          <w:rFonts w:ascii="Times New Roman" w:hAnsi="Times New Roman" w:eastAsia="仿宋_GB2312" w:cs="Times New Roman"/>
          <w:sz w:val="32"/>
          <w:szCs w:val="32"/>
        </w:rPr>
        <w:t>等公务接待任务较上年有所增多，为履职正常合理支出。各项接待均严格执行标准、依规审批，费用支出控制在年度预算范围内，无违规超标情况。</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业务对接、劳务协作</w:t>
      </w:r>
      <w:r>
        <w:rPr>
          <w:rFonts w:ascii="Times New Roman" w:hAnsi="Times New Roman" w:eastAsia="仿宋_GB2312" w:cs="Times New Roman"/>
          <w:sz w:val="32"/>
          <w:szCs w:val="32"/>
        </w:rPr>
        <w:t>发生的接待支出。</w:t>
      </w:r>
    </w:p>
    <w:p w14:paraId="193F702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87A1BB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eastAsia="zh-CN"/>
        </w:rPr>
        <w:t>收支。</w:t>
      </w:r>
    </w:p>
    <w:p w14:paraId="559045D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highlight w:val="none"/>
        </w:rPr>
      </w:pPr>
      <w:r>
        <w:rPr>
          <w:rFonts w:hint="eastAsia" w:ascii="Times New Roman" w:hAnsi="Times New Roman" w:eastAsia="仿宋_GB2312"/>
          <w:b/>
          <w:color w:val="auto"/>
          <w:sz w:val="32"/>
          <w:szCs w:val="32"/>
          <w:highlight w:val="none"/>
        </w:rPr>
        <w:t>九、</w:t>
      </w:r>
      <w:r>
        <w:rPr>
          <w:rFonts w:hint="eastAsia" w:ascii="黑体" w:hAnsi="黑体" w:eastAsia="黑体" w:cs="黑体"/>
          <w:b w:val="0"/>
          <w:bCs/>
          <w:color w:val="auto"/>
          <w:sz w:val="32"/>
          <w:szCs w:val="32"/>
          <w:highlight w:val="none"/>
        </w:rPr>
        <w:t>国有资本经营预算</w:t>
      </w:r>
      <w:r>
        <w:rPr>
          <w:rFonts w:hint="eastAsia" w:ascii="黑体" w:hAnsi="黑体" w:eastAsia="黑体" w:cs="黑体"/>
          <w:b w:val="0"/>
          <w:bCs/>
          <w:color w:val="auto"/>
          <w:sz w:val="32"/>
          <w:szCs w:val="32"/>
          <w:highlight w:val="none"/>
          <w:lang w:eastAsia="zh-CN"/>
        </w:rPr>
        <w:t>收入</w:t>
      </w:r>
      <w:r>
        <w:rPr>
          <w:rFonts w:hint="eastAsia" w:ascii="黑体" w:hAnsi="黑体" w:eastAsia="黑体" w:cs="黑体"/>
          <w:b w:val="0"/>
          <w:bCs/>
          <w:color w:val="auto"/>
          <w:sz w:val="32"/>
          <w:szCs w:val="32"/>
          <w:highlight w:val="none"/>
        </w:rPr>
        <w:t>支出决算情况说明</w:t>
      </w:r>
    </w:p>
    <w:p w14:paraId="6337CB9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rPr>
        <w:t xml:space="preserve">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方正仿宋_GB2312" w:hAnsi="方正仿宋_GB2312" w:eastAsia="方正仿宋_GB2312" w:cs="方正仿宋_GB2312"/>
          <w:color w:val="auto"/>
          <w:sz w:val="32"/>
          <w:szCs w:val="32"/>
          <w:highlight w:val="none"/>
        </w:rPr>
        <w:t>年</w:t>
      </w:r>
      <w:r>
        <w:rPr>
          <w:rFonts w:hint="eastAsia" w:ascii="方正仿宋_GB2312" w:hAnsi="方正仿宋_GB2312" w:eastAsia="方正仿宋_GB2312" w:cs="方正仿宋_GB2312"/>
          <w:color w:val="auto"/>
          <w:sz w:val="32"/>
          <w:szCs w:val="32"/>
          <w:highlight w:val="none"/>
          <w:lang w:val="en-US" w:eastAsia="zh-CN"/>
        </w:rPr>
        <w:t>度本单位无国有资本经营预算收入支出。</w:t>
      </w:r>
    </w:p>
    <w:p w14:paraId="7591881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EA0797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78.49</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21.04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36.62</w:t>
      </w:r>
      <w:r>
        <w:rPr>
          <w:rFonts w:ascii="Times New Roman" w:hAnsi="Times New Roman" w:eastAsia="仿宋_GB2312" w:cs="Times New Roman"/>
          <w:sz w:val="32"/>
          <w:szCs w:val="32"/>
        </w:rPr>
        <w:t>%。主要原因是：</w:t>
      </w:r>
      <w:r>
        <w:rPr>
          <w:rFonts w:hint="eastAsia" w:ascii="方正仿宋_GB2312" w:hAnsi="方正仿宋_GB2312" w:eastAsia="方正仿宋_GB2312" w:cs="方正仿宋_GB2312"/>
          <w:color w:val="auto"/>
          <w:sz w:val="32"/>
          <w:szCs w:val="32"/>
          <w:highlight w:val="none"/>
          <w:lang w:eastAsia="zh-CN"/>
        </w:rPr>
        <w:t>本</w:t>
      </w:r>
      <w:r>
        <w:rPr>
          <w:rFonts w:hint="eastAsia" w:ascii="方正仿宋_GB2312" w:hAnsi="方正仿宋_GB2312" w:eastAsia="方正仿宋_GB2312" w:cs="方正仿宋_GB2312"/>
          <w:color w:val="auto"/>
          <w:sz w:val="32"/>
          <w:szCs w:val="32"/>
          <w:highlight w:val="none"/>
        </w:rPr>
        <w:t>年度内</w:t>
      </w:r>
      <w:r>
        <w:rPr>
          <w:rFonts w:hint="eastAsia" w:ascii="方正仿宋_GB2312" w:hAnsi="方正仿宋_GB2312" w:eastAsia="方正仿宋_GB2312" w:cs="方正仿宋_GB2312"/>
          <w:color w:val="auto"/>
          <w:sz w:val="32"/>
          <w:szCs w:val="32"/>
          <w:highlight w:val="none"/>
          <w:lang w:eastAsia="zh-CN"/>
        </w:rPr>
        <w:t>有</w:t>
      </w:r>
      <w:r>
        <w:rPr>
          <w:rFonts w:hint="eastAsia" w:ascii="方正仿宋_GB2312" w:hAnsi="方正仿宋_GB2312" w:eastAsia="方正仿宋_GB2312" w:cs="方正仿宋_GB2312"/>
          <w:color w:val="auto"/>
          <w:sz w:val="32"/>
          <w:szCs w:val="32"/>
          <w:highlight w:val="none"/>
        </w:rPr>
        <w:t>新增</w:t>
      </w:r>
      <w:r>
        <w:rPr>
          <w:rFonts w:hint="eastAsia" w:ascii="方正仿宋_GB2312" w:hAnsi="方正仿宋_GB2312" w:eastAsia="方正仿宋_GB2312" w:cs="方正仿宋_GB2312"/>
          <w:color w:val="auto"/>
          <w:sz w:val="32"/>
          <w:szCs w:val="32"/>
          <w:highlight w:val="none"/>
          <w:lang w:eastAsia="zh-CN"/>
        </w:rPr>
        <w:t>在职</w:t>
      </w:r>
      <w:r>
        <w:rPr>
          <w:rFonts w:hint="eastAsia" w:ascii="方正仿宋_GB2312" w:hAnsi="方正仿宋_GB2312" w:eastAsia="方正仿宋_GB2312" w:cs="方正仿宋_GB2312"/>
          <w:color w:val="auto"/>
          <w:sz w:val="32"/>
          <w:szCs w:val="32"/>
          <w:highlight w:val="none"/>
        </w:rPr>
        <w:t>人员，</w:t>
      </w:r>
      <w:r>
        <w:rPr>
          <w:rFonts w:hint="eastAsia" w:ascii="方正仿宋_GB2312" w:hAnsi="方正仿宋_GB2312" w:eastAsia="方正仿宋_GB2312" w:cs="方正仿宋_GB2312"/>
          <w:color w:val="auto"/>
          <w:sz w:val="32"/>
          <w:szCs w:val="32"/>
          <w:highlight w:val="none"/>
          <w:lang w:eastAsia="zh-CN"/>
        </w:rPr>
        <w:t>公务活动相应增加，</w:t>
      </w:r>
      <w:r>
        <w:rPr>
          <w:rFonts w:ascii="Times New Roman" w:hAnsi="Times New Roman" w:eastAsia="仿宋_GB2312" w:cs="Times New Roman"/>
          <w:sz w:val="32"/>
          <w:szCs w:val="32"/>
        </w:rPr>
        <w:t>机关运行经费支出</w:t>
      </w:r>
      <w:r>
        <w:rPr>
          <w:rFonts w:hint="eastAsia" w:ascii="Times New Roman" w:hAnsi="Times New Roman" w:eastAsia="仿宋_GB2312" w:cs="Times New Roman"/>
          <w:sz w:val="32"/>
          <w:szCs w:val="32"/>
          <w:lang w:eastAsia="zh-CN"/>
        </w:rPr>
        <w:t>也同步增加。</w:t>
      </w:r>
    </w:p>
    <w:p w14:paraId="17F8173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220B8C6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p>
    <w:p w14:paraId="37B12B8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4AEC9E5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政府采购支出</w:t>
      </w:r>
      <w:r>
        <w:rPr>
          <w:rFonts w:hint="eastAsia" w:ascii="Times New Roman" w:hAnsi="Times New Roman" w:eastAsia="仿宋_GB2312" w:cs="Times New Roman"/>
          <w:sz w:val="32"/>
          <w:szCs w:val="32"/>
          <w:lang w:eastAsia="zh-CN"/>
        </w:rPr>
        <w:t>。</w:t>
      </w:r>
    </w:p>
    <w:p w14:paraId="16789E9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BFC688A">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eastAsia="zh-CN"/>
        </w:rPr>
        <w:t>一</w:t>
      </w:r>
      <w:r>
        <w:rPr>
          <w:rFonts w:ascii="Times New Roman" w:hAnsi="Times New Roman" w:eastAsia="仿宋_GB2312" w:cs="Times New Roman"/>
          <w:color w:val="auto"/>
          <w:sz w:val="32"/>
          <w:szCs w:val="32"/>
        </w:rPr>
        <w:t>辆，其中其他用车</w:t>
      </w:r>
      <w:r>
        <w:rPr>
          <w:rFonts w:hint="eastAsia" w:ascii="Times New Roman" w:hAnsi="Times New Roman" w:eastAsia="仿宋_GB2312" w:cs="Times New Roman"/>
          <w:color w:val="auto"/>
          <w:sz w:val="32"/>
          <w:szCs w:val="32"/>
          <w:lang w:eastAsia="zh-CN"/>
        </w:rPr>
        <w:t>一</w:t>
      </w:r>
      <w:r>
        <w:rPr>
          <w:rFonts w:ascii="Times New Roman" w:hAnsi="Times New Roman" w:eastAsia="仿宋_GB2312" w:cs="Times New Roman"/>
          <w:color w:val="auto"/>
          <w:sz w:val="32"/>
          <w:szCs w:val="32"/>
        </w:rPr>
        <w:t>辆，其他用车主要是</w:t>
      </w:r>
      <w:r>
        <w:rPr>
          <w:rFonts w:hint="eastAsia" w:ascii="方正仿宋_GB2312" w:hAnsi="方正仿宋_GB2312" w:eastAsia="方正仿宋_GB2312" w:cs="方正仿宋_GB2312"/>
          <w:color w:val="auto"/>
          <w:sz w:val="32"/>
          <w:szCs w:val="32"/>
          <w:highlight w:val="none"/>
          <w:lang w:eastAsia="zh-CN"/>
        </w:rPr>
        <w:t>公务出行用车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BB173E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D5DC0E8">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40E1EE12">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92.5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92.5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p>
    <w:p w14:paraId="68568A41">
      <w:pPr>
        <w:overflowPunct w:val="0"/>
        <w:spacing w:line="600" w:lineRule="exact"/>
        <w:ind w:firstLine="640" w:firstLineChars="200"/>
        <w:rPr>
          <w:rFonts w:hint="eastAsia" w:ascii="Times New Roman" w:hAnsi="Times New Roman" w:eastAsia="仿宋_GB2312" w:cs="Times New Roman"/>
          <w:kern w:val="0"/>
          <w:sz w:val="32"/>
          <w:szCs w:val="32"/>
          <w:lang w:eastAsia="zh-CN"/>
        </w:rPr>
      </w:pPr>
    </w:p>
    <w:p w14:paraId="31AE61DE">
      <w:pPr>
        <w:keepNext w:val="0"/>
        <w:keepLines w:val="0"/>
        <w:widowControl/>
        <w:suppressLineNumbers w:val="0"/>
        <w:ind w:left="0" w:leftChars="0" w:firstLine="640" w:firstLineChars="200"/>
        <w:jc w:val="left"/>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568384DC">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867.86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996.02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114.77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default" w:ascii="方正仿宋_GB2312" w:hAnsi="方正仿宋_GB2312" w:eastAsia="方正仿宋_GB2312" w:cs="方正仿宋_GB2312"/>
          <w:color w:val="auto"/>
          <w:sz w:val="32"/>
          <w:szCs w:val="32"/>
          <w:highlight w:val="none"/>
          <w:lang w:val="en-US" w:eastAsia="zh-CN"/>
        </w:rPr>
        <w:t>一是规范预算管理，确保绩效落地。二是严控运行成本，提升管理效率。三是夯实履职成效，提升综合效益。持续续优化服务流程、提升服务质量，主动对接解决问题，整体服务评价良好。</w:t>
      </w:r>
    </w:p>
    <w:p w14:paraId="20268CC7">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发现的主要问题及原因：</w:t>
      </w:r>
      <w:r>
        <w:rPr>
          <w:rFonts w:hint="eastAsia" w:ascii="方正仿宋_GB2312" w:hAnsi="方正仿宋_GB2312" w:eastAsia="方正仿宋_GB2312" w:cs="方正仿宋_GB2312"/>
          <w:color w:val="auto"/>
          <w:sz w:val="32"/>
          <w:szCs w:val="32"/>
          <w:highlight w:val="none"/>
          <w:lang w:val="en-US" w:eastAsia="zh-CN"/>
        </w:rPr>
        <w:t>少量</w:t>
      </w:r>
      <w:r>
        <w:rPr>
          <w:rFonts w:hint="default" w:ascii="方正仿宋_GB2312" w:hAnsi="方正仿宋_GB2312" w:eastAsia="方正仿宋_GB2312" w:cs="方正仿宋_GB2312"/>
          <w:color w:val="auto"/>
          <w:sz w:val="32"/>
          <w:szCs w:val="32"/>
          <w:highlight w:val="none"/>
          <w:lang w:val="en-US" w:eastAsia="zh-CN"/>
        </w:rPr>
        <w:t>经费支出</w:t>
      </w:r>
      <w:r>
        <w:rPr>
          <w:rFonts w:hint="eastAsia" w:ascii="方正仿宋_GB2312" w:hAnsi="方正仿宋_GB2312" w:eastAsia="方正仿宋_GB2312" w:cs="方正仿宋_GB2312"/>
          <w:color w:val="auto"/>
          <w:sz w:val="32"/>
          <w:szCs w:val="32"/>
          <w:highlight w:val="none"/>
          <w:lang w:val="en-US" w:eastAsia="zh-CN"/>
        </w:rPr>
        <w:t>有</w:t>
      </w:r>
      <w:r>
        <w:rPr>
          <w:rFonts w:hint="default" w:ascii="方正仿宋_GB2312" w:hAnsi="方正仿宋_GB2312" w:eastAsia="方正仿宋_GB2312" w:cs="方正仿宋_GB2312"/>
          <w:color w:val="auto"/>
          <w:sz w:val="32"/>
          <w:szCs w:val="32"/>
          <w:highlight w:val="none"/>
          <w:lang w:val="en-US" w:eastAsia="zh-CN"/>
        </w:rPr>
        <w:t>年末集中结算</w:t>
      </w:r>
      <w:r>
        <w:rPr>
          <w:rFonts w:hint="eastAsia" w:ascii="方正仿宋_GB2312" w:hAnsi="方正仿宋_GB2312" w:eastAsia="方正仿宋_GB2312" w:cs="方正仿宋_GB2312"/>
          <w:color w:val="auto"/>
          <w:sz w:val="32"/>
          <w:szCs w:val="32"/>
          <w:highlight w:val="none"/>
          <w:lang w:val="en-US" w:eastAsia="zh-CN"/>
        </w:rPr>
        <w:t>的情况</w:t>
      </w:r>
      <w:r>
        <w:rPr>
          <w:rFonts w:hint="default" w:ascii="方正仿宋_GB2312" w:hAnsi="方正仿宋_GB2312" w:eastAsia="方正仿宋_GB2312" w:cs="方正仿宋_GB2312"/>
          <w:color w:val="auto"/>
          <w:sz w:val="32"/>
          <w:szCs w:val="32"/>
          <w:highlight w:val="none"/>
          <w:lang w:val="en-US" w:eastAsia="zh-CN"/>
        </w:rPr>
        <w:t>，受整体财政调度及资金拨付时序影响，资金到位节奏存在阶段性不均衡情况，一定程度上制约了月度预算均衡推进，造成阶段性执行节奏波动。</w:t>
      </w:r>
    </w:p>
    <w:p w14:paraId="53FCDD1B">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ascii="Times New Roman" w:hAnsi="Times New Roman" w:eastAsia="仿宋_GB2312" w:cs="Times New Roman"/>
          <w:sz w:val="32"/>
          <w:szCs w:val="32"/>
        </w:rPr>
        <w:t>下一步改进措施：</w:t>
      </w:r>
      <w:r>
        <w:rPr>
          <w:rFonts w:hint="default" w:ascii="方正仿宋_GB2312" w:hAnsi="方正仿宋_GB2312" w:eastAsia="方正仿宋_GB2312" w:cs="方正仿宋_GB2312"/>
          <w:color w:val="auto"/>
          <w:sz w:val="32"/>
          <w:szCs w:val="32"/>
          <w:highlight w:val="none"/>
          <w:lang w:val="en-US" w:eastAsia="zh-CN"/>
        </w:rPr>
        <w:t>主动对接财政资金调度情况，科学制定</w:t>
      </w:r>
      <w:r>
        <w:rPr>
          <w:rFonts w:hint="eastAsia" w:ascii="方正仿宋_GB2312" w:hAnsi="方正仿宋_GB2312" w:eastAsia="方正仿宋_GB2312" w:cs="方正仿宋_GB2312"/>
          <w:color w:val="auto"/>
          <w:sz w:val="32"/>
          <w:szCs w:val="32"/>
          <w:highlight w:val="none"/>
          <w:lang w:val="en-US" w:eastAsia="zh-CN"/>
        </w:rPr>
        <w:t>年度、</w:t>
      </w:r>
      <w:r>
        <w:rPr>
          <w:rFonts w:hint="default" w:ascii="方正仿宋_GB2312" w:hAnsi="方正仿宋_GB2312" w:eastAsia="方正仿宋_GB2312" w:cs="方正仿宋_GB2312"/>
          <w:color w:val="auto"/>
          <w:sz w:val="32"/>
          <w:szCs w:val="32"/>
          <w:highlight w:val="none"/>
          <w:lang w:val="en-US" w:eastAsia="zh-CN"/>
        </w:rPr>
        <w:t>月度用款计划</w:t>
      </w:r>
      <w:r>
        <w:rPr>
          <w:rFonts w:hint="eastAsia" w:ascii="方正仿宋_GB2312" w:hAnsi="方正仿宋_GB2312" w:eastAsia="方正仿宋_GB2312" w:cs="方正仿宋_GB2312"/>
          <w:color w:val="auto"/>
          <w:sz w:val="32"/>
          <w:szCs w:val="32"/>
          <w:highlight w:val="none"/>
          <w:lang w:val="en-US" w:eastAsia="zh-CN"/>
        </w:rPr>
        <w:t>，</w:t>
      </w:r>
      <w:r>
        <w:rPr>
          <w:rFonts w:hint="default" w:ascii="方正仿宋_GB2312" w:hAnsi="方正仿宋_GB2312" w:eastAsia="方正仿宋_GB2312" w:cs="方正仿宋_GB2312"/>
          <w:color w:val="auto"/>
          <w:sz w:val="32"/>
          <w:szCs w:val="32"/>
          <w:highlight w:val="none"/>
          <w:lang w:val="en-US" w:eastAsia="zh-CN"/>
        </w:rPr>
        <w:t>有序推进资金拨付时序，避</w:t>
      </w:r>
      <w:r>
        <w:rPr>
          <w:rFonts w:hint="eastAsia" w:ascii="方正仿宋_GB2312" w:hAnsi="方正仿宋_GB2312" w:eastAsia="方正仿宋_GB2312" w:cs="方正仿宋_GB2312"/>
          <w:color w:val="auto"/>
          <w:sz w:val="32"/>
          <w:szCs w:val="32"/>
          <w:highlight w:val="none"/>
          <w:lang w:val="en-US" w:eastAsia="zh-CN"/>
        </w:rPr>
        <w:t>免</w:t>
      </w:r>
      <w:r>
        <w:rPr>
          <w:rFonts w:hint="default" w:ascii="方正仿宋_GB2312" w:hAnsi="方正仿宋_GB2312" w:eastAsia="方正仿宋_GB2312" w:cs="方正仿宋_GB2312"/>
          <w:color w:val="auto"/>
          <w:sz w:val="32"/>
          <w:szCs w:val="32"/>
          <w:highlight w:val="none"/>
          <w:lang w:val="en-US" w:eastAsia="zh-CN"/>
        </w:rPr>
        <w:t>年末集中结算问题，保障全年预算执行进度平稳</w:t>
      </w:r>
      <w:r>
        <w:rPr>
          <w:rFonts w:hint="eastAsia" w:ascii="方正仿宋_GB2312" w:hAnsi="方正仿宋_GB2312" w:eastAsia="方正仿宋_GB2312" w:cs="方正仿宋_GB2312"/>
          <w:color w:val="auto"/>
          <w:sz w:val="32"/>
          <w:szCs w:val="32"/>
          <w:highlight w:val="none"/>
          <w:lang w:val="en-US" w:eastAsia="zh-CN"/>
        </w:rPr>
        <w:t>推进</w:t>
      </w:r>
      <w:r>
        <w:rPr>
          <w:rFonts w:hint="default" w:ascii="方正仿宋_GB2312" w:hAnsi="方正仿宋_GB2312" w:eastAsia="方正仿宋_GB2312" w:cs="方正仿宋_GB2312"/>
          <w:color w:val="auto"/>
          <w:sz w:val="32"/>
          <w:szCs w:val="32"/>
          <w:highlight w:val="none"/>
          <w:lang w:val="en-US" w:eastAsia="zh-CN"/>
        </w:rPr>
        <w:t>。</w:t>
      </w:r>
    </w:p>
    <w:p w14:paraId="5B683F63">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1904E3B2">
      <w:pPr>
        <w:keepNext w:val="0"/>
        <w:keepLines w:val="0"/>
        <w:widowControl/>
        <w:suppressLineNumbers w:val="0"/>
        <w:ind w:left="0" w:leftChars="0" w:firstLine="640" w:firstLineChars="200"/>
        <w:jc w:val="left"/>
        <w:rPr>
          <w:rFonts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结合2025年度绩效自评、部门评价及财政评价结果，我部门切实做好结果运用，提升预算资金管理质效。一是优化预算与支出管理，对照绩效评价结果，结合工作实际科学安排年度预算，优先保障重点工作支出，压减低效、非必要开支，持续优化支出结构，切实提高财政资金使用效益。二是规范资金日常管理，针对绩效评价发现的问题逐项整改，严格把控资金使用全过程，常态化开展自查自纠，杜绝资金浪费和闲置。三是完善长效管理制度，补齐内部管理短板，健全预算、经费及内控相关制度，将绩效评价结果常态化运用到日常工作，不断提升部门财政资金规范化、精细化管理水平。</w:t>
      </w:r>
    </w:p>
    <w:p w14:paraId="62B7028E">
      <w:pPr>
        <w:pStyle w:val="13"/>
        <w:bidi w:val="0"/>
        <w:ind w:left="0" w:leftChars="0" w:firstLine="640" w:firstLineChars="200"/>
        <w:rPr>
          <w:rFonts w:ascii="Times New Roman" w:hAnsi="Times New Roman" w:eastAsia="仿宋_GB2312" w:cs="Times New Roman"/>
          <w:color w:val="auto"/>
          <w:kern w:val="0"/>
          <w:sz w:val="32"/>
          <w:szCs w:val="32"/>
          <w:lang w:val="en-US" w:eastAsia="zh-CN" w:bidi="ar-SA"/>
        </w:rPr>
      </w:pPr>
    </w:p>
    <w:p w14:paraId="3982AAB4">
      <w:pPr>
        <w:pStyle w:val="13"/>
        <w:jc w:val="center"/>
        <w:rPr>
          <w:rFonts w:ascii="Times New Roman" w:hAnsi="Times New Roman" w:cs="Times New Roman"/>
          <w:sz w:val="72"/>
          <w:szCs w:val="72"/>
        </w:rPr>
      </w:pPr>
    </w:p>
    <w:p w14:paraId="600FF71D">
      <w:pPr>
        <w:pStyle w:val="13"/>
        <w:jc w:val="center"/>
        <w:rPr>
          <w:rFonts w:ascii="Times New Roman" w:hAnsi="Times New Roman" w:cs="Times New Roman"/>
          <w:sz w:val="72"/>
          <w:szCs w:val="72"/>
        </w:rPr>
      </w:pPr>
    </w:p>
    <w:p w14:paraId="01C7E855">
      <w:pPr>
        <w:pStyle w:val="13"/>
        <w:jc w:val="center"/>
        <w:rPr>
          <w:rFonts w:ascii="Times New Roman" w:hAnsi="Times New Roman" w:cs="Times New Roman"/>
          <w:sz w:val="72"/>
          <w:szCs w:val="72"/>
        </w:rPr>
      </w:pPr>
    </w:p>
    <w:p w14:paraId="3AF96D3E">
      <w:pPr>
        <w:pStyle w:val="13"/>
        <w:jc w:val="center"/>
        <w:rPr>
          <w:rFonts w:ascii="Times New Roman" w:hAnsi="Times New Roman" w:cs="Times New Roman"/>
          <w:sz w:val="72"/>
          <w:szCs w:val="72"/>
        </w:rPr>
      </w:pPr>
    </w:p>
    <w:p w14:paraId="6A8FC029">
      <w:pPr>
        <w:pStyle w:val="13"/>
        <w:jc w:val="center"/>
        <w:rPr>
          <w:rFonts w:ascii="Times New Roman" w:hAnsi="Times New Roman" w:cs="Times New Roman"/>
          <w:sz w:val="72"/>
          <w:szCs w:val="72"/>
        </w:rPr>
      </w:pPr>
    </w:p>
    <w:p w14:paraId="545B3935">
      <w:pPr>
        <w:pStyle w:val="13"/>
        <w:jc w:val="center"/>
        <w:rPr>
          <w:rFonts w:ascii="Times New Roman" w:hAnsi="Times New Roman" w:cs="Times New Roman"/>
          <w:sz w:val="72"/>
          <w:szCs w:val="72"/>
        </w:rPr>
      </w:pPr>
    </w:p>
    <w:p w14:paraId="425B4339">
      <w:pPr>
        <w:pStyle w:val="13"/>
        <w:jc w:val="center"/>
        <w:rPr>
          <w:rFonts w:ascii="Times New Roman" w:hAnsi="Times New Roman" w:cs="Times New Roman"/>
          <w:sz w:val="72"/>
          <w:szCs w:val="72"/>
        </w:rPr>
      </w:pPr>
    </w:p>
    <w:p w14:paraId="0521D771">
      <w:pPr>
        <w:pStyle w:val="13"/>
        <w:jc w:val="center"/>
        <w:rPr>
          <w:rFonts w:ascii="Times New Roman" w:hAnsi="Times New Roman" w:cs="Times New Roman"/>
          <w:sz w:val="72"/>
          <w:szCs w:val="72"/>
        </w:rPr>
      </w:pPr>
    </w:p>
    <w:p w14:paraId="69B80DFC">
      <w:pPr>
        <w:pStyle w:val="13"/>
        <w:jc w:val="both"/>
        <w:rPr>
          <w:rFonts w:ascii="Times New Roman" w:hAnsi="Times New Roman" w:cs="Times New Roman"/>
          <w:sz w:val="72"/>
          <w:szCs w:val="72"/>
        </w:rPr>
      </w:pPr>
    </w:p>
    <w:p w14:paraId="38F720BD">
      <w:pPr>
        <w:pStyle w:val="13"/>
        <w:jc w:val="both"/>
        <w:rPr>
          <w:rFonts w:ascii="Times New Roman" w:hAnsi="Times New Roman" w:cs="Times New Roman"/>
          <w:sz w:val="72"/>
          <w:szCs w:val="72"/>
        </w:rPr>
      </w:pPr>
    </w:p>
    <w:p w14:paraId="3E4FEC44">
      <w:pPr>
        <w:pStyle w:val="13"/>
        <w:spacing w:line="360" w:lineRule="auto"/>
        <w:jc w:val="center"/>
        <w:rPr>
          <w:rFonts w:ascii="Times New Roman" w:hAnsi="Times New Roman" w:eastAsia="方正小标宋_GBK" w:cs="Times New Roman"/>
          <w:sz w:val="52"/>
          <w:szCs w:val="52"/>
        </w:rPr>
      </w:pPr>
    </w:p>
    <w:p w14:paraId="4E1A724E">
      <w:pPr>
        <w:pStyle w:val="13"/>
        <w:spacing w:line="360" w:lineRule="auto"/>
        <w:jc w:val="center"/>
        <w:rPr>
          <w:rFonts w:ascii="Times New Roman" w:hAnsi="Times New Roman" w:eastAsia="方正小标宋_GBK" w:cs="Times New Roman"/>
          <w:sz w:val="52"/>
          <w:szCs w:val="52"/>
        </w:rPr>
      </w:pPr>
    </w:p>
    <w:p w14:paraId="00EFDCF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5F0E81E">
      <w:pPr>
        <w:widowControl/>
        <w:jc w:val="left"/>
        <w:rPr>
          <w:rFonts w:ascii="Times New Roman" w:hAnsi="Times New Roman" w:cs="Times New Roman"/>
          <w:color w:val="000000"/>
          <w:kern w:val="0"/>
          <w:sz w:val="32"/>
          <w:szCs w:val="32"/>
        </w:rPr>
      </w:pPr>
    </w:p>
    <w:p w14:paraId="0A8C5CC1">
      <w:pPr>
        <w:widowControl/>
        <w:ind w:firstLine="640" w:firstLineChars="200"/>
        <w:jc w:val="left"/>
        <w:rPr>
          <w:rFonts w:hint="eastAsia" w:ascii="方正仿宋_GB2312" w:hAnsi="方正仿宋_GB2312" w:eastAsia="方正仿宋_GB2312" w:cs="方正仿宋_GB2312"/>
          <w:color w:val="auto"/>
          <w:kern w:val="0"/>
          <w:sz w:val="32"/>
          <w:szCs w:val="32"/>
          <w:highlight w:val="none"/>
        </w:rPr>
      </w:pPr>
      <w:r>
        <w:rPr>
          <w:rFonts w:hint="eastAsia" w:ascii="方正仿宋_GB2312" w:hAnsi="方正仿宋_GB2312" w:eastAsia="方正仿宋_GB2312" w:cs="方正仿宋_GB2312"/>
          <w:color w:val="auto"/>
          <w:kern w:val="0"/>
          <w:sz w:val="32"/>
          <w:szCs w:val="32"/>
          <w:highlight w:val="none"/>
        </w:rPr>
        <w:t>一、</w:t>
      </w:r>
      <w:r>
        <w:rPr>
          <w:rFonts w:hint="eastAsia" w:ascii="方正仿宋_GB2312" w:hAnsi="方正仿宋_GB2312" w:eastAsia="方正仿宋_GB2312" w:cs="方正仿宋_GB2312"/>
          <w:color w:val="auto"/>
          <w:sz w:val="32"/>
          <w:szCs w:val="32"/>
          <w:highlight w:val="none"/>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w:t>
      </w:r>
      <w:r>
        <w:rPr>
          <w:rFonts w:hint="eastAsia" w:ascii="方正仿宋_GB2312" w:hAnsi="方正仿宋_GB2312" w:eastAsia="方正仿宋_GB2312" w:cs="方正仿宋_GB2312"/>
          <w:color w:val="auto"/>
          <w:kern w:val="0"/>
          <w:sz w:val="32"/>
          <w:szCs w:val="32"/>
          <w:highlight w:val="none"/>
        </w:rPr>
        <w:t>办公用房物业管理费、公务用车运行维护费以及其他费用。</w:t>
      </w:r>
    </w:p>
    <w:p w14:paraId="56B30310">
      <w:pPr>
        <w:widowControl/>
        <w:ind w:firstLine="640" w:firstLineChars="200"/>
        <w:jc w:val="left"/>
        <w:rPr>
          <w:rFonts w:hint="eastAsia" w:ascii="方正仿宋_GB2312" w:hAnsi="方正仿宋_GB2312" w:eastAsia="方正仿宋_GB2312" w:cs="方正仿宋_GB2312"/>
          <w:color w:val="auto"/>
          <w:kern w:val="0"/>
          <w:sz w:val="32"/>
          <w:szCs w:val="32"/>
          <w:highlight w:val="none"/>
        </w:rPr>
      </w:pPr>
      <w:r>
        <w:rPr>
          <w:rFonts w:hint="eastAsia" w:ascii="方正仿宋_GB2312" w:hAnsi="方正仿宋_GB2312" w:eastAsia="方正仿宋_GB2312" w:cs="方正仿宋_GB2312"/>
          <w:color w:val="auto"/>
          <w:kern w:val="0"/>
          <w:sz w:val="32"/>
          <w:szCs w:val="32"/>
          <w:highlight w:val="none"/>
          <w:lang w:eastAsia="zh-CN"/>
        </w:rPr>
        <w:t>二、</w:t>
      </w:r>
      <w:r>
        <w:rPr>
          <w:rFonts w:hint="eastAsia" w:ascii="方正仿宋_GB2312" w:hAnsi="方正仿宋_GB2312" w:eastAsia="方正仿宋_GB2312" w:cs="方正仿宋_GB2312"/>
          <w:color w:val="auto"/>
          <w:kern w:val="0"/>
          <w:sz w:val="32"/>
          <w:szCs w:val="32"/>
          <w:highlight w:val="none"/>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 </w:t>
      </w:r>
    </w:p>
    <w:p w14:paraId="41A8F3ED">
      <w:pPr>
        <w:widowControl/>
        <w:ind w:firstLine="640" w:firstLineChars="200"/>
        <w:jc w:val="left"/>
        <w:rPr>
          <w:rFonts w:hint="eastAsia" w:ascii="方正仿宋_GB2312" w:hAnsi="方正仿宋_GB2312" w:eastAsia="方正仿宋_GB2312" w:cs="方正仿宋_GB2312"/>
          <w:color w:val="auto"/>
          <w:kern w:val="0"/>
          <w:sz w:val="32"/>
          <w:szCs w:val="32"/>
          <w:highlight w:val="none"/>
        </w:rPr>
      </w:pPr>
    </w:p>
    <w:p w14:paraId="3AA17D4E">
      <w:pPr>
        <w:pStyle w:val="13"/>
        <w:jc w:val="center"/>
        <w:rPr>
          <w:rFonts w:ascii="Times New Roman" w:hAnsi="Times New Roman" w:cs="Times New Roman"/>
          <w:sz w:val="72"/>
          <w:szCs w:val="72"/>
        </w:rPr>
      </w:pPr>
    </w:p>
    <w:p w14:paraId="2D7CAB8B">
      <w:pPr>
        <w:pStyle w:val="13"/>
        <w:jc w:val="center"/>
        <w:rPr>
          <w:rFonts w:ascii="Times New Roman" w:hAnsi="Times New Roman" w:cs="Times New Roman"/>
          <w:sz w:val="72"/>
          <w:szCs w:val="72"/>
        </w:rPr>
      </w:pPr>
    </w:p>
    <w:p w14:paraId="1C87820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E1B6390">
      <w:pPr>
        <w:rPr>
          <w:rFonts w:ascii="Times New Roman" w:hAnsi="Times New Roman" w:cs="Times New Roman"/>
          <w:sz w:val="72"/>
          <w:szCs w:val="72"/>
        </w:rPr>
      </w:pPr>
    </w:p>
    <w:p w14:paraId="17BB9724">
      <w:pPr>
        <w:pStyle w:val="13"/>
        <w:spacing w:line="600" w:lineRule="exact"/>
        <w:ind w:firstLine="640" w:firstLineChars="200"/>
        <w:rPr>
          <w:rFonts w:hint="eastAsia" w:ascii="黑体" w:hAnsi="黑体" w:eastAsia="黑体" w:cs="黑体"/>
          <w:sz w:val="32"/>
          <w:szCs w:val="32"/>
        </w:rPr>
      </w:pPr>
      <w:r>
        <w:rPr>
          <w:rFonts w:hint="eastAsia" w:ascii="黑体" w:hAnsi="黑体" w:eastAsia="黑体" w:cs="黑体"/>
          <w:b/>
          <w:bCs/>
          <w:sz w:val="32"/>
          <w:szCs w:val="32"/>
        </w:rPr>
        <w:t>一、</w:t>
      </w:r>
      <w:r>
        <w:rPr>
          <w:rFonts w:hint="eastAsia" w:ascii="黑体" w:hAnsi="黑体" w:eastAsia="黑体" w:cs="黑体"/>
          <w:sz w:val="32"/>
          <w:szCs w:val="32"/>
        </w:rPr>
        <w:t>202</w:t>
      </w:r>
      <w:r>
        <w:rPr>
          <w:rFonts w:hint="eastAsia" w:ascii="黑体" w:hAnsi="黑体" w:eastAsia="黑体" w:cs="黑体"/>
          <w:sz w:val="32"/>
          <w:szCs w:val="32"/>
          <w:lang w:val="en-US" w:eastAsia="zh-CN"/>
        </w:rPr>
        <w:t>5</w:t>
      </w:r>
      <w:r>
        <w:rPr>
          <w:rFonts w:hint="eastAsia" w:ascii="黑体" w:hAnsi="黑体" w:eastAsia="黑体" w:cs="黑体"/>
          <w:sz w:val="32"/>
          <w:szCs w:val="32"/>
        </w:rPr>
        <w:t>年度部门(单位)整体支出绩效自评报告。</w:t>
      </w: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62480DA5">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1.部门职责</w:t>
      </w:r>
    </w:p>
    <w:p w14:paraId="7624DA18">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承担组织落实促进就业各项政策措施的相关事务性工作，为高校毕业生、登记失业人员、农村劳动力、脱贫人口、退捕渔民及就业困难人员等群体提供政策咨询、职业指导、岗位信息、就业失业与求职登记、职业培训、就业援助等公共就业服务。</w:t>
      </w:r>
    </w:p>
    <w:p w14:paraId="508C3EA0">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(2)承担组织落实创业带动就业政策措施的相关工作，为各类群体开展创新创业活动提供创业培训、创业指导、创业载体和创业担保贷款等创业服务。</w:t>
      </w:r>
    </w:p>
    <w:p w14:paraId="78AF04BC">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(3)承担组织落实职业技能培训和创业培训相关工作。</w:t>
      </w:r>
    </w:p>
    <w:p w14:paraId="4FFEFBDC">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(4)承担组织落实失业保险各项政策的相关事务性工作；承担市直企事业等单位失业保险经办服务工作。</w:t>
      </w:r>
    </w:p>
    <w:p w14:paraId="666A047B">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(5)承担人力资源开发与服务工作；承担企业高层次人才相关工作；承担流动人员人事档案管理相关事务性工作。</w:t>
      </w:r>
    </w:p>
    <w:p w14:paraId="19EBC085">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(6)为公共就业服务信息化建设提供技术支持和服务保障；承担就业失业相关统计分析、就业失业信息监测工作。</w:t>
      </w:r>
    </w:p>
    <w:p w14:paraId="34FD761F">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(7)承担市委人才工作领导小组、市就业和农民工工作暨根治拖欠农民工工资工作领导小组涉及就业的日常事务性、服务性工作。</w:t>
      </w:r>
    </w:p>
    <w:p w14:paraId="0BF9337A">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2.机构设置情况</w:t>
      </w:r>
    </w:p>
    <w:p w14:paraId="0D7CEE73">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中心内设综合部、财务和内控稽核部、城乡就业部、创业指导服务部、就业技能服务部、失业保险部、人事档案服务部和市企业用工服务中心。</w:t>
      </w:r>
    </w:p>
    <w:p w14:paraId="53BAA229">
      <w:pPr>
        <w:keepNext w:val="0"/>
        <w:keepLines w:val="0"/>
        <w:widowControl/>
        <w:suppressLineNumbers w:val="0"/>
        <w:ind w:left="0" w:leftChars="0" w:firstLine="640" w:firstLineChars="200"/>
        <w:jc w:val="left"/>
        <w:rPr>
          <w:rFonts w:ascii="仿宋" w:hAnsi="仿宋" w:eastAsia="仿宋"/>
          <w:sz w:val="30"/>
          <w:szCs w:val="30"/>
        </w:rPr>
      </w:pPr>
      <w:r>
        <w:rPr>
          <w:rFonts w:hint="eastAsia" w:ascii="方正仿宋_GB2312" w:hAnsi="方正仿宋_GB2312" w:eastAsia="方正仿宋_GB2312" w:cs="方正仿宋_GB2312"/>
          <w:color w:val="auto"/>
          <w:sz w:val="32"/>
          <w:szCs w:val="32"/>
          <w:highlight w:val="none"/>
          <w:lang w:val="en-US" w:eastAsia="zh-CN"/>
        </w:rPr>
        <w:t>2025年在职人员50人，编制数54人，人员控制率92.6%。</w:t>
      </w:r>
    </w:p>
    <w:p w14:paraId="42FF96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02E14C18">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本年度整体支出严格按照年度预算执行，支出规模合理、资金拨付及时、使用规范。整体支出主要用于单位日常运转、项目实施推进、业务开展保障及相关配套保障工作。</w:t>
      </w:r>
    </w:p>
    <w:p w14:paraId="21559A3C">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2025年部门整体支出预算867.86万元，实际执行996.02万元，执行率114.77%。资金主要用于：基本支出887.55万元，占比89.11%，涵盖人员经费（工资福利、社保缴费等）和公用经费（办公、差旅、会议等），保障机构日常运转。项目支出108.47万元，占比10.89%，涉及就业创业、社会保障、档案管理等专项工作。</w:t>
      </w:r>
    </w:p>
    <w:p w14:paraId="54118E64">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5EB7EDCE">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介绍基本支出的主要用途、范围以及资金的管理情况，尤其是“三公”经费的使用和管理情况。</w:t>
      </w:r>
    </w:p>
    <w:p w14:paraId="66905906">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1. 基本支出主要用于保障机关正常运转，包括：</w:t>
      </w:r>
    </w:p>
    <w:p w14:paraId="3126DCA0">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人员经费809.06万元，占基本支出91.16%，用于发放在职人员基本工资259.47万元、津贴补贴52.17万元、机关事业单位基本养老保险缴费74.54万元、职工基本医疗保险缴费39.89万元、住房公积金74.82万元，以及离休费、退休费等对个人和家庭的补助45.14万元。</w:t>
      </w:r>
    </w:p>
    <w:p w14:paraId="4B88C946">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公用经费78.49万元，占基本支出8.84%，用于办公费2.04万元、差旅费1.07万元、工会经费37.01万元、福利费7.2万元等，保障日常办公、公务出差等需求。</w:t>
      </w:r>
    </w:p>
    <w:p w14:paraId="77CAE4D0">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2.“三公”经费管理</w:t>
      </w:r>
    </w:p>
    <w:p w14:paraId="08F88BA2">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2025年“三公”经费预算3.6万元，实际支出3.14万元。其中：公务接待费预算0.8万元，实际支出0.34万元，接待2批次16人次，主要用于接待外地来本单位进行工作交流的公务活动。公务用车运行维护经费预算2.8万元，实际支出2.8万元。因公出国（境）费预算0万元，全年无该项支出。</w:t>
      </w:r>
    </w:p>
    <w:p w14:paraId="6965753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6CBCB550">
      <w:pPr>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本年度项目资金主要分为就业服务、社会保障、档案管理三大支出板块，全年总预算数92.5万元，实际执行108.47万元，完成率117.26%，资金来源全部为一般公共预算拨款，为各项工作常态化、规范化开展提供了充足、稳定的资金保障，有效确保年度既定工作任务有序落地实施。具体包括：</w:t>
      </w:r>
    </w:p>
    <w:p w14:paraId="31F229B6">
      <w:pPr>
        <w:keepNext w:val="0"/>
        <w:keepLines w:val="0"/>
        <w:widowControl/>
        <w:suppressLineNumbers w:val="0"/>
        <w:ind w:left="638" w:leftChars="304" w:firstLine="195" w:firstLineChars="61"/>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就业服务专项经费60万元，占项目支出总额的64.86%；</w:t>
      </w:r>
    </w:p>
    <w:p w14:paraId="6253B7FB">
      <w:pPr>
        <w:keepNext w:val="0"/>
        <w:keepLines w:val="0"/>
        <w:widowControl/>
        <w:suppressLineNumbers w:val="0"/>
        <w:ind w:left="16" w:leftChars="8" w:firstLine="812" w:firstLineChars="254"/>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失业动态监测（失业预警）工作和失业保险稳定就业工作经费15万元，占项目支出总额的16.22%；</w:t>
      </w:r>
    </w:p>
    <w:p w14:paraId="4B5CE6BF">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档案管理工作经费17.5万元，占项目支出总额的18.92%。</w:t>
      </w:r>
    </w:p>
    <w:p w14:paraId="131CDD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F94C08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10" w:leftChars="0" w:firstLine="64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lang w:val="en-US" w:eastAsia="zh-CN" w:bidi="ar-SA"/>
        </w:rPr>
        <w:t>2、</w:t>
      </w: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793BADD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仿宋_GB2312" w:hAnsi="方正仿宋_GB2312" w:eastAsia="方正仿宋_GB2312" w:cs="方正仿宋_GB2312"/>
          <w:bCs w:val="0"/>
          <w:color w:val="auto"/>
          <w:kern w:val="2"/>
          <w:sz w:val="32"/>
          <w:szCs w:val="32"/>
          <w:highlight w:val="none"/>
          <w:lang w:val="en-US" w:eastAsia="zh-CN" w:bidi="ar-SA"/>
        </w:rPr>
        <w:t>本项目财政资金严格按照年度预算批复及财经管理制度规范执行，资金支出流程完整、审批手续完备，全程做到合规使用。</w:t>
      </w:r>
    </w:p>
    <w:p w14:paraId="1CF5086E">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bCs w:val="0"/>
          <w:color w:val="auto"/>
          <w:kern w:val="2"/>
          <w:sz w:val="32"/>
          <w:szCs w:val="32"/>
          <w:highlight w:val="none"/>
          <w:lang w:val="en-US" w:eastAsia="zh-CN" w:bidi="ar-SA"/>
        </w:rPr>
        <w:t>其中，就业服务专项经费60万元，</w:t>
      </w:r>
      <w:r>
        <w:rPr>
          <w:rFonts w:hint="eastAsia" w:ascii="方正仿宋_GB2312" w:hAnsi="方正仿宋_GB2312" w:eastAsia="方正仿宋_GB2312" w:cs="方正仿宋_GB2312"/>
          <w:color w:val="auto"/>
          <w:sz w:val="32"/>
          <w:szCs w:val="32"/>
          <w:highlight w:val="none"/>
          <w:lang w:val="en-US" w:eastAsia="zh-CN"/>
        </w:rPr>
        <w:t>用于开展常态化公共就业服务，包含求职用工登记、岗位招聘、就业政策宣传落实、重点群体就业帮扶及就业数据统计等工作，全力促进城乡劳动者就业、保障企业用工需求。</w:t>
      </w:r>
    </w:p>
    <w:p w14:paraId="55C12C49">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失业动态监测（失业预警）工作和失业保险稳定就业工作经费15万元，用于常态化做好失业动态监测，落实失业保险各项惠民政策，包括稳岗返还、技能提升补贴等相关工作。</w:t>
      </w:r>
    </w:p>
    <w:p w14:paraId="2344FC5B">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档案管理工作经费17.5万元，用于流动人员人事档案接收整理、规范保管、查询利用、调转传递等等日常服务工作。</w:t>
      </w:r>
    </w:p>
    <w:p w14:paraId="53A20BD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1D04E3C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10" w:leftChars="0" w:firstLine="64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lang w:val="en-US" w:eastAsia="zh-CN" w:bidi="ar-SA"/>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2F8E1DAD">
      <w:pPr>
        <w:keepNext w:val="0"/>
        <w:keepLines w:val="0"/>
        <w:widowControl/>
        <w:suppressLineNumbers w:val="0"/>
        <w:ind w:left="0" w:leftChars="0" w:firstLine="640" w:firstLineChars="200"/>
        <w:jc w:val="left"/>
        <w:rPr>
          <w:rFonts w:hint="default" w:ascii="Times New Roman Regular" w:hAnsi="Times New Roman Regular" w:eastAsia="仿宋_GB2312" w:cs="Times New Roman Regular"/>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本项目严格遵照国家及地方财政资金管理、预算执行、经费支付等相关财经规章制度开展资金管理工作，严格落实专款专用管理要求，项目资金使用流程规范、审批手续完整。单位严格执行财务审批、资金拨付、支出报销及账务核算管理制度，常态化开展资金使用自查梳理，规范资金使用各环节。整体资金管理严谨规范、管控到位，制切实保障项目资金安全、合规、高效使用。</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406C550E">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我中心的</w:t>
      </w:r>
      <w:r>
        <w:rPr>
          <w:rFonts w:hint="default" w:ascii="方正仿宋_GB2312" w:hAnsi="方正仿宋_GB2312" w:eastAsia="方正仿宋_GB2312" w:cs="方正仿宋_GB2312"/>
          <w:color w:val="auto"/>
          <w:sz w:val="32"/>
          <w:szCs w:val="32"/>
          <w:highlight w:val="none"/>
          <w:lang w:val="en-US" w:eastAsia="zh-CN"/>
        </w:rPr>
        <w:t>项目</w:t>
      </w:r>
      <w:r>
        <w:rPr>
          <w:rFonts w:hint="eastAsia" w:ascii="方正仿宋_GB2312" w:hAnsi="方正仿宋_GB2312" w:eastAsia="方正仿宋_GB2312" w:cs="方正仿宋_GB2312"/>
          <w:color w:val="auto"/>
          <w:sz w:val="32"/>
          <w:szCs w:val="32"/>
          <w:highlight w:val="none"/>
          <w:lang w:val="en-US" w:eastAsia="zh-CN"/>
        </w:rPr>
        <w:t>资金</w:t>
      </w:r>
      <w:r>
        <w:rPr>
          <w:rFonts w:hint="default" w:ascii="方正仿宋_GB2312" w:hAnsi="方正仿宋_GB2312" w:eastAsia="方正仿宋_GB2312" w:cs="方正仿宋_GB2312"/>
          <w:color w:val="auto"/>
          <w:sz w:val="32"/>
          <w:szCs w:val="32"/>
          <w:highlight w:val="none"/>
          <w:lang w:val="en-US" w:eastAsia="zh-CN"/>
        </w:rPr>
        <w:t>为公共服务类专项工作，主要</w:t>
      </w:r>
      <w:r>
        <w:rPr>
          <w:rFonts w:hint="eastAsia" w:ascii="方正仿宋_GB2312" w:hAnsi="方正仿宋_GB2312" w:eastAsia="方正仿宋_GB2312" w:cs="方正仿宋_GB2312"/>
          <w:color w:val="auto"/>
          <w:sz w:val="32"/>
          <w:szCs w:val="32"/>
          <w:highlight w:val="none"/>
          <w:lang w:val="en-US" w:eastAsia="zh-CN"/>
        </w:rPr>
        <w:t>是</w:t>
      </w:r>
      <w:r>
        <w:rPr>
          <w:rFonts w:hint="default" w:ascii="方正仿宋_GB2312" w:hAnsi="方正仿宋_GB2312" w:eastAsia="方正仿宋_GB2312" w:cs="方正仿宋_GB2312"/>
          <w:color w:val="auto"/>
          <w:sz w:val="32"/>
          <w:szCs w:val="32"/>
          <w:highlight w:val="none"/>
          <w:lang w:val="en-US" w:eastAsia="zh-CN"/>
        </w:rPr>
        <w:t>开展就业服务、失业监测稳就业、流动人员档案管理等工作，不属于工程建设及货物采购类项目，无需开展招投标工作。项目严格按照既定实施方案、年度工作计划有序推进实施，各项工作均按时保质完成，顺利完成年度实施任务。</w:t>
      </w:r>
    </w:p>
    <w:p w14:paraId="4F9F4214">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p>
    <w:p w14:paraId="4E7AEDC3">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200" w:leftChars="0" w:firstLine="640" w:firstLineChars="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499DFA74">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本项目严格遵照各项业务规范推进实施</w:t>
      </w:r>
      <w:r>
        <w:rPr>
          <w:rFonts w:hint="eastAsia" w:ascii="方正仿宋_GB2312" w:hAnsi="方正仿宋_GB2312" w:eastAsia="方正仿宋_GB2312" w:cs="方正仿宋_GB2312"/>
          <w:color w:val="auto"/>
          <w:sz w:val="32"/>
          <w:szCs w:val="32"/>
          <w:highlight w:val="none"/>
          <w:lang w:val="en-US" w:eastAsia="zh-CN"/>
        </w:rPr>
        <w:t>，</w:t>
      </w:r>
      <w:r>
        <w:rPr>
          <w:rFonts w:hint="default" w:ascii="方正仿宋_GB2312" w:hAnsi="方正仿宋_GB2312" w:eastAsia="方正仿宋_GB2312" w:cs="方正仿宋_GB2312"/>
          <w:color w:val="auto"/>
          <w:sz w:val="32"/>
          <w:szCs w:val="32"/>
          <w:highlight w:val="none"/>
          <w:lang w:val="en-US" w:eastAsia="zh-CN"/>
        </w:rPr>
        <w:t>明确岗位职责与工作流程，定期对业务开展质量、资金使用规范等内容开展自查梳理。针对发现的问题及时整改优化，保障项目各项工作平稳有序开展，顺利完成既定工作目标。</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四、资产管理情况</w:t>
      </w:r>
    </w:p>
    <w:p w14:paraId="6BEBD0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反映部门资产的配置、管理、处置等综合情况。包括制度建设、管理措施、配置处置的程序等。</w:t>
      </w:r>
    </w:p>
    <w:p w14:paraId="1C612E52">
      <w:pPr>
        <w:keepNext w:val="0"/>
        <w:keepLines w:val="0"/>
        <w:widowControl/>
        <w:suppressLineNumbers w:val="0"/>
        <w:ind w:left="0" w:leftChars="0" w:firstLine="640" w:firstLineChars="200"/>
        <w:jc w:val="left"/>
        <w:rPr>
          <w:rFonts w:hint="default" w:ascii="Segoe UI Symbol" w:hAnsi="Segoe UI Symbol" w:eastAsia="Segoe UI Symbol" w:cs="Segoe UI Symbol"/>
          <w:i w:val="0"/>
          <w:iCs w:val="0"/>
          <w:caps w:val="0"/>
          <w:color w:val="1F2329"/>
          <w:spacing w:val="0"/>
          <w:sz w:val="24"/>
          <w:szCs w:val="24"/>
          <w:shd w:val="clear" w:fill="FFFFFF"/>
          <w:lang w:val="en-US" w:eastAsia="zh-CN"/>
        </w:rPr>
      </w:pPr>
      <w:r>
        <w:rPr>
          <w:rFonts w:hint="default" w:ascii="方正仿宋_GB2312" w:hAnsi="方正仿宋_GB2312" w:eastAsia="方正仿宋_GB2312" w:cs="方正仿宋_GB2312"/>
          <w:color w:val="auto"/>
          <w:sz w:val="32"/>
          <w:szCs w:val="32"/>
          <w:highlight w:val="none"/>
          <w:lang w:val="en-US" w:eastAsia="zh-CN"/>
        </w:rPr>
        <w:t>本单位严格执行国有资产管理相关规定，依托现有管理制度开展资产配置、使用及处置工作。资产配置按需统筹、合理规划；日常落实资产盘点、保管、维护等管理措施，做到账实相符。资产处置按规定程序逐级报批、规范操作，全程手续完备。整体资产管理流程规范、管控到位，有效保障国有资产安全完整。</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五、政府性基金预算支出情况</w:t>
      </w:r>
    </w:p>
    <w:p w14:paraId="3105D1F5">
      <w:pPr>
        <w:keepNext w:val="0"/>
        <w:keepLines w:val="0"/>
        <w:widowControl/>
        <w:suppressLineNumbers w:val="0"/>
        <w:ind w:left="0" w:leftChars="0" w:firstLine="640" w:firstLineChars="200"/>
        <w:jc w:val="left"/>
        <w:rPr>
          <w:rFonts w:hint="eastAsia"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无</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六、</w:t>
      </w:r>
      <w:r>
        <w:rPr>
          <w:rFonts w:hint="default" w:ascii="Times New Roman" w:hAnsi="Times New Roman" w:eastAsia="仿宋_GB2312" w:cs="Times New Roman"/>
          <w:b/>
          <w:bCs/>
          <w:color w:val="000000"/>
          <w:kern w:val="0"/>
          <w:sz w:val="32"/>
          <w:szCs w:val="32"/>
          <w:lang w:val="en-US" w:eastAsia="zh-CN" w:bidi="ar-SA"/>
        </w:rPr>
        <w:t>国有资本经营预算支出情况</w:t>
      </w:r>
    </w:p>
    <w:p w14:paraId="7B9B571F">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无</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七、</w:t>
      </w:r>
      <w:r>
        <w:rPr>
          <w:rFonts w:hint="default" w:ascii="Times New Roman" w:hAnsi="Times New Roman" w:eastAsia="仿宋_GB2312" w:cs="Times New Roman"/>
          <w:b/>
          <w:bCs/>
          <w:color w:val="000000"/>
          <w:kern w:val="0"/>
          <w:sz w:val="32"/>
          <w:szCs w:val="32"/>
          <w:lang w:val="en-US" w:eastAsia="zh-CN" w:bidi="ar-SA"/>
        </w:rPr>
        <w:t>社会保险基金预算支出情况</w:t>
      </w:r>
    </w:p>
    <w:p w14:paraId="271069BF">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无</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八、部门整体支出绩效情况</w:t>
      </w:r>
    </w:p>
    <w:p w14:paraId="10C6C9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总结归纳本部门“四本预算”支出的绩效目标完成情况，实现产出和取得效益的情况。围绕部门职责、行业发展规划，以预算资金管理为主线，结合部门资产管理和开展业务情况，从运行成本、管理效率、履职效能、社会效应、可持续发展能力和服务对象满意度等方面，衡量部门整体及重点项目实施绩效情况。</w:t>
      </w:r>
    </w:p>
    <w:p w14:paraId="0819DB8C">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一是规范预算管理，确保绩效落地。严格执行年度预算和绩效管理制度，分类管理各类财政资金，规范资金审批、拨付、使用全流程。常态化跟踪预算执行进度，有效保障单位日常运转、常规业务及重点项目有序开展，顺利完成年度各项产出及绩效指标。</w:t>
      </w:r>
    </w:p>
    <w:p w14:paraId="17D62BDA">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二是严控运行成本，提升管理效率。规范资产采购、领用、盘点、处置等日常管理，坚持厉行节约，优化支出结构，重点保障刚需和重点工作支出，严控一般性非必要开支。</w:t>
      </w:r>
    </w:p>
    <w:p w14:paraId="19D3D5BB">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三是夯实履职成效，提升综合效益。依托预算资金保障，有序推进各项业务和重点项目工作，全面完成年度工作任务。持续续优化服务流程、提升服务质量，主动对接解决问题，整体服务评价良好。</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default" w:ascii="Times New Roman" w:hAnsi="Times New Roman" w:eastAsia="仿宋_GB2312" w:cs="Times New Roman"/>
          <w:b/>
          <w:bCs/>
          <w:color w:val="000000"/>
          <w:kern w:val="0"/>
          <w:sz w:val="32"/>
          <w:szCs w:val="32"/>
          <w:lang w:val="en-US" w:eastAsia="zh-CN" w:bidi="ar-SA"/>
        </w:rPr>
        <w:t>九、存在的问题及原因分析</w:t>
      </w:r>
    </w:p>
    <w:p w14:paraId="7C63BE5C">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主要反映各种预算支出执行偏离绩效目标的情况，并分析其</w:t>
      </w:r>
      <w:r>
        <w:rPr>
          <w:rFonts w:hint="default" w:ascii="方正仿宋_GB2312" w:hAnsi="方正仿宋_GB2312" w:eastAsia="方正仿宋_GB2312" w:cs="方正仿宋_GB2312"/>
          <w:color w:val="auto"/>
          <w:sz w:val="32"/>
          <w:szCs w:val="32"/>
          <w:highlight w:val="none"/>
          <w:lang w:val="en-US" w:eastAsia="zh-CN"/>
        </w:rPr>
        <w:t>原因。</w:t>
      </w:r>
    </w:p>
    <w:p w14:paraId="7DF3DA70">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eastAsia" w:ascii="方正仿宋_GB2312" w:hAnsi="方正仿宋_GB2312" w:eastAsia="方正仿宋_GB2312" w:cs="方正仿宋_GB2312"/>
          <w:color w:val="auto"/>
          <w:sz w:val="32"/>
          <w:szCs w:val="32"/>
          <w:highlight w:val="none"/>
          <w:lang w:val="en-US" w:eastAsia="zh-CN"/>
        </w:rPr>
        <w:t>少量</w:t>
      </w:r>
      <w:r>
        <w:rPr>
          <w:rFonts w:hint="default" w:ascii="方正仿宋_GB2312" w:hAnsi="方正仿宋_GB2312" w:eastAsia="方正仿宋_GB2312" w:cs="方正仿宋_GB2312"/>
          <w:color w:val="auto"/>
          <w:sz w:val="32"/>
          <w:szCs w:val="32"/>
          <w:highlight w:val="none"/>
          <w:lang w:val="en-US" w:eastAsia="zh-CN"/>
        </w:rPr>
        <w:t>经费支出</w:t>
      </w:r>
      <w:r>
        <w:rPr>
          <w:rFonts w:hint="eastAsia" w:ascii="方正仿宋_GB2312" w:hAnsi="方正仿宋_GB2312" w:eastAsia="方正仿宋_GB2312" w:cs="方正仿宋_GB2312"/>
          <w:color w:val="auto"/>
          <w:sz w:val="32"/>
          <w:szCs w:val="32"/>
          <w:highlight w:val="none"/>
          <w:lang w:val="en-US" w:eastAsia="zh-CN"/>
        </w:rPr>
        <w:t>有</w:t>
      </w:r>
      <w:r>
        <w:rPr>
          <w:rFonts w:hint="default" w:ascii="方正仿宋_GB2312" w:hAnsi="方正仿宋_GB2312" w:eastAsia="方正仿宋_GB2312" w:cs="方正仿宋_GB2312"/>
          <w:color w:val="auto"/>
          <w:sz w:val="32"/>
          <w:szCs w:val="32"/>
          <w:highlight w:val="none"/>
          <w:lang w:val="en-US" w:eastAsia="zh-CN"/>
        </w:rPr>
        <w:t>年末集中结算</w:t>
      </w:r>
      <w:r>
        <w:rPr>
          <w:rFonts w:hint="eastAsia" w:ascii="方正仿宋_GB2312" w:hAnsi="方正仿宋_GB2312" w:eastAsia="方正仿宋_GB2312" w:cs="方正仿宋_GB2312"/>
          <w:color w:val="auto"/>
          <w:sz w:val="32"/>
          <w:szCs w:val="32"/>
          <w:highlight w:val="none"/>
          <w:lang w:val="en-US" w:eastAsia="zh-CN"/>
        </w:rPr>
        <w:t>的情况</w:t>
      </w:r>
      <w:r>
        <w:rPr>
          <w:rFonts w:hint="default" w:ascii="方正仿宋_GB2312" w:hAnsi="方正仿宋_GB2312" w:eastAsia="方正仿宋_GB2312" w:cs="方正仿宋_GB2312"/>
          <w:color w:val="auto"/>
          <w:sz w:val="32"/>
          <w:szCs w:val="32"/>
          <w:highlight w:val="none"/>
          <w:lang w:val="en-US" w:eastAsia="zh-CN"/>
        </w:rPr>
        <w:t>，受整体财政调度及资金拨付时序影响，资金到位节奏存在阶段性不均衡情况，一定程度上制约了月度预算均衡推进，造成阶段性执行节奏波动。</w:t>
      </w:r>
    </w:p>
    <w:p w14:paraId="2093566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十、</w:t>
      </w:r>
      <w:r>
        <w:rPr>
          <w:rFonts w:hint="default" w:ascii="Times New Roman" w:hAnsi="Times New Roman" w:eastAsia="仿宋_GB2312" w:cs="Times New Roman"/>
          <w:b/>
          <w:bCs/>
          <w:color w:val="000000"/>
          <w:kern w:val="0"/>
          <w:sz w:val="32"/>
          <w:szCs w:val="32"/>
          <w:lang w:val="en-US" w:eastAsia="zh-CN" w:bidi="ar-SA"/>
        </w:rPr>
        <w:t>下一步改进措施</w:t>
      </w:r>
    </w:p>
    <w:p w14:paraId="51787AFC">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主动对接财政资金调度情况，科学制定</w:t>
      </w:r>
      <w:r>
        <w:rPr>
          <w:rFonts w:hint="eastAsia" w:ascii="方正仿宋_GB2312" w:hAnsi="方正仿宋_GB2312" w:eastAsia="方正仿宋_GB2312" w:cs="方正仿宋_GB2312"/>
          <w:color w:val="auto"/>
          <w:sz w:val="32"/>
          <w:szCs w:val="32"/>
          <w:highlight w:val="none"/>
          <w:lang w:val="en-US" w:eastAsia="zh-CN"/>
        </w:rPr>
        <w:t>年度、</w:t>
      </w:r>
      <w:r>
        <w:rPr>
          <w:rFonts w:hint="default" w:ascii="方正仿宋_GB2312" w:hAnsi="方正仿宋_GB2312" w:eastAsia="方正仿宋_GB2312" w:cs="方正仿宋_GB2312"/>
          <w:color w:val="auto"/>
          <w:sz w:val="32"/>
          <w:szCs w:val="32"/>
          <w:highlight w:val="none"/>
          <w:lang w:val="en-US" w:eastAsia="zh-CN"/>
        </w:rPr>
        <w:t>月度用款计划</w:t>
      </w:r>
      <w:r>
        <w:rPr>
          <w:rFonts w:hint="eastAsia" w:ascii="方正仿宋_GB2312" w:hAnsi="方正仿宋_GB2312" w:eastAsia="方正仿宋_GB2312" w:cs="方正仿宋_GB2312"/>
          <w:color w:val="auto"/>
          <w:sz w:val="32"/>
          <w:szCs w:val="32"/>
          <w:highlight w:val="none"/>
          <w:lang w:val="en-US" w:eastAsia="zh-CN"/>
        </w:rPr>
        <w:t>，</w:t>
      </w:r>
      <w:r>
        <w:rPr>
          <w:rFonts w:hint="default" w:ascii="方正仿宋_GB2312" w:hAnsi="方正仿宋_GB2312" w:eastAsia="方正仿宋_GB2312" w:cs="方正仿宋_GB2312"/>
          <w:color w:val="auto"/>
          <w:sz w:val="32"/>
          <w:szCs w:val="32"/>
          <w:highlight w:val="none"/>
          <w:lang w:val="en-US" w:eastAsia="zh-CN"/>
        </w:rPr>
        <w:t>有序推进资金拨付时序，避</w:t>
      </w:r>
      <w:r>
        <w:rPr>
          <w:rFonts w:hint="eastAsia" w:ascii="方正仿宋_GB2312" w:hAnsi="方正仿宋_GB2312" w:eastAsia="方正仿宋_GB2312" w:cs="方正仿宋_GB2312"/>
          <w:color w:val="auto"/>
          <w:sz w:val="32"/>
          <w:szCs w:val="32"/>
          <w:highlight w:val="none"/>
          <w:lang w:val="en-US" w:eastAsia="zh-CN"/>
        </w:rPr>
        <w:t>免</w:t>
      </w:r>
      <w:r>
        <w:rPr>
          <w:rFonts w:hint="default" w:ascii="方正仿宋_GB2312" w:hAnsi="方正仿宋_GB2312" w:eastAsia="方正仿宋_GB2312" w:cs="方正仿宋_GB2312"/>
          <w:color w:val="auto"/>
          <w:sz w:val="32"/>
          <w:szCs w:val="32"/>
          <w:highlight w:val="none"/>
          <w:lang w:val="en-US" w:eastAsia="zh-CN"/>
        </w:rPr>
        <w:t>年末集中结算问题，保障全年预算执行进度平稳</w:t>
      </w:r>
      <w:r>
        <w:rPr>
          <w:rFonts w:hint="eastAsia" w:ascii="方正仿宋_GB2312" w:hAnsi="方正仿宋_GB2312" w:eastAsia="方正仿宋_GB2312" w:cs="方正仿宋_GB2312"/>
          <w:color w:val="auto"/>
          <w:sz w:val="32"/>
          <w:szCs w:val="32"/>
          <w:highlight w:val="none"/>
          <w:lang w:val="en-US" w:eastAsia="zh-CN"/>
        </w:rPr>
        <w:t>推进</w:t>
      </w:r>
      <w:r>
        <w:rPr>
          <w:rFonts w:hint="default" w:ascii="方正仿宋_GB2312" w:hAnsi="方正仿宋_GB2312" w:eastAsia="方正仿宋_GB2312" w:cs="方正仿宋_GB2312"/>
          <w:color w:val="auto"/>
          <w:sz w:val="32"/>
          <w:szCs w:val="32"/>
          <w:highlight w:val="none"/>
          <w:lang w:val="en-US" w:eastAsia="zh-CN"/>
        </w:rPr>
        <w:t>。</w:t>
      </w:r>
    </w:p>
    <w:p w14:paraId="6A2EBD7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b/>
          <w:bCs/>
          <w:color w:val="000000"/>
          <w:kern w:val="0"/>
          <w:sz w:val="32"/>
          <w:szCs w:val="32"/>
          <w:lang w:val="en-US" w:eastAsia="zh-CN" w:bidi="ar-SA"/>
        </w:rPr>
      </w:pPr>
      <w:r>
        <w:rPr>
          <w:rFonts w:hint="eastAsia" w:ascii="Times New Roman" w:hAnsi="Times New Roman" w:eastAsia="仿宋_GB2312" w:cs="Times New Roman"/>
          <w:b/>
          <w:bCs/>
          <w:color w:val="000000"/>
          <w:kern w:val="0"/>
          <w:sz w:val="32"/>
          <w:szCs w:val="32"/>
          <w:lang w:val="en-US" w:eastAsia="zh-CN" w:bidi="ar-SA"/>
        </w:rPr>
        <w:t>十一、</w:t>
      </w:r>
      <w:r>
        <w:rPr>
          <w:rFonts w:hint="default" w:ascii="Times New Roman" w:hAnsi="Times New Roman" w:eastAsia="仿宋_GB2312" w:cs="Times New Roman"/>
          <w:b/>
          <w:bCs/>
          <w:color w:val="000000"/>
          <w:kern w:val="0"/>
          <w:sz w:val="32"/>
          <w:szCs w:val="32"/>
          <w:lang w:val="en-US" w:eastAsia="zh-CN" w:bidi="ar-SA"/>
        </w:rPr>
        <w:t>绩效自评结果拟应用和公开情况</w:t>
      </w:r>
    </w:p>
    <w:p w14:paraId="5AB6CC07">
      <w:pPr>
        <w:keepNext w:val="0"/>
        <w:keepLines w:val="0"/>
        <w:widowControl/>
        <w:suppressLineNumbers w:val="0"/>
        <w:ind w:left="0" w:leftChars="0" w:firstLine="640" w:firstLineChars="200"/>
        <w:jc w:val="left"/>
        <w:rPr>
          <w:rFonts w:hint="default" w:ascii="方正仿宋_GB2312" w:hAnsi="方正仿宋_GB2312" w:eastAsia="方正仿宋_GB2312" w:cs="方正仿宋_GB2312"/>
          <w:color w:val="auto"/>
          <w:sz w:val="32"/>
          <w:szCs w:val="32"/>
          <w:highlight w:val="none"/>
          <w:lang w:val="en-US" w:eastAsia="zh-CN"/>
        </w:rPr>
      </w:pPr>
      <w:r>
        <w:rPr>
          <w:rFonts w:hint="default" w:ascii="方正仿宋_GB2312" w:hAnsi="方正仿宋_GB2312" w:eastAsia="方正仿宋_GB2312" w:cs="方正仿宋_GB2312"/>
          <w:color w:val="auto"/>
          <w:sz w:val="32"/>
          <w:szCs w:val="32"/>
          <w:highlight w:val="none"/>
          <w:lang w:val="en-US" w:eastAsia="zh-CN"/>
        </w:rPr>
        <w:t>我部门严格依规完成本年度绩效自评工作。自评结果将充分应用于下年度预算编制、资金分配、项目管理和资产配置</w:t>
      </w:r>
      <w:r>
        <w:rPr>
          <w:rFonts w:hint="eastAsia" w:ascii="方正仿宋_GB2312" w:hAnsi="方正仿宋_GB2312" w:eastAsia="方正仿宋_GB2312" w:cs="方正仿宋_GB2312"/>
          <w:color w:val="auto"/>
          <w:sz w:val="32"/>
          <w:szCs w:val="32"/>
          <w:highlight w:val="none"/>
          <w:lang w:val="en-US" w:eastAsia="zh-CN"/>
        </w:rPr>
        <w:t>。</w:t>
      </w:r>
      <w:r>
        <w:rPr>
          <w:rFonts w:hint="default" w:ascii="方正仿宋_GB2312" w:hAnsi="方正仿宋_GB2312" w:eastAsia="方正仿宋_GB2312" w:cs="方正仿宋_GB2312"/>
          <w:color w:val="auto"/>
          <w:sz w:val="32"/>
          <w:szCs w:val="32"/>
          <w:highlight w:val="none"/>
          <w:lang w:val="en-US" w:eastAsia="zh-CN"/>
        </w:rPr>
        <w:t>同时严格按照政务公开要求，规范开展绩效信息公开，推动部门绩效管理常态化、规范化。</w:t>
      </w:r>
    </w:p>
    <w:p w14:paraId="60193C16">
      <w:pPr>
        <w:pStyle w:val="13"/>
        <w:spacing w:line="600" w:lineRule="exact"/>
        <w:ind w:firstLine="640" w:firstLineChars="2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二、市就业服务中心2025年</w:t>
      </w:r>
      <w:r>
        <w:rPr>
          <w:rFonts w:hint="eastAsia" w:hAnsi="黑体" w:cs="黑体"/>
          <w:b/>
          <w:bCs/>
          <w:sz w:val="32"/>
          <w:szCs w:val="32"/>
          <w:lang w:val="en-US" w:eastAsia="zh-CN"/>
        </w:rPr>
        <w:t>部门</w:t>
      </w:r>
      <w:r>
        <w:rPr>
          <w:rFonts w:hint="eastAsia" w:ascii="黑体" w:hAnsi="黑体" w:eastAsia="黑体" w:cs="黑体"/>
          <w:b/>
          <w:bCs/>
          <w:sz w:val="32"/>
          <w:szCs w:val="32"/>
          <w:lang w:val="en-US" w:eastAsia="zh-CN"/>
        </w:rPr>
        <w:t>决算</w:t>
      </w:r>
      <w:r>
        <w:rPr>
          <w:rFonts w:hint="eastAsia" w:hAnsi="黑体" w:cs="黑体"/>
          <w:b/>
          <w:bCs/>
          <w:sz w:val="32"/>
          <w:szCs w:val="32"/>
          <w:lang w:val="en-US" w:eastAsia="zh-CN"/>
        </w:rPr>
        <w:t>表</w:t>
      </w:r>
      <w:bookmarkStart w:id="0" w:name="_GoBack"/>
      <w:bookmarkEnd w:id="0"/>
      <w:r>
        <w:rPr>
          <w:rFonts w:hint="eastAsia" w:hAnsi="黑体" w:cs="黑体"/>
          <w:b/>
          <w:bCs/>
          <w:sz w:val="32"/>
          <w:szCs w:val="32"/>
          <w:lang w:val="en-US" w:eastAsia="zh-CN"/>
        </w:rPr>
        <w:t>附件</w:t>
      </w:r>
    </w:p>
    <w:p w14:paraId="441444B7">
      <w:pPr>
        <w:pStyle w:val="13"/>
        <w:spacing w:line="600" w:lineRule="exact"/>
        <w:ind w:firstLine="640" w:firstLineChars="200"/>
        <w:rPr>
          <w:rFonts w:hint="eastAsia" w:ascii="Times New Roman" w:hAnsi="Times New Roman" w:eastAsia="仿宋_GB2312" w:cs="Times New Roman"/>
          <w:sz w:val="32"/>
          <w:szCs w:val="32"/>
          <w:lang w:eastAsia="zh-CN"/>
        </w:rPr>
      </w:pPr>
    </w:p>
    <w:p w14:paraId="4F707D53">
      <w:pPr>
        <w:pStyle w:val="13"/>
        <w:jc w:val="center"/>
        <w:rPr>
          <w:rFonts w:ascii="Times New Roman" w:hAnsi="Times New Roman" w:cs="Times New Roman"/>
          <w:sz w:val="72"/>
          <w:szCs w:val="72"/>
        </w:rPr>
      </w:pPr>
      <w:r>
        <w:rPr>
          <w:rFonts w:hint="eastAsia" w:ascii="Times New Roman" w:hAnsi="Times New Roman" w:eastAsia="仿宋_GB2312" w:cs="Times New Roman"/>
          <w:sz w:val="32"/>
          <w:szCs w:val="32"/>
          <w:lang w:eastAsia="zh-CN"/>
        </w:rPr>
        <w:object>
          <v:shape id="_x0000_i1030" o:spt="75" type="#_x0000_t75" style="height:65.25pt;width:72.75pt;" o:ole="t" filled="f" o:preferrelative="t" stroked="f" coordsize="21600,21600">
            <v:path/>
            <v:fill on="f" focussize="0,0"/>
            <v:stroke on="f"/>
            <v:imagedata r:id="rId8" o:title=""/>
            <o:lock v:ext="edit" aspectratio="t"/>
            <w10:wrap type="none"/>
            <w10:anchorlock/>
          </v:shape>
          <o:OLEObject Type="Embed" ProgID="Excel.Sheet.8" ShapeID="_x0000_i1030" DrawAspect="Icon" ObjectID="_1468075725" r:id="rId7">
            <o:LockedField>false</o:LockedField>
          </o:OLEObject>
        </w:object>
      </w:r>
    </w:p>
    <w:p w14:paraId="51993FE6">
      <w:pPr>
        <w:pStyle w:val="13"/>
        <w:jc w:val="center"/>
        <w:rPr>
          <w:rFonts w:ascii="Times New Roman" w:hAnsi="Times New Roman" w:cs="Times New Roman"/>
          <w:sz w:val="72"/>
          <w:szCs w:val="72"/>
        </w:rPr>
      </w:pPr>
    </w:p>
    <w:p w14:paraId="4B4D699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AE5407-1B91-4238-A255-B75CD2B09FD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3B2810CB-8B6E-446C-A22F-CC23CE5D6F7A}"/>
  </w:font>
  <w:font w:name="仿宋_GB2312">
    <w:altName w:val="仿宋"/>
    <w:panose1 w:val="02010609030101010101"/>
    <w:charset w:val="86"/>
    <w:family w:val="modern"/>
    <w:pitch w:val="default"/>
    <w:sig w:usb0="00000000" w:usb1="00000000" w:usb2="00000000" w:usb3="00000000" w:csb0="00040000" w:csb1="00000000"/>
    <w:embedRegular r:id="rId3" w:fontKey="{63A9B1D0-FD08-45EE-95EA-BE74286B9760}"/>
  </w:font>
  <w:font w:name="仿宋">
    <w:panose1 w:val="02010609060101010101"/>
    <w:charset w:val="86"/>
    <w:family w:val="auto"/>
    <w:pitch w:val="default"/>
    <w:sig w:usb0="800002BF" w:usb1="38CF7CFA" w:usb2="00000016" w:usb3="00000000" w:csb0="00040001" w:csb1="00000000"/>
    <w:embedRegular r:id="rId4" w:fontKey="{2D223146-5CC0-485F-B980-F25E1948C16A}"/>
  </w:font>
  <w:font w:name="方正小标宋_GBK">
    <w:panose1 w:val="02000000000000000000"/>
    <w:charset w:val="86"/>
    <w:family w:val="script"/>
    <w:pitch w:val="default"/>
    <w:sig w:usb0="A00002BF" w:usb1="38CF7CFA" w:usb2="00082016" w:usb3="00000000" w:csb0="00040001" w:csb1="00000000"/>
    <w:embedRegular r:id="rId5" w:fontKey="{844BA4B4-B64F-4B62-9713-8248E47C1491}"/>
  </w:font>
  <w:font w:name="方正仿宋_GB2312">
    <w:panose1 w:val="02000000000000000000"/>
    <w:charset w:val="86"/>
    <w:family w:val="auto"/>
    <w:pitch w:val="default"/>
    <w:sig w:usb0="A00002BF" w:usb1="184F6CFA" w:usb2="00000012" w:usb3="00000000" w:csb0="00040001" w:csb1="00000000"/>
    <w:embedRegular r:id="rId6" w:fontKey="{4D9BB1B4-F399-4126-A8A6-34D7E7EDE37F}"/>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7" w:fontKey="{9A5E3C91-BFBC-4A9D-9308-B626F770A316}"/>
  </w:font>
  <w:font w:name="楷体">
    <w:panose1 w:val="02010609060101010101"/>
    <w:charset w:val="86"/>
    <w:family w:val="modern"/>
    <w:pitch w:val="default"/>
    <w:sig w:usb0="800002BF" w:usb1="38CF7CFA" w:usb2="00000016" w:usb3="00000000" w:csb0="00040001" w:csb1="00000000"/>
    <w:embedRegular r:id="rId8" w:fontKey="{50CC52F7-F5BD-4A36-A19B-71611B186BCA}"/>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方正黑体_GBK">
    <w:altName w:val="微软雅黑"/>
    <w:panose1 w:val="02000000000000000000"/>
    <w:charset w:val="86"/>
    <w:family w:val="auto"/>
    <w:pitch w:val="default"/>
    <w:sig w:usb0="00000000" w:usb1="00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embedRegular r:id="rId9" w:fontKey="{97E13911-1264-46C6-93B8-34C3BAED79B7}"/>
  </w:font>
  <w:font w:name="Segoe UI Symbol">
    <w:panose1 w:val="020B0502040204020203"/>
    <w:charset w:val="00"/>
    <w:family w:val="auto"/>
    <w:pitch w:val="default"/>
    <w:sig w:usb0="8000006F" w:usb1="1200FBEF" w:usb2="0064C000" w:usb3="00000002" w:csb0="00000001" w:csb1="40000000"/>
    <w:embedRegular r:id="rId10" w:fontKey="{925E4645-3A3E-426C-A63C-BD452C772BD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A0543">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41CFE">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5EB0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1163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D1163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6997C"/>
    <w:multiLevelType w:val="singleLevel"/>
    <w:tmpl w:val="2946997C"/>
    <w:lvl w:ilvl="0" w:tentative="0">
      <w:start w:val="2"/>
      <w:numFmt w:val="chineseCounting"/>
      <w:suff w:val="nothing"/>
      <w:lvlText w:val="（%1）"/>
      <w:lvlJc w:val="left"/>
      <w:rPr>
        <w:rFonts w:hint="eastAsia"/>
      </w:rPr>
    </w:lvl>
  </w:abstractNum>
  <w:abstractNum w:abstractNumId="1">
    <w:nsid w:val="32F6973B"/>
    <w:multiLevelType w:val="singleLevel"/>
    <w:tmpl w:val="32F6973B"/>
    <w:lvl w:ilvl="0" w:tentative="0">
      <w:start w:val="6"/>
      <w:numFmt w:val="decimal"/>
      <w:suff w:val="nothing"/>
      <w:lvlText w:val="%1、"/>
      <w:lvlJc w:val="left"/>
    </w:lvl>
  </w:abstractNum>
  <w:abstractNum w:abstractNumId="2">
    <w:nsid w:val="38A8B31D"/>
    <w:multiLevelType w:val="singleLevel"/>
    <w:tmpl w:val="38A8B31D"/>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D4AEB"/>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0A383A"/>
    <w:rsid w:val="02294E75"/>
    <w:rsid w:val="02A26AC8"/>
    <w:rsid w:val="02F57CEF"/>
    <w:rsid w:val="04471852"/>
    <w:rsid w:val="044A47F7"/>
    <w:rsid w:val="04D77FFE"/>
    <w:rsid w:val="04E80761"/>
    <w:rsid w:val="053F6E04"/>
    <w:rsid w:val="059E7B97"/>
    <w:rsid w:val="06862B05"/>
    <w:rsid w:val="07373DFF"/>
    <w:rsid w:val="07B62F76"/>
    <w:rsid w:val="081B727D"/>
    <w:rsid w:val="08CE78BD"/>
    <w:rsid w:val="090E0B90"/>
    <w:rsid w:val="097D1872"/>
    <w:rsid w:val="0A6B77C1"/>
    <w:rsid w:val="0A951569"/>
    <w:rsid w:val="0AB1211B"/>
    <w:rsid w:val="0C0F534B"/>
    <w:rsid w:val="0C7E4E52"/>
    <w:rsid w:val="0CA84E57"/>
    <w:rsid w:val="0F7D081D"/>
    <w:rsid w:val="0FCF6AA6"/>
    <w:rsid w:val="113118BF"/>
    <w:rsid w:val="11335637"/>
    <w:rsid w:val="128D521B"/>
    <w:rsid w:val="13A7230D"/>
    <w:rsid w:val="13AE369B"/>
    <w:rsid w:val="15AE34DE"/>
    <w:rsid w:val="16430362"/>
    <w:rsid w:val="16551BAC"/>
    <w:rsid w:val="17AF79E2"/>
    <w:rsid w:val="18602A8A"/>
    <w:rsid w:val="1876528F"/>
    <w:rsid w:val="198F3627"/>
    <w:rsid w:val="1AB772D9"/>
    <w:rsid w:val="1BB9498B"/>
    <w:rsid w:val="1C161DDD"/>
    <w:rsid w:val="1C31325D"/>
    <w:rsid w:val="1C5F78A0"/>
    <w:rsid w:val="1C672639"/>
    <w:rsid w:val="1CCB0D8F"/>
    <w:rsid w:val="1D97DEFF"/>
    <w:rsid w:val="1DFF72E5"/>
    <w:rsid w:val="1E5E7A6C"/>
    <w:rsid w:val="1EFC6F07"/>
    <w:rsid w:val="1F2A132B"/>
    <w:rsid w:val="1F2C36C6"/>
    <w:rsid w:val="1F327D4A"/>
    <w:rsid w:val="1FDB5917"/>
    <w:rsid w:val="21537630"/>
    <w:rsid w:val="22714212"/>
    <w:rsid w:val="24737443"/>
    <w:rsid w:val="258C05A9"/>
    <w:rsid w:val="25A0096A"/>
    <w:rsid w:val="25A91F14"/>
    <w:rsid w:val="25AC09CC"/>
    <w:rsid w:val="27D8088F"/>
    <w:rsid w:val="284A2313"/>
    <w:rsid w:val="28A276F6"/>
    <w:rsid w:val="29357C48"/>
    <w:rsid w:val="2A1F4553"/>
    <w:rsid w:val="2A693A20"/>
    <w:rsid w:val="2B5E10AB"/>
    <w:rsid w:val="2BCE4483"/>
    <w:rsid w:val="2BFF63EA"/>
    <w:rsid w:val="2C02412C"/>
    <w:rsid w:val="2CCD64E8"/>
    <w:rsid w:val="2CD77367"/>
    <w:rsid w:val="2D510EC7"/>
    <w:rsid w:val="2DD24E04"/>
    <w:rsid w:val="2F7E7F6E"/>
    <w:rsid w:val="2FAD2601"/>
    <w:rsid w:val="2FDF85B8"/>
    <w:rsid w:val="2FFFEE04"/>
    <w:rsid w:val="3292332D"/>
    <w:rsid w:val="32BD2B5B"/>
    <w:rsid w:val="34321327"/>
    <w:rsid w:val="345B262C"/>
    <w:rsid w:val="34D44803"/>
    <w:rsid w:val="34DF85B0"/>
    <w:rsid w:val="34E25E0A"/>
    <w:rsid w:val="361C5DEB"/>
    <w:rsid w:val="36AA33F6"/>
    <w:rsid w:val="373A0C1E"/>
    <w:rsid w:val="38664899"/>
    <w:rsid w:val="397877DC"/>
    <w:rsid w:val="3A2B22D6"/>
    <w:rsid w:val="3A2F57A2"/>
    <w:rsid w:val="3AB60ED4"/>
    <w:rsid w:val="3B8F36BC"/>
    <w:rsid w:val="3BB6581A"/>
    <w:rsid w:val="3C97266F"/>
    <w:rsid w:val="3DF13974"/>
    <w:rsid w:val="3E121833"/>
    <w:rsid w:val="3E614CE2"/>
    <w:rsid w:val="3EAD1CD6"/>
    <w:rsid w:val="3EB43064"/>
    <w:rsid w:val="3F544847"/>
    <w:rsid w:val="409749EB"/>
    <w:rsid w:val="40F97454"/>
    <w:rsid w:val="41E81277"/>
    <w:rsid w:val="423170C2"/>
    <w:rsid w:val="431C567C"/>
    <w:rsid w:val="432F1853"/>
    <w:rsid w:val="43444075"/>
    <w:rsid w:val="446A6F83"/>
    <w:rsid w:val="45120AE5"/>
    <w:rsid w:val="45F34DBA"/>
    <w:rsid w:val="461C6516"/>
    <w:rsid w:val="46F661E4"/>
    <w:rsid w:val="489932CB"/>
    <w:rsid w:val="489F2FD7"/>
    <w:rsid w:val="48F61AD0"/>
    <w:rsid w:val="491FF225"/>
    <w:rsid w:val="4A11580F"/>
    <w:rsid w:val="4B100E76"/>
    <w:rsid w:val="4B764F6A"/>
    <w:rsid w:val="4C2537F3"/>
    <w:rsid w:val="4C6A7458"/>
    <w:rsid w:val="4CD9638C"/>
    <w:rsid w:val="4D8421C8"/>
    <w:rsid w:val="4DD21759"/>
    <w:rsid w:val="4DD74FC1"/>
    <w:rsid w:val="4E013DEC"/>
    <w:rsid w:val="4E4C7F4F"/>
    <w:rsid w:val="4E8B1908"/>
    <w:rsid w:val="4F1A1B6C"/>
    <w:rsid w:val="4F7B197C"/>
    <w:rsid w:val="4FFD214C"/>
    <w:rsid w:val="51850890"/>
    <w:rsid w:val="5208399B"/>
    <w:rsid w:val="52697B69"/>
    <w:rsid w:val="52A42F98"/>
    <w:rsid w:val="52C131AC"/>
    <w:rsid w:val="53220A8C"/>
    <w:rsid w:val="53B8749A"/>
    <w:rsid w:val="549A4653"/>
    <w:rsid w:val="55C23E61"/>
    <w:rsid w:val="563D5BDD"/>
    <w:rsid w:val="5684380C"/>
    <w:rsid w:val="56AD4B11"/>
    <w:rsid w:val="574D1E50"/>
    <w:rsid w:val="5777D4F5"/>
    <w:rsid w:val="59DD8326"/>
    <w:rsid w:val="5B833462"/>
    <w:rsid w:val="5C8E7193"/>
    <w:rsid w:val="5C966047"/>
    <w:rsid w:val="5CA949CF"/>
    <w:rsid w:val="5CBE30B7"/>
    <w:rsid w:val="5D881E34"/>
    <w:rsid w:val="5DEF592A"/>
    <w:rsid w:val="5E8C5954"/>
    <w:rsid w:val="5F1A6ABC"/>
    <w:rsid w:val="5F2931A3"/>
    <w:rsid w:val="5F661D01"/>
    <w:rsid w:val="5FC6BB1E"/>
    <w:rsid w:val="5FF720F1"/>
    <w:rsid w:val="6029789A"/>
    <w:rsid w:val="605B738C"/>
    <w:rsid w:val="619A6E2E"/>
    <w:rsid w:val="619F599E"/>
    <w:rsid w:val="620D2908"/>
    <w:rsid w:val="629E63D3"/>
    <w:rsid w:val="63027F93"/>
    <w:rsid w:val="63C60FC0"/>
    <w:rsid w:val="63D556A7"/>
    <w:rsid w:val="645C36D2"/>
    <w:rsid w:val="64B559C9"/>
    <w:rsid w:val="64E060B2"/>
    <w:rsid w:val="64F1206D"/>
    <w:rsid w:val="66DB1226"/>
    <w:rsid w:val="67FF5C0B"/>
    <w:rsid w:val="685E5C6B"/>
    <w:rsid w:val="69603C65"/>
    <w:rsid w:val="698F62F8"/>
    <w:rsid w:val="6A6D488B"/>
    <w:rsid w:val="6C260C93"/>
    <w:rsid w:val="6C861C34"/>
    <w:rsid w:val="6E3B25AB"/>
    <w:rsid w:val="6E6B7334"/>
    <w:rsid w:val="6EFC0924"/>
    <w:rsid w:val="6FB74722"/>
    <w:rsid w:val="6FEF8B7E"/>
    <w:rsid w:val="70187047"/>
    <w:rsid w:val="707A385E"/>
    <w:rsid w:val="71493231"/>
    <w:rsid w:val="71500A63"/>
    <w:rsid w:val="71946BA2"/>
    <w:rsid w:val="71A6591B"/>
    <w:rsid w:val="73337CF4"/>
    <w:rsid w:val="73467931"/>
    <w:rsid w:val="73700F48"/>
    <w:rsid w:val="737722D7"/>
    <w:rsid w:val="737D59BA"/>
    <w:rsid w:val="75D51537"/>
    <w:rsid w:val="76C72942"/>
    <w:rsid w:val="77C37683"/>
    <w:rsid w:val="78485FF0"/>
    <w:rsid w:val="7849788F"/>
    <w:rsid w:val="794F33AE"/>
    <w:rsid w:val="798B433F"/>
    <w:rsid w:val="79D19834"/>
    <w:rsid w:val="79FF515B"/>
    <w:rsid w:val="7AD4000F"/>
    <w:rsid w:val="7B9300CC"/>
    <w:rsid w:val="7B971768"/>
    <w:rsid w:val="7BE349AD"/>
    <w:rsid w:val="7BF549BF"/>
    <w:rsid w:val="7C0E12FE"/>
    <w:rsid w:val="7E9E1962"/>
    <w:rsid w:val="7E9F11B4"/>
    <w:rsid w:val="7EAD3051"/>
    <w:rsid w:val="7F37EC1E"/>
    <w:rsid w:val="7F3E014D"/>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styleId="10">
    <w:name w:val="Strong"/>
    <w:basedOn w:val="9"/>
    <w:qFormat/>
    <w:uiPriority w:val="22"/>
    <w:rPr>
      <w:b/>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1451</Words>
  <Characters>1482</Characters>
  <Lines>69</Lines>
  <Paragraphs>19</Paragraphs>
  <TotalTime>25</TotalTime>
  <ScaleCrop>false</ScaleCrop>
  <LinksUpToDate>false</LinksUpToDate>
  <CharactersWithSpaces>1586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XW</cp:lastModifiedBy>
  <cp:lastPrinted>2024-08-10T02:20:00Z</cp:lastPrinted>
  <dcterms:modified xsi:type="dcterms:W3CDTF">2026-09-22T08:21:03Z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eyJoZGlkIjoiNmMyNmRhNTE5MDRkY2EyNGIyZDVmZjIzYTVhYmRjZDUiLCJ1c2VySWQiOiIyNTEzNDYwMTYifQ==</vt:lpwstr>
  </property>
</Properties>
</file>