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center"/>
        <w:rPr>
          <w:rFonts w:ascii="Times New Roman" w:hAnsi="Times New Roman" w:cs="Times New Roman"/>
          <w:sz w:val="56"/>
          <w:szCs w:val="56"/>
        </w:rPr>
      </w:pPr>
    </w:p>
    <w:p>
      <w:pPr>
        <w:pStyle w:val="16"/>
        <w:jc w:val="center"/>
        <w:rPr>
          <w:rFonts w:ascii="Times New Roman" w:hAnsi="Times New Roman" w:cs="Times New Roman"/>
          <w:sz w:val="84"/>
          <w:szCs w:val="84"/>
        </w:rPr>
      </w:pPr>
    </w:p>
    <w:p>
      <w:pPr>
        <w:pStyle w:val="16"/>
        <w:jc w:val="center"/>
        <w:rPr>
          <w:rFonts w:ascii="Times New Roman" w:hAnsi="Times New Roman" w:cs="Times New Roman"/>
          <w:sz w:val="84"/>
          <w:szCs w:val="84"/>
        </w:rPr>
      </w:pPr>
    </w:p>
    <w:p>
      <w:pPr>
        <w:pStyle w:val="16"/>
        <w:jc w:val="center"/>
        <w:rPr>
          <w:rFonts w:ascii="Times New Roman" w:hAnsi="Times New Roman" w:eastAsia="方正小标宋简体" w:cs="Times New Roman"/>
          <w:sz w:val="48"/>
          <w:szCs w:val="48"/>
        </w:rPr>
      </w:pPr>
      <w:r>
        <w:rPr>
          <w:rFonts w:ascii="Times New Roman" w:hAnsi="Times New Roman" w:eastAsia="方正小标宋简体" w:cs="Times New Roman"/>
          <w:sz w:val="48"/>
          <w:szCs w:val="48"/>
        </w:rPr>
        <w:t>202</w:t>
      </w:r>
      <w:r>
        <w:rPr>
          <w:rFonts w:hint="eastAsia" w:ascii="Times New Roman" w:hAnsi="Times New Roman" w:eastAsia="方正小标宋简体" w:cs="Times New Roman"/>
          <w:sz w:val="48"/>
          <w:szCs w:val="48"/>
          <w:lang w:val="en-US" w:eastAsia="zh-CN"/>
        </w:rPr>
        <w:t>5</w:t>
      </w:r>
      <w:r>
        <w:rPr>
          <w:rFonts w:ascii="Times New Roman" w:hAnsi="Times New Roman" w:eastAsia="方正小标宋简体" w:cs="Times New Roman"/>
          <w:sz w:val="48"/>
          <w:szCs w:val="48"/>
        </w:rPr>
        <w:t>年度</w:t>
      </w:r>
    </w:p>
    <w:p>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48"/>
          <w:szCs w:val="48"/>
          <w:lang w:eastAsia="zh-CN"/>
        </w:rPr>
        <w:t>怀化市人力资源和社会保障局</w:t>
      </w:r>
      <w:r>
        <w:rPr>
          <w:rFonts w:ascii="Times New Roman" w:hAnsi="Times New Roman" w:eastAsia="方正小标宋简体" w:cs="Times New Roman"/>
          <w:sz w:val="48"/>
          <w:szCs w:val="48"/>
        </w:rPr>
        <w:t>部门决算</w:t>
      </w:r>
    </w:p>
    <w:p>
      <w:pPr>
        <w:pStyle w:val="16"/>
        <w:jc w:val="center"/>
        <w:rPr>
          <w:rFonts w:ascii="Times New Roman" w:hAnsi="Times New Roman" w:eastAsia="方正小标宋_GBK" w:cs="Times New Roman"/>
          <w:sz w:val="56"/>
          <w:szCs w:val="56"/>
        </w:rPr>
      </w:pPr>
    </w:p>
    <w:p>
      <w:pPr>
        <w:pStyle w:val="16"/>
        <w:jc w:val="center"/>
        <w:rPr>
          <w:rFonts w:ascii="Times New Roman" w:hAnsi="Times New Roman" w:cs="Times New Roman"/>
          <w:sz w:val="56"/>
          <w:szCs w:val="56"/>
        </w:rPr>
      </w:pPr>
    </w:p>
    <w:p>
      <w:pPr>
        <w:pStyle w:val="16"/>
        <w:spacing w:line="600" w:lineRule="exact"/>
        <w:jc w:val="both"/>
        <w:rPr>
          <w:rFonts w:hint="eastAsia" w:ascii="Times New Roman" w:hAnsi="Times New Roman" w:eastAsia="黑体" w:cs="Times New Roman"/>
          <w:b/>
          <w:sz w:val="36"/>
          <w:szCs w:val="28"/>
          <w:lang w:val="en-US" w:eastAsia="zh-CN"/>
        </w:rPr>
        <w:sectPr>
          <w:footerReference r:id="rId3" w:type="default"/>
          <w:pgSz w:w="11906" w:h="16838"/>
          <w:pgMar w:top="1417" w:right="1134" w:bottom="1417" w:left="1134" w:header="851" w:footer="992" w:gutter="0"/>
          <w:pgNumType w:start="1"/>
          <w:cols w:space="0" w:num="1"/>
          <w:rtlGutter w:val="0"/>
          <w:docGrid w:type="lines" w:linePitch="312" w:charSpace="0"/>
        </w:sectPr>
      </w:pPr>
      <w:r>
        <w:rPr>
          <w:rFonts w:hint="eastAsia" w:ascii="Times New Roman" w:hAnsi="Times New Roman" w:cs="Times New Roman"/>
          <w:b/>
          <w:sz w:val="36"/>
          <w:szCs w:val="28"/>
          <w:lang w:val="en-US" w:eastAsia="zh-CN"/>
        </w:rPr>
        <w:t xml:space="preserve"> </w:t>
      </w:r>
    </w:p>
    <w:p>
      <w:pPr>
        <w:pStyle w:val="16"/>
        <w:spacing w:line="600" w:lineRule="exact"/>
        <w:ind w:firstLine="3600" w:firstLineChars="1000"/>
        <w:jc w:val="both"/>
        <w:rPr>
          <w:rFonts w:ascii="Times New Roman" w:hAnsi="Times New Roman" w:cs="Times New Roman"/>
          <w:bCs/>
          <w:sz w:val="36"/>
          <w:szCs w:val="28"/>
        </w:rPr>
      </w:pPr>
      <w:r>
        <w:rPr>
          <w:rFonts w:ascii="Times New Roman" w:hAnsi="Times New Roman" w:cs="Times New Roman"/>
          <w:bCs/>
          <w:sz w:val="36"/>
          <w:szCs w:val="28"/>
        </w:rPr>
        <w:t>目  录</w:t>
      </w:r>
    </w:p>
    <w:p>
      <w:pPr>
        <w:pStyle w:val="16"/>
        <w:spacing w:line="600" w:lineRule="exact"/>
        <w:jc w:val="center"/>
        <w:rPr>
          <w:rFonts w:ascii="Times New Roman" w:hAnsi="Times New Roman" w:cs="Times New Roman"/>
          <w:b/>
          <w:sz w:val="36"/>
          <w:szCs w:val="28"/>
        </w:rPr>
      </w:pPr>
    </w:p>
    <w:p>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ascii="Times New Roman" w:hAnsi="Times New Roman" w:cs="Times New Roman"/>
          <w:bCs/>
          <w:sz w:val="32"/>
          <w:szCs w:val="32"/>
        </w:rPr>
        <w:t>单位概况</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134" w:bottom="1417" w:left="1134" w:header="851" w:footer="992" w:gutter="0"/>
          <w:pgNumType w:start="1"/>
          <w:cols w:space="0" w:num="1"/>
          <w:rtlGutter w:val="0"/>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pStyle w:val="2"/>
        <w:rPr>
          <w:rFonts w:hint="eastAsia" w:eastAsia="仿宋_GB2312"/>
          <w:lang w:eastAsia="zh-CN"/>
        </w:rPr>
      </w:pPr>
      <w:r>
        <w:rPr>
          <w:rFonts w:hint="eastAsia" w:ascii="Times New Roman" w:hAnsi="Times New Roman" w:eastAsia="仿宋_GB2312" w:cs="Times New Roman"/>
          <w:color w:val="000000"/>
          <w:kern w:val="0"/>
          <w:sz w:val="32"/>
          <w:szCs w:val="32"/>
          <w:lang w:eastAsia="zh-CN"/>
        </w:rPr>
        <w:t>九、国有资本经营预算收入支出预算情况说明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6"/>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134" w:bottom="1417" w:left="1134" w:header="851" w:footer="992" w:gutter="0"/>
          <w:pgNumType w:start="1"/>
          <w:cols w:space="0" w:num="1"/>
          <w:rtlGutter w:val="0"/>
          <w:docGrid w:type="lines" w:linePitch="312" w:charSpace="0"/>
        </w:sectPr>
      </w:pPr>
    </w:p>
    <w:p>
      <w:pPr>
        <w:pStyle w:val="16"/>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单位概况</w:t>
      </w:r>
    </w:p>
    <w:p>
      <w:pPr>
        <w:pStyle w:val="3"/>
        <w:ind w:left="0" w:leftChars="0" w:firstLine="0" w:firstLineChars="0"/>
        <w:rPr>
          <w:rFonts w:ascii="Times New Roman" w:hAnsi="Times New Roman" w:cs="Times New Roman"/>
        </w:rPr>
      </w:pPr>
    </w:p>
    <w:p>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贯彻执行国家、省人力资源和社会保障方针政策和法律法规；拟订全市人力资源和社会保障事业发展规划及实施办法；对全市人力资源和社会保障工作进行综合管理、监督指导、协调服务。</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会同有关部门拟订全市人力资源市场发展规划，推动全市人力资源流动政策落实；会同办理负责市直机关、企事业单位有关工作人员的流动调配工作；指导全市建立统一规范的人力资源市场，促进人力资源合理流动、有效配置。</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负责促进就业工作，拟订和落实全市统筹城乡就业发展规划和实施办法，完善就业创业公共服务体系；拟订和组织落实全市就业援助制度，统筹建立面向城乡劳动者的职业培训制度，牵头落实高校毕业生就业政策，会同有关部门拟订高技能人才培养和激励措施。</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both"/>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统筹建立覆盖全市城乡社会保障体系，贯彻执行城乡社会保险及其补充保险政策和标准；组织落实机关企事业单位基本养老保险政策；会同有关部门拟订社会保险及其补充保险基金管理和监督办法并实施监管；编制全市社会保险基金预决算草案，参与制定全市社会保障基金投资管理办法；会同有关部门实施全民参保计划并建立全市统一的社会保险公共服务平台。</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both"/>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负责全市就业、失业、社会保险基金预测预警和信息引导，拟订应对预案，实施预防、调节和控制，保持就业形势稳定和社会保险基金总体收支平衡。</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both"/>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贯彻实施事业单位工作人员和机关工勤人员工资收入分配、福利和离退休政策；负责市直事业单位工作人员和机关工勤人员工资、奖金、津贴补贴管理有关工作；承担全市事业单位绩效工资总额管理和工资统计有关工作；落实国家有关事业单位工作时间、休假制度、工龄计算及工作人员疾病、工伤、生育停工期间待遇、死亡抚恤等政策。</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both"/>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会同有关部门指导事业单位人事制度改革；监督落实事业单位人员和机关工勤人员管理政策；参与人才管理工作；综合管理全市专业技术人员和专业技术队伍建设工作，综合管理全市专业技术人员和机关事业单位工勤人员的培训和继续教育工作。</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both"/>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牵头推进深化职称制度改革，完善专业技术人员职业资格和博士后管理制度，负责高层次专业技术人才选拔、培养和引进工作，组织有突出贡献专家、享受政府特殊津贴专家的选拔工作；会同有关部门拟定吸引留学人员来怀（回国）工作、定居和国（境）外机构在市内招聘专业技术骨干人才管理政策。</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统筹实施劳动、人事争议调解仲裁制度。牵头落实劳动关系政策，完善劳动关系协调机制，监督实施职工工作时间、休息休假和假期制度，监督落实消除非法使用童工政策和女工、未成年工的特殊劳动</w:t>
      </w:r>
      <w:r>
        <w:rPr>
          <w:rFonts w:hint="eastAsia" w:ascii="仿宋_GB2312" w:hAnsi="仿宋_GB2312" w:eastAsia="仿宋_GB2312" w:cs="仿宋_GB2312"/>
          <w:bCs/>
          <w:color w:val="333333"/>
          <w:sz w:val="32"/>
          <w:szCs w:val="32"/>
          <w:lang w:eastAsia="zh-CN"/>
        </w:rPr>
        <w:t>保</w:t>
      </w:r>
      <w:r>
        <w:rPr>
          <w:rFonts w:hint="eastAsia" w:ascii="仿宋_GB2312" w:hAnsi="仿宋_GB2312" w:eastAsia="仿宋_GB2312" w:cs="仿宋_GB2312"/>
          <w:bCs/>
          <w:color w:val="333333"/>
          <w:sz w:val="32"/>
          <w:szCs w:val="32"/>
        </w:rPr>
        <w:t>护政策；组织实施劳动监察，协调劳动者维权工作，依法查处重大案件。</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会同有关部门推动农民工相关政策的落实，拟定全市农民工工作规划，协调解决重点难点问题，维护农民工合法权益。</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lang w:eastAsia="zh-CN"/>
        </w:rPr>
      </w:pPr>
      <w:r>
        <w:rPr>
          <w:rFonts w:hint="eastAsia" w:ascii="仿宋_GB2312" w:hAnsi="仿宋_GB2312" w:eastAsia="仿宋_GB2312" w:cs="仿宋_GB2312"/>
          <w:bCs/>
          <w:color w:val="333333"/>
          <w:sz w:val="32"/>
          <w:szCs w:val="32"/>
        </w:rPr>
        <w:t>承担为民办实事统筹协调工作，负责联合有关部门组织实施全市评比达标表彰工作，根据授权研究提出对重大先进典型开展及时性表彰奖励的建议，承担表彰奖励获得者待遇落实和管理服务工作，承办市委管理的部分领导人员的行政任免手续，承担会同有关部门推动农民工相关政策的落实，拟定全市农民工工作规划，协调解决重点难点问题，维护农民工合法权益</w:t>
      </w:r>
      <w:r>
        <w:rPr>
          <w:rFonts w:hint="eastAsia" w:ascii="仿宋_GB2312" w:hAnsi="仿宋_GB2312" w:eastAsia="仿宋_GB2312" w:cs="仿宋_GB2312"/>
          <w:bCs/>
          <w:color w:val="333333"/>
          <w:sz w:val="32"/>
          <w:szCs w:val="32"/>
          <w:lang w:eastAsia="zh-CN"/>
        </w:rPr>
        <w:t>。</w:t>
      </w:r>
    </w:p>
    <w:p>
      <w:pPr>
        <w:keepNext w:val="0"/>
        <w:keepLines w:val="0"/>
        <w:pageBreakBefore w:val="0"/>
        <w:widowControl/>
        <w:kinsoku/>
        <w:wordWrap/>
        <w:overflowPunct/>
        <w:topLinePunct w:val="0"/>
        <w:autoSpaceDE/>
        <w:autoSpaceDN/>
        <w:bidi w:val="0"/>
        <w:adjustRightInd/>
        <w:snapToGrid/>
        <w:spacing w:line="500" w:lineRule="auto"/>
        <w:ind w:right="0" w:rightChars="0" w:firstLine="640" w:firstLineChars="200"/>
        <w:jc w:val="left"/>
        <w:textAlignment w:val="auto"/>
        <w:outlineLvl w:val="9"/>
        <w:rPr>
          <w:rFonts w:hint="eastAsia" w:ascii="仿宋_GB2312" w:hAnsi="仿宋_GB2312" w:eastAsia="仿宋_GB2312" w:cs="仿宋_GB2312"/>
          <w:bCs/>
          <w:color w:val="333333"/>
          <w:sz w:val="32"/>
          <w:szCs w:val="32"/>
        </w:rPr>
      </w:pPr>
      <w:r>
        <w:rPr>
          <w:rFonts w:hint="eastAsia" w:ascii="仿宋_GB2312" w:hAnsi="仿宋_GB2312" w:eastAsia="仿宋_GB2312" w:cs="仿宋_GB2312"/>
          <w:bCs/>
          <w:color w:val="333333"/>
          <w:sz w:val="32"/>
          <w:szCs w:val="32"/>
        </w:rPr>
        <w:t>完成市委、市政府交办的其他任务。</w:t>
      </w:r>
    </w:p>
    <w:p>
      <w:pPr>
        <w:widowControl/>
        <w:numPr>
          <w:ilvl w:val="0"/>
          <w:numId w:val="1"/>
        </w:numPr>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机构设置及决算单位构成</w:t>
      </w:r>
    </w:p>
    <w:p>
      <w:pPr>
        <w:ind w:firstLine="420" w:firstLineChars="200"/>
        <w:rPr>
          <w:rFonts w:hint="eastAsia" w:ascii="仿宋_GB2312" w:hAnsi="仿宋_GB2312" w:eastAsia="仿宋_GB2312" w:cs="仿宋_GB2312"/>
          <w:kern w:val="0"/>
          <w:sz w:val="32"/>
          <w:szCs w:val="32"/>
        </w:rPr>
      </w:pPr>
      <w:r>
        <w:rPr>
          <w:rFonts w:hint="eastAsia"/>
          <w:lang w:val="en-US" w:eastAsia="zh-CN"/>
        </w:rPr>
        <w:t xml:space="preserve">  </w:t>
      </w:r>
      <w:r>
        <w:rPr>
          <w:rFonts w:hint="eastAsia" w:ascii="仿宋_GB2312" w:hAnsi="仿宋_GB2312" w:eastAsia="仿宋_GB2312" w:cs="仿宋_GB2312"/>
          <w:kern w:val="0"/>
          <w:sz w:val="32"/>
          <w:szCs w:val="32"/>
        </w:rPr>
        <w:t>我部门为一级部门预算单位。</w:t>
      </w:r>
    </w:p>
    <w:p>
      <w:pPr>
        <w:widowControl/>
        <w:spacing w:line="600" w:lineRule="exact"/>
        <w:ind w:firstLine="640" w:firstLineChars="200"/>
        <w:rPr>
          <w:rFonts w:ascii="Times New Roman" w:hAnsi="Times New Roman" w:eastAsia="仿宋_GB2312" w:cs="Times New Roman"/>
          <w:bCs/>
          <w:kern w:val="0"/>
          <w:sz w:val="32"/>
          <w:szCs w:val="32"/>
          <w:highlight w:val="none"/>
        </w:rPr>
      </w:pPr>
      <w:r>
        <w:rPr>
          <w:rFonts w:ascii="Times New Roman" w:hAnsi="Times New Roman" w:eastAsia="仿宋_GB2312" w:cs="Times New Roman"/>
          <w:bCs/>
          <w:kern w:val="0"/>
          <w:sz w:val="32"/>
          <w:szCs w:val="32"/>
        </w:rPr>
        <w:t>（一）内设机构设置。内设</w:t>
      </w:r>
      <w:r>
        <w:rPr>
          <w:rFonts w:hint="eastAsia" w:ascii="Times New Roman" w:hAnsi="Times New Roman" w:eastAsia="仿宋_GB2312" w:cs="Times New Roman"/>
          <w:bCs/>
          <w:kern w:val="0"/>
          <w:sz w:val="32"/>
          <w:szCs w:val="32"/>
          <w:lang w:eastAsia="zh-CN"/>
        </w:rPr>
        <w:t>科室</w:t>
      </w:r>
      <w:r>
        <w:rPr>
          <w:rFonts w:ascii="Times New Roman" w:hAnsi="Times New Roman" w:eastAsia="仿宋_GB2312" w:cs="Times New Roman"/>
          <w:bCs/>
          <w:kern w:val="0"/>
          <w:sz w:val="32"/>
          <w:szCs w:val="32"/>
        </w:rPr>
        <w:t>包括：</w:t>
      </w:r>
      <w:r>
        <w:rPr>
          <w:rFonts w:hint="eastAsia" w:ascii="仿宋_GB2312" w:hAnsi="仿宋_GB2312" w:eastAsia="仿宋_GB2312" w:cs="仿宋_GB2312"/>
          <w:bCs/>
          <w:color w:val="333333"/>
          <w:sz w:val="32"/>
          <w:szCs w:val="32"/>
        </w:rPr>
        <w:t>办公室、</w:t>
      </w:r>
      <w:r>
        <w:rPr>
          <w:rFonts w:hint="eastAsia" w:ascii="仿宋_GB2312" w:hAnsi="仿宋_GB2312" w:eastAsia="仿宋_GB2312" w:cs="仿宋_GB2312"/>
          <w:bCs/>
          <w:color w:val="333333"/>
          <w:sz w:val="32"/>
          <w:szCs w:val="32"/>
          <w:highlight w:val="none"/>
        </w:rPr>
        <w:t>法规科（行政审批服务科）、规划财务科、就业促进与失业保险科、人力资源流动管理科、职业能力建设科、专业技术人员管理科、事业单位人事管理科、劳动关系监察科、工资福利科、养老保险科、工伤保险科（市劳动能力鉴定工作委员会办公室）、社会保险基金监管科、表彰奖励和重点民生实事科（农民工工作科）、人事教育科。另设机关党委。</w:t>
      </w:r>
    </w:p>
    <w:p>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仿宋_GB2312" w:hAnsi="仿宋_GB2312" w:eastAsia="仿宋_GB2312" w:cs="仿宋_GB2312"/>
          <w:bCs/>
          <w:color w:val="333333"/>
          <w:sz w:val="32"/>
          <w:szCs w:val="32"/>
          <w:highlight w:val="none"/>
        </w:rPr>
        <w:t>202</w:t>
      </w:r>
      <w:r>
        <w:rPr>
          <w:rFonts w:hint="eastAsia" w:ascii="仿宋_GB2312" w:hAnsi="仿宋_GB2312" w:eastAsia="仿宋_GB2312" w:cs="仿宋_GB2312"/>
          <w:bCs/>
          <w:color w:val="333333"/>
          <w:sz w:val="32"/>
          <w:szCs w:val="32"/>
          <w:highlight w:val="none"/>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怀化市人力资源和社会保障局</w:t>
      </w:r>
      <w:r>
        <w:rPr>
          <w:rFonts w:ascii="Times New Roman" w:hAnsi="Times New Roman" w:eastAsia="仿宋_GB2312" w:cs="Times New Roman"/>
          <w:bCs/>
          <w:kern w:val="0"/>
          <w:sz w:val="32"/>
          <w:szCs w:val="32"/>
        </w:rPr>
        <w:t>本级以及</w:t>
      </w:r>
      <w:r>
        <w:rPr>
          <w:rFonts w:hint="eastAsia" w:ascii="仿宋_GB2312" w:hAnsi="仿宋_GB2312" w:eastAsia="仿宋_GB2312" w:cs="仿宋_GB2312"/>
          <w:sz w:val="32"/>
          <w:szCs w:val="32"/>
          <w:lang w:eastAsia="zh-CN"/>
        </w:rPr>
        <w:t>怀化市人力资源和社会保障局</w:t>
      </w:r>
      <w:r>
        <w:rPr>
          <w:rFonts w:hint="eastAsia" w:ascii="仿宋_GB2312" w:hAnsi="仿宋_GB2312" w:eastAsia="仿宋_GB2312" w:cs="仿宋_GB2312"/>
          <w:sz w:val="32"/>
          <w:szCs w:val="32"/>
        </w:rPr>
        <w:t>考试指导服务中心</w:t>
      </w:r>
      <w:r>
        <w:rPr>
          <w:rFonts w:hint="eastAsia" w:ascii="仿宋_GB2312" w:hAnsi="仿宋_GB2312" w:eastAsia="仿宋_GB2312" w:cs="仿宋_GB2312"/>
          <w:sz w:val="32"/>
          <w:szCs w:val="32"/>
          <w:lang w:eastAsia="zh-CN"/>
        </w:rPr>
        <w:t>、怀化市职业技能指导服务中心</w:t>
      </w:r>
      <w:r>
        <w:rPr>
          <w:rFonts w:hint="eastAsia" w:ascii="仿宋_GB2312" w:hAnsi="仿宋_GB2312" w:eastAsia="仿宋_GB2312" w:cs="仿宋_GB2312"/>
          <w:sz w:val="32"/>
          <w:szCs w:val="32"/>
        </w:rPr>
        <w:t>。</w:t>
      </w:r>
    </w:p>
    <w:p>
      <w:pPr>
        <w:pStyle w:val="2"/>
        <w:rPr>
          <w:rFonts w:ascii="Times New Roman" w:hAnsi="Times New Roman" w:cs="Times New Roman"/>
        </w:rPr>
      </w:pPr>
    </w:p>
    <w:p>
      <w:pPr>
        <w:pStyle w:val="3"/>
        <w:rPr>
          <w:rFonts w:ascii="Times New Roman" w:hAnsi="Times New Roman" w:cs="Times New Roman"/>
        </w:rPr>
      </w:pPr>
    </w:p>
    <w:p>
      <w:pPr>
        <w:rPr>
          <w:rFonts w:ascii="Times New Roman" w:hAnsi="Times New Roman" w:cs="Times New Roman"/>
        </w:rPr>
      </w:pPr>
    </w:p>
    <w:p>
      <w:pPr>
        <w:pStyle w:val="16"/>
        <w:ind w:firstLine="1040" w:firstLineChars="200"/>
        <w:jc w:val="both"/>
        <w:rPr>
          <w:rFonts w:ascii="Times New Roman" w:hAnsi="Times New Roman" w:eastAsia="方正小标宋_GBK" w:cs="Times New Roman"/>
          <w:sz w:val="52"/>
          <w:szCs w:val="52"/>
        </w:rPr>
      </w:pPr>
    </w:p>
    <w:p>
      <w:pPr>
        <w:pStyle w:val="16"/>
        <w:ind w:firstLine="1040" w:firstLineChars="200"/>
        <w:jc w:val="both"/>
        <w:rPr>
          <w:rFonts w:ascii="Times New Roman" w:hAnsi="Times New Roman" w:eastAsia="方正小标宋_GBK" w:cs="Times New Roman"/>
          <w:sz w:val="52"/>
          <w:szCs w:val="52"/>
        </w:rPr>
      </w:pPr>
    </w:p>
    <w:p>
      <w:pPr>
        <w:pStyle w:val="16"/>
        <w:ind w:firstLine="1040" w:firstLineChars="200"/>
        <w:jc w:val="both"/>
        <w:rPr>
          <w:rFonts w:ascii="Times New Roman" w:hAnsi="Times New Roman" w:eastAsia="方正小标宋_GBK" w:cs="Times New Roman"/>
          <w:sz w:val="52"/>
          <w:szCs w:val="52"/>
        </w:rPr>
      </w:pPr>
    </w:p>
    <w:p>
      <w:pPr>
        <w:pStyle w:val="16"/>
        <w:ind w:firstLine="1040" w:firstLineChars="200"/>
        <w:jc w:val="both"/>
        <w:rPr>
          <w:rFonts w:ascii="Times New Roman" w:hAnsi="Times New Roman" w:eastAsia="方正小标宋_GBK" w:cs="Times New Roman"/>
          <w:sz w:val="52"/>
          <w:szCs w:val="52"/>
        </w:rPr>
      </w:pPr>
    </w:p>
    <w:p>
      <w:pPr>
        <w:pStyle w:val="16"/>
        <w:ind w:firstLine="1040" w:firstLineChars="200"/>
        <w:jc w:val="both"/>
        <w:rPr>
          <w:rFonts w:ascii="Times New Roman" w:hAnsi="Times New Roman" w:eastAsia="方正小标宋_GBK" w:cs="Times New Roman"/>
          <w:sz w:val="52"/>
          <w:szCs w:val="52"/>
        </w:rPr>
      </w:pPr>
    </w:p>
    <w:p>
      <w:pPr>
        <w:pStyle w:val="16"/>
        <w:ind w:firstLine="1560" w:firstLineChars="3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before="120"/>
        <w:jc w:val="left"/>
        <w:textAlignment w:val="center"/>
        <w:rPr>
          <w:rFonts w:ascii="Times New Roman" w:hAnsi="Times New Roman" w:eastAsia="仿宋_GB2312" w:cs="Times New Roman"/>
          <w:color w:val="000000"/>
          <w:sz w:val="24"/>
          <w:szCs w:val="24"/>
        </w:rPr>
      </w:pPr>
      <w:r>
        <w:rPr>
          <w:rFonts w:hint="eastAsia" w:ascii="Times New Roman" w:hAnsi="Times New Roman" w:eastAsia="黑体" w:cs="Times New Roman"/>
          <w:color w:val="000000"/>
          <w:kern w:val="0"/>
          <w:sz w:val="36"/>
          <w:szCs w:val="36"/>
          <w:lang w:val="en-US" w:eastAsia="zh-CN" w:bidi="ar"/>
        </w:rPr>
        <w:t xml:space="preserve">                     </w:t>
      </w:r>
      <w:r>
        <w:rPr>
          <w:rFonts w:hint="eastAsia" w:ascii="Times New Roman" w:hAnsi="Times New Roman" w:eastAsia="黑体" w:cs="Times New Roman"/>
          <w:color w:val="000000"/>
          <w:kern w:val="0"/>
          <w:sz w:val="36"/>
          <w:szCs w:val="36"/>
          <w:lang w:eastAsia="zh-CN" w:bidi="ar"/>
        </w:rPr>
        <w:t>见附件</w:t>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footerReference r:id="rId6" w:type="default"/>
          <w:pgSz w:w="11906" w:h="16838"/>
          <w:pgMar w:top="1417" w:right="1134" w:bottom="1417" w:left="1134" w:header="851" w:footer="992" w:gutter="0"/>
          <w:cols w:space="0" w:num="1"/>
          <w:rtlGutter w:val="0"/>
          <w:docGrid w:type="lines" w:linePitch="312" w:charSpace="0"/>
        </w:sectPr>
      </w:pPr>
      <w:r>
        <w:rPr>
          <w:rFonts w:ascii="Times New Roman" w:hAnsi="Times New Roman" w:eastAsia="黑体" w:cs="Times New Roman"/>
          <w:szCs w:val="21"/>
        </w:rPr>
        <w:br w:type="page"/>
      </w: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spacing w:line="360" w:lineRule="auto"/>
        <w:ind w:firstLine="3640" w:firstLineChars="7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2124.26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58.7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2025年1月补发了2024年7-12月的工资调标部分、社保缴费基数上调、追加了其他专项工作经费等</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民生事务、社保基金安全运行等重点支出，体现在有关支出科目中。</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2124.26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2102.2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22.07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2124.26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1551.41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73.03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572.86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26.97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2102.2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39.91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2025年1月补发了2024年7-12月的工资调标部分、社保缴费基数上调等。</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2102.2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98.96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39.91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1.94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2025年1月补发了2024年7-12月的工资调标部分、社保缴费基数上调。</w:t>
      </w:r>
    </w:p>
    <w:p>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2102.2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58.07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1932.25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7.5万元，占0.36%；住房保障（类）支出104.37万元，占4.96%。</w:t>
      </w:r>
    </w:p>
    <w:p>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2073.14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2102.2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101.4</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pPr>
        <w:pStyle w:val="16"/>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58.07</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2025年1月补发了2024年7-12月工资调标部分等。</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人力资源和社会保障管理事务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1590.88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1000.59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62.90</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部分项目支出科目调至其他科目支出。</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lang w:eastAsia="zh-CN"/>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人力资源和社会保障管理事务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r>
        <w:rPr>
          <w:rFonts w:hint="eastAsia" w:ascii="Times New Roman" w:hAnsi="Times New Roman" w:eastAsia="楷体_GB2312" w:cs="Times New Roman"/>
          <w:b/>
          <w:bCs/>
          <w:i/>
          <w:color w:val="auto"/>
          <w:sz w:val="32"/>
          <w:szCs w:val="32"/>
          <w:lang w:eastAsia="zh-CN"/>
        </w:rPr>
        <w:t>。</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楷体_GB2312" w:cs="Times New Roman"/>
          <w:b/>
          <w:bCs/>
          <w:i/>
          <w:color w:val="auto"/>
          <w:sz w:val="32"/>
          <w:szCs w:val="32"/>
          <w:lang w:val="en-US" w:eastAsia="zh-CN"/>
        </w:rPr>
        <w:t xml:space="preserve">   </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506.52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部分项目支出的科目调至该科目。</w:t>
      </w:r>
    </w:p>
    <w:p>
      <w:pPr>
        <w:pStyle w:val="16"/>
        <w:numPr>
          <w:ilvl w:val="0"/>
          <w:numId w:val="2"/>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人力资源和社会保障管理事务</w:t>
      </w:r>
      <w:r>
        <w:rPr>
          <w:rFonts w:ascii="Times New Roman" w:hAnsi="Times New Roman" w:eastAsia="仿宋_GB2312" w:cs="Times New Roman"/>
          <w:sz w:val="32"/>
          <w:szCs w:val="32"/>
        </w:rPr>
        <w:t>（款）</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引进人才费用（项）。</w:t>
      </w:r>
    </w:p>
    <w:p>
      <w:pPr>
        <w:pStyle w:val="16"/>
        <w:numPr>
          <w:ilvl w:val="0"/>
          <w:numId w:val="0"/>
        </w:numPr>
        <w:overflowPunct w:val="0"/>
        <w:autoSpaceDE/>
        <w:autoSpaceDN/>
        <w:spacing w:line="600" w:lineRule="exact"/>
        <w:ind w:left="640" w:left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追加了人才引进的费用。</w:t>
      </w:r>
    </w:p>
    <w:p>
      <w:pPr>
        <w:pStyle w:val="16"/>
        <w:numPr>
          <w:ilvl w:val="0"/>
          <w:numId w:val="2"/>
        </w:numPr>
        <w:overflowPunct w:val="0"/>
        <w:autoSpaceDE/>
        <w:autoSpaceDN/>
        <w:spacing w:line="600" w:lineRule="exact"/>
        <w:ind w:left="640" w:leftChars="0" w:firstLine="0" w:firstLineChars="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人力资源和社会保障管理事务</w:t>
      </w:r>
      <w:r>
        <w:rPr>
          <w:rFonts w:ascii="Times New Roman" w:hAnsi="Times New Roman" w:eastAsia="仿宋_GB2312" w:cs="Times New Roman"/>
          <w:sz w:val="32"/>
          <w:szCs w:val="32"/>
        </w:rPr>
        <w:t>（款）</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其他人力资源和社会保障管理事务支出（项）。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82.04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90.71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110.57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财政将部分职工基本医疗保险缴费指标下达到该科目</w:t>
      </w:r>
      <w:r>
        <w:rPr>
          <w:rFonts w:hint="eastAsia" w:ascii="Times New Roman" w:hAnsi="Times New Roman" w:eastAsia="仿宋_GB2312" w:cs="Times New Roman"/>
          <w:sz w:val="32"/>
          <w:szCs w:val="32"/>
          <w:lang w:val="en-US" w:eastAsia="zh-CN"/>
        </w:rPr>
        <w:t>。</w:t>
      </w:r>
    </w:p>
    <w:p>
      <w:pPr>
        <w:pStyle w:val="16"/>
        <w:numPr>
          <w:ilvl w:val="0"/>
          <w:numId w:val="2"/>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社会保障和就业支出（类）行政事业单位养老支出（款）行政</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单位离退休（项）。</w:t>
      </w:r>
    </w:p>
    <w:p>
      <w:pPr>
        <w:pStyle w:val="16"/>
        <w:numPr>
          <w:ilvl w:val="0"/>
          <w:numId w:val="0"/>
        </w:numPr>
        <w:overflowPunct w:val="0"/>
        <w:autoSpaceDE/>
        <w:autoSpaceDN/>
        <w:spacing w:line="600" w:lineRule="exact"/>
        <w:ind w:left="640" w:left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188.15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187.89</w:t>
      </w:r>
      <w:r>
        <w:rPr>
          <w:rFonts w:ascii="Times New Roman" w:hAnsi="Times New Roman" w:eastAsia="仿宋_GB2312" w:cs="Times New Roman"/>
          <w:sz w:val="32"/>
          <w:szCs w:val="32"/>
        </w:rPr>
        <w:t>万元，完成年初预算</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99.86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部分指标财政未下达。</w:t>
      </w:r>
    </w:p>
    <w:p>
      <w:pPr>
        <w:pStyle w:val="16"/>
        <w:numPr>
          <w:ilvl w:val="0"/>
          <w:numId w:val="3"/>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社会保障和就业支出（类）行政事业单位养老支出（款）机关</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事业单位基本养老保险缴费支出（项）。</w:t>
      </w:r>
    </w:p>
    <w:p>
      <w:pPr>
        <w:pStyle w:val="16"/>
        <w:numPr>
          <w:ilvl w:val="0"/>
          <w:numId w:val="0"/>
        </w:numPr>
        <w:overflowPunct w:val="0"/>
        <w:autoSpaceDE/>
        <w:autoSpaceDN/>
        <w:spacing w:line="600" w:lineRule="exact"/>
        <w:ind w:left="640" w:left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116.88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121.09</w:t>
      </w:r>
      <w:r>
        <w:rPr>
          <w:rFonts w:ascii="Times New Roman" w:hAnsi="Times New Roman" w:eastAsia="仿宋_GB2312" w:cs="Times New Roman"/>
          <w:sz w:val="32"/>
          <w:szCs w:val="32"/>
        </w:rPr>
        <w:t>万元，完成年初预算</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103.6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养老保险缴费基数上调。</w:t>
      </w:r>
    </w:p>
    <w:p>
      <w:pPr>
        <w:pStyle w:val="16"/>
        <w:numPr>
          <w:ilvl w:val="0"/>
          <w:numId w:val="3"/>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社会保障和就业支出（类）就业补助（款）其他就业补助支出</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（项）。</w:t>
      </w:r>
    </w:p>
    <w:p>
      <w:pPr>
        <w:pStyle w:val="16"/>
        <w:numPr>
          <w:ilvl w:val="0"/>
          <w:numId w:val="0"/>
        </w:numPr>
        <w:overflowPunct w:val="0"/>
        <w:autoSpaceDE/>
        <w:autoSpaceDN/>
        <w:spacing w:line="600" w:lineRule="exact"/>
        <w:ind w:firstLine="640" w:firstLineChars="200"/>
        <w:jc w:val="left"/>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12.45</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追加了公益性岗位及社保补贴。</w:t>
      </w:r>
    </w:p>
    <w:p>
      <w:pPr>
        <w:pStyle w:val="16"/>
        <w:numPr>
          <w:ilvl w:val="0"/>
          <w:numId w:val="3"/>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卫生健康支出（类）行政事业单位医疗（款）行政单位医疗（项）。</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追加了职工基本医疗保险费。</w:t>
      </w:r>
    </w:p>
    <w:p>
      <w:pPr>
        <w:pStyle w:val="16"/>
        <w:numPr>
          <w:ilvl w:val="0"/>
          <w:numId w:val="3"/>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卫生健康支出（类）行政事业单位医疗（款）其他行政事业</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单位医疗支出（项）。</w:t>
      </w:r>
    </w:p>
    <w:p>
      <w:pPr>
        <w:pStyle w:val="16"/>
        <w:numPr>
          <w:ilvl w:val="0"/>
          <w:numId w:val="0"/>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发放建国初期退休干部医疗补贴</w:t>
      </w:r>
      <w:r>
        <w:rPr>
          <w:rFonts w:hint="eastAsia" w:ascii="Times New Roman" w:hAnsi="Times New Roman" w:eastAsia="仿宋_GB2312" w:cs="Times New Roman"/>
          <w:sz w:val="32"/>
          <w:szCs w:val="32"/>
          <w:lang w:eastAsia="zh-CN"/>
        </w:rPr>
        <w:t>。</w:t>
      </w:r>
    </w:p>
    <w:p>
      <w:pPr>
        <w:pStyle w:val="16"/>
        <w:numPr>
          <w:ilvl w:val="0"/>
          <w:numId w:val="3"/>
        </w:numPr>
        <w:overflowPunct w:val="0"/>
        <w:autoSpaceDE/>
        <w:autoSpaceDN/>
        <w:spacing w:line="600" w:lineRule="exact"/>
        <w:ind w:left="640" w:leftChars="0" w:firstLine="0" w:firstLineChars="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住房保障支出（类）住房改革支出（款）住房公积金（项）。</w:t>
      </w:r>
    </w:p>
    <w:p>
      <w:pPr>
        <w:pStyle w:val="16"/>
        <w:numPr>
          <w:ilvl w:val="0"/>
          <w:numId w:val="0"/>
        </w:numPr>
        <w:overflowPunct w:val="0"/>
        <w:autoSpaceDE/>
        <w:autoSpaceDN/>
        <w:spacing w:line="600" w:lineRule="exact"/>
        <w:ind w:left="640" w:left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95.18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104.37</w:t>
      </w:r>
      <w:r>
        <w:rPr>
          <w:rFonts w:ascii="Times New Roman" w:hAnsi="Times New Roman" w:eastAsia="仿宋_GB2312" w:cs="Times New Roman"/>
          <w:sz w:val="32"/>
          <w:szCs w:val="32"/>
        </w:rPr>
        <w:t>万元，完成年初预算</w:t>
      </w:r>
    </w:p>
    <w:p>
      <w:pPr>
        <w:pStyle w:val="16"/>
        <w:numPr>
          <w:ilvl w:val="0"/>
          <w:numId w:val="0"/>
        </w:numPr>
        <w:overflowPunct w:val="0"/>
        <w:autoSpaceDE/>
        <w:autoSpaceDN/>
        <w:spacing w:line="600" w:lineRule="exact"/>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109.66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eastAsia="zh-CN"/>
        </w:rPr>
        <w:t>工资调标后公积金基数相应上调。</w:t>
      </w:r>
    </w:p>
    <w:p>
      <w:pPr>
        <w:pStyle w:val="16"/>
        <w:numPr>
          <w:ilvl w:val="0"/>
          <w:numId w:val="0"/>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社会保障和就业</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highlight w:val="none"/>
          <w:lang w:eastAsia="zh-CN"/>
        </w:rPr>
        <w:t>工资福利支出</w:t>
      </w:r>
      <w:r>
        <w:rPr>
          <w:rFonts w:hint="eastAsia" w:ascii="Times New Roman" w:hAnsi="Times New Roman" w:eastAsia="仿宋_GB2312" w:cs="Times New Roman"/>
          <w:sz w:val="32"/>
          <w:szCs w:val="32"/>
          <w:highlight w:val="none"/>
        </w:rPr>
        <w:t>，2025年度决算数为</w:t>
      </w:r>
      <w:r>
        <w:rPr>
          <w:rFonts w:hint="eastAsia" w:ascii="Times New Roman" w:hAnsi="Times New Roman" w:eastAsia="仿宋_GB2312" w:cs="Times New Roman"/>
          <w:sz w:val="32"/>
          <w:szCs w:val="32"/>
          <w:highlight w:val="none"/>
          <w:lang w:val="en-US" w:eastAsia="zh-CN"/>
        </w:rPr>
        <w:t>1250.08</w:t>
      </w:r>
      <w:r>
        <w:rPr>
          <w:rFonts w:hint="eastAsia" w:ascii="Times New Roman" w:hAnsi="Times New Roman" w:eastAsia="仿宋_GB2312" w:cs="Times New Roman"/>
          <w:sz w:val="32"/>
          <w:szCs w:val="32"/>
          <w:highlight w:val="none"/>
        </w:rPr>
        <w:t>万元，占财政拨款支出总额的</w:t>
      </w:r>
      <w:r>
        <w:rPr>
          <w:rFonts w:hint="eastAsia" w:ascii="Times New Roman" w:hAnsi="Times New Roman" w:eastAsia="仿宋_GB2312" w:cs="Times New Roman"/>
          <w:sz w:val="32"/>
          <w:szCs w:val="32"/>
          <w:highlight w:val="none"/>
          <w:lang w:val="en-US" w:eastAsia="zh-CN"/>
        </w:rPr>
        <w:t>59.47</w:t>
      </w:r>
      <w:r>
        <w:rPr>
          <w:rFonts w:hint="eastAsia" w:ascii="Times New Roman" w:hAnsi="Times New Roman" w:eastAsia="仿宋_GB2312" w:cs="Times New Roman"/>
          <w:sz w:val="32"/>
          <w:szCs w:val="32"/>
          <w:highlight w:val="none"/>
        </w:rPr>
        <w:t>%，主要用于</w:t>
      </w:r>
      <w:r>
        <w:rPr>
          <w:rFonts w:hint="eastAsia" w:ascii="Times New Roman" w:hAnsi="Times New Roman" w:eastAsia="仿宋_GB2312" w:cs="Times New Roman"/>
          <w:sz w:val="32"/>
          <w:szCs w:val="32"/>
          <w:highlight w:val="none"/>
          <w:lang w:eastAsia="zh-CN"/>
        </w:rPr>
        <w:t>人员工资支出；办公经费，</w:t>
      </w:r>
      <w:r>
        <w:rPr>
          <w:rFonts w:hint="eastAsia" w:ascii="Times New Roman" w:hAnsi="Times New Roman" w:eastAsia="仿宋_GB2312" w:cs="Times New Roman"/>
          <w:sz w:val="32"/>
          <w:szCs w:val="32"/>
          <w:highlight w:val="none"/>
          <w:lang w:val="en-US" w:eastAsia="zh-CN"/>
        </w:rPr>
        <w:t>2025年决算数为111.42万元，占财政拨款支出总额的5.3%，主要用于办公费、电费、物业费等开支</w:t>
      </w:r>
      <w:r>
        <w:rPr>
          <w:rFonts w:hint="eastAsia" w:ascii="Times New Roman" w:hAnsi="Times New Roman" w:eastAsia="楷体_GB2312" w:cs="Times New Roman"/>
          <w:b/>
          <w:bCs/>
          <w:i/>
          <w:color w:val="auto"/>
          <w:sz w:val="32"/>
          <w:szCs w:val="32"/>
          <w:highlight w:val="none"/>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1551.41</w:t>
      </w:r>
      <w:r>
        <w:rPr>
          <w:rFonts w:ascii="Times New Roman" w:hAnsi="Times New Roman" w:eastAsia="仿宋_GB2312" w:cs="Times New Roman"/>
          <w:sz w:val="32"/>
          <w:szCs w:val="32"/>
        </w:rPr>
        <w:t>万元，其中：</w:t>
      </w:r>
    </w:p>
    <w:p>
      <w:pPr>
        <w:pStyle w:val="16"/>
        <w:overflowPunct w:val="0"/>
        <w:autoSpaceDE/>
        <w:autoSpaceDN/>
        <w:spacing w:line="600" w:lineRule="exact"/>
        <w:ind w:firstLine="643"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1439.99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92.82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、机关事业单位基本养老保险缴费、职工基本医疗保险缴费、住房公积金、离退休人员生活补助等。</w:t>
      </w:r>
    </w:p>
    <w:p>
      <w:pPr>
        <w:pStyle w:val="16"/>
        <w:overflowPunct w:val="0"/>
        <w:autoSpaceDE/>
        <w:autoSpaceDN/>
        <w:spacing w:line="600" w:lineRule="exact"/>
        <w:ind w:firstLine="643"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111.42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7.18</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工会经费、其他交通费等</w:t>
      </w:r>
      <w:r>
        <w:rPr>
          <w:rFonts w:ascii="Times New Roman" w:hAnsi="Times New Roman" w:eastAsia="仿宋_GB2312" w:cs="Times New Roman"/>
          <w:sz w:val="32"/>
          <w:szCs w:val="32"/>
        </w:rPr>
        <w:t>。</w:t>
      </w:r>
    </w:p>
    <w:p>
      <w:pPr>
        <w:pStyle w:val="16"/>
        <w:numPr>
          <w:ilvl w:val="0"/>
          <w:numId w:val="4"/>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pPr>
        <w:pStyle w:val="16"/>
        <w:numPr>
          <w:ilvl w:val="0"/>
          <w:numId w:val="0"/>
        </w:numPr>
        <w:overflowPunct w:val="0"/>
        <w:autoSpaceDE/>
        <w:autoSpaceDN/>
        <w:spacing w:line="600" w:lineRule="exact"/>
        <w:ind w:firstLine="321" w:firstLineChars="1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18.29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11.43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62.49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2.45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17.65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公务用车运行维护费减少以及按照中央八项规定严格控制公务接待费支出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公务用车运行维护费减少以及按照中央八项规定严格控制公务接待费支出</w:t>
      </w:r>
      <w:r>
        <w:rPr>
          <w:rFonts w:ascii="Times New Roman" w:hAnsi="Times New Roman" w:eastAsia="仿宋_GB2312" w:cs="Times New Roman"/>
          <w:sz w:val="32"/>
          <w:szCs w:val="32"/>
        </w:rPr>
        <w:t>。</w:t>
      </w:r>
    </w:p>
    <w:p>
      <w:pPr>
        <w:pStyle w:val="16"/>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因公出国（境）费支出预算为</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与预算数持平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人次</w:t>
      </w:r>
      <w:r>
        <w:rPr>
          <w:rFonts w:hint="eastAsia" w:ascii="Times New Roman" w:hAnsi="Times New Roman" w:eastAsia="楷体" w:cs="Times New Roman"/>
          <w:b/>
          <w:bCs/>
          <w:i/>
          <w:color w:val="auto"/>
          <w:sz w:val="32"/>
          <w:szCs w:val="32"/>
          <w:lang w:val="en-US" w:eastAsia="zh-CN"/>
        </w:rPr>
        <w:t>，</w:t>
      </w:r>
      <w:r>
        <w:rPr>
          <w:rFonts w:ascii="Times New Roman" w:hAnsi="Times New Roman" w:eastAsia="仿宋_GB2312" w:cs="Times New Roman"/>
          <w:sz w:val="32"/>
          <w:szCs w:val="32"/>
        </w:rPr>
        <w:t>主要包括：</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hint="eastAsia" w:ascii="Times New Roman" w:hAnsi="Times New Roman" w:eastAsia="仿宋_GB2312" w:cs="Times New Roman"/>
          <w:sz w:val="32"/>
          <w:szCs w:val="32"/>
          <w:lang w:eastAsia="zh-CN"/>
        </w:rPr>
        <w:t>赴埃及尼日利亚交流访问</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7.59</w:t>
      </w:r>
      <w:r>
        <w:rPr>
          <w:rFonts w:ascii="Times New Roman" w:hAnsi="Times New Roman" w:eastAsia="仿宋_GB2312" w:cs="Times New Roman"/>
          <w:sz w:val="32"/>
          <w:szCs w:val="32"/>
        </w:rPr>
        <w:t>万元，主要用于</w:t>
      </w:r>
      <w:r>
        <w:rPr>
          <w:rFonts w:hint="eastAsia" w:ascii="Times New Roman" w:hAnsi="Times New Roman" w:eastAsia="仿宋_GB2312" w:cs="Times New Roman"/>
          <w:sz w:val="32"/>
          <w:szCs w:val="32"/>
          <w:lang w:eastAsia="zh-CN"/>
        </w:rPr>
        <w:t>为落实省委省政府“人才强省”战略，推动我省人力资源服务业扩大对外开放，加快人力资源服务贸易转型升级，助力我省和非洲国家人力资源开发利用友好往来。</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公务用车购置费及运行维护费支出预算为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67.84</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hint="eastAsia" w:ascii="仿宋_GB2312" w:hAnsi="仿宋_GB2312" w:eastAsia="仿宋_GB2312" w:cs="仿宋_GB2312"/>
          <w:b w:val="0"/>
          <w:bCs w:val="0"/>
          <w:color w:val="auto"/>
          <w:sz w:val="32"/>
          <w:szCs w:val="32"/>
          <w:lang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_GB2312" w:eastAsia="仿宋_GB2312" w:cs="仿宋_GB2312"/>
          <w:b w:val="0"/>
          <w:bCs w:val="0"/>
          <w:color w:val="auto"/>
          <w:sz w:val="32"/>
          <w:szCs w:val="32"/>
        </w:rPr>
        <w:t>决算数与年初预算数持平</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主要原因</w:t>
      </w:r>
      <w:r>
        <w:rPr>
          <w:rFonts w:hint="eastAsia" w:ascii="仿宋_GB2312" w:hAnsi="仿宋_GB2312" w:eastAsia="仿宋_GB2312" w:cs="仿宋_GB2312"/>
          <w:b w:val="0"/>
          <w:bCs w:val="0"/>
          <w:color w:val="auto"/>
          <w:sz w:val="32"/>
          <w:szCs w:val="32"/>
          <w:lang w:eastAsia="zh-CN"/>
        </w:rPr>
        <w:t>是未安排公务车辆购置费。</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3.85</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仿宋_GB2312" w:hAnsi="仿宋_GB2312" w:eastAsia="仿宋_GB2312" w:cs="仿宋_GB2312"/>
          <w:sz w:val="32"/>
          <w:szCs w:val="32"/>
          <w:lang w:val="en-US" w:eastAsia="zh-CN"/>
        </w:rPr>
        <w:t>车辆维修费、保险费、油料费、过路过桥等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67.84</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严格控制公务车辆运行维护支出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严格控制公务车辆运行维护支出</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2025年未发生公务接待支出。</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本单位无政府性基金预算收入支出</w:t>
      </w:r>
    </w:p>
    <w:p>
      <w:pPr>
        <w:pStyle w:val="16"/>
        <w:keepNext w:val="0"/>
        <w:keepLines w:val="0"/>
        <w:pageBreakBefore w:val="0"/>
        <w:widowControl w:val="0"/>
        <w:numPr>
          <w:ilvl w:val="0"/>
          <w:numId w:val="0"/>
        </w:numPr>
        <w:kinsoku/>
        <w:wordWrap/>
        <w:overflowPunct/>
        <w:topLinePunct w:val="0"/>
        <w:bidi w:val="0"/>
        <w:snapToGrid/>
        <w:spacing w:line="60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九、国有资本经营预算收入支出决算情况</w:t>
      </w:r>
    </w:p>
    <w:p>
      <w:pPr>
        <w:pStyle w:val="16"/>
        <w:keepNext w:val="0"/>
        <w:keepLines w:val="0"/>
        <w:pageBreakBefore w:val="0"/>
        <w:widowControl w:val="0"/>
        <w:numPr>
          <w:ilvl w:val="0"/>
          <w:numId w:val="0"/>
        </w:numPr>
        <w:kinsoku/>
        <w:wordWrap/>
        <w:overflowPunct/>
        <w:topLinePunct w:val="0"/>
        <w:bidi w:val="0"/>
        <w:snapToGrid/>
        <w:spacing w:line="600" w:lineRule="exact"/>
        <w:ind w:leftChars="200"/>
        <w:textAlignment w:val="auto"/>
        <w:rPr>
          <w:rFonts w:ascii="Times New Roman" w:hAnsi="Times New Roman" w:cs="Times New Roman"/>
          <w:bCs/>
          <w:sz w:val="32"/>
          <w:szCs w:val="32"/>
        </w:rPr>
      </w:pPr>
      <w:r>
        <w:rPr>
          <w:rFonts w:hint="eastAsia" w:ascii="仿宋_GB2312" w:hAnsi="仿宋_GB2312" w:eastAsia="仿宋_GB2312" w:cs="仿宋_GB2312"/>
          <w:sz w:val="32"/>
          <w:szCs w:val="32"/>
          <w:lang w:val="en-US" w:eastAsia="zh-CN"/>
        </w:rPr>
        <w:t xml:space="preserve">  本单位无国有资本经营预算收入支出</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111.42</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65.26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36.94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其他商品和服务支出减少、福利费减少以及</w:t>
      </w:r>
      <w:r>
        <w:rPr>
          <w:rFonts w:hint="eastAsia" w:ascii="Times New Roman" w:hAnsi="Times New Roman" w:eastAsia="仿宋_GB2312" w:cs="Times New Roman"/>
          <w:sz w:val="32"/>
          <w:szCs w:val="32"/>
        </w:rPr>
        <w:t>落实过紧日子要求压减支出</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pPr>
        <w:pStyle w:val="16"/>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1.94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用于召开</w:t>
      </w:r>
      <w:r>
        <w:rPr>
          <w:rFonts w:hint="eastAsia" w:ascii="Times New Roman" w:hAnsi="Times New Roman" w:eastAsia="仿宋_GB2312" w:cs="Times New Roman"/>
          <w:sz w:val="32"/>
          <w:szCs w:val="32"/>
          <w:lang w:eastAsia="zh-CN"/>
        </w:rPr>
        <w:t>实施渐进式延迟法定退休年龄改革工作部署会</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105</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实施渐进式延迟法定退休年龄改革工作事宜；</w:t>
      </w:r>
      <w:r>
        <w:rPr>
          <w:rFonts w:hint="eastAsia" w:ascii="Times New Roman" w:hAnsi="Times New Roman" w:eastAsia="仿宋_GB2312" w:cs="Times New Roman"/>
          <w:sz w:val="32"/>
          <w:szCs w:val="32"/>
          <w:lang w:val="en-US" w:eastAsia="zh-CN"/>
        </w:rPr>
        <w:t>2、用于召开进一步规范行政执法行为防范和化解行政争议工作会，人数34人，内容为进一步规范行政执法行为防范和化解行政争议工作事宜；3、用于召开2025年职称评审工作会，人数43人，内容为2025年职称评审工作事宜；4、用于召开2025年人社巩固拓展脱贫攻坚成果同乡村振兴有效衔接工作调度会，人数38人，内容为巩固拓展脱贫攻坚成果同乡村振兴有效衔接相关工作事宜；5、用于召开全市民生补短提质攻坚暨人力资源和社会保障工作会议，人数88人，内容为民生补短提质攻坚及人力资源和社会保障工作相关事宜</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9.75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2025年高校毕业生</w:t>
      </w:r>
      <w:r>
        <w:rPr>
          <w:rFonts w:hint="eastAsia" w:ascii="Times New Roman" w:hAnsi="Times New Roman" w:eastAsia="仿宋_GB2312" w:cs="Times New Roman"/>
          <w:sz w:val="32"/>
          <w:szCs w:val="32"/>
          <w:lang w:eastAsia="zh-CN"/>
        </w:rPr>
        <w:t>“三支一扶”岗前</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eastAsia="zh-CN"/>
        </w:rPr>
        <w:t>为对新招募的“三支一扶”人员进行岗前培训；</w:t>
      </w:r>
      <w:r>
        <w:rPr>
          <w:rFonts w:hint="eastAsia" w:ascii="Times New Roman" w:hAnsi="Times New Roman" w:eastAsia="仿宋_GB2312" w:cs="Times New Roman"/>
          <w:sz w:val="32"/>
          <w:szCs w:val="32"/>
          <w:lang w:val="en-US" w:eastAsia="zh-CN"/>
        </w:rPr>
        <w:t>2、召开全市工资统计和业务培训会，人数44人，内容为工资统计和业务相关知识的培训；3、用于人社系统2025年信访工作培训会，人数55人，内容为对全市人社系统信访工作人员的培训。</w:t>
      </w:r>
      <w:r>
        <w:rPr>
          <w:rFonts w:hint="eastAsia" w:ascii="Times New Roman" w:hAnsi="Times New Roman" w:eastAsia="仿宋_GB2312"/>
          <w:sz w:val="32"/>
          <w:szCs w:val="32"/>
          <w:lang w:val="en-US" w:eastAsia="zh-CN"/>
        </w:rPr>
        <w:t>2025年</w:t>
      </w:r>
      <w:r>
        <w:rPr>
          <w:rFonts w:hint="eastAsia" w:ascii="仿宋_GB2312" w:hAnsi="仿宋_GB2312" w:eastAsia="仿宋_GB2312" w:cs="仿宋_GB2312"/>
          <w:sz w:val="32"/>
          <w:szCs w:val="32"/>
          <w:lang w:eastAsia="zh-CN"/>
        </w:rPr>
        <w:t>我单位无</w:t>
      </w:r>
      <w:r>
        <w:rPr>
          <w:rFonts w:hint="eastAsia" w:ascii="仿宋_GB2312" w:hAnsi="仿宋_GB2312" w:eastAsia="仿宋_GB2312" w:cs="仿宋_GB2312"/>
          <w:sz w:val="32"/>
          <w:szCs w:val="32"/>
        </w:rPr>
        <w:t>节庆、晚会、论坛、赛事活动</w:t>
      </w:r>
      <w:r>
        <w:rPr>
          <w:rFonts w:hint="eastAsia" w:ascii="仿宋_GB2312" w:hAnsi="仿宋_GB2312" w:eastAsia="仿宋_GB2312" w:cs="仿宋_GB2312"/>
          <w:sz w:val="32"/>
          <w:szCs w:val="32"/>
          <w:lang w:eastAsia="zh-CN"/>
        </w:rPr>
        <w:t>支出。</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均为一般公务用车，</w:t>
      </w:r>
      <w:r>
        <w:rPr>
          <w:rFonts w:ascii="Times New Roman" w:hAnsi="Times New Roman" w:eastAsia="仿宋_GB2312" w:cs="Times New Roman"/>
          <w:color w:val="auto"/>
          <w:sz w:val="32"/>
          <w:szCs w:val="32"/>
        </w:rPr>
        <w:t>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550.79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15</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550.79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26.2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人力资源和社会保障管理服务经费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公务员考试运行支出</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327.06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665.83</w:t>
      </w:r>
      <w:r>
        <w:rPr>
          <w:rFonts w:ascii="Times New Roman" w:hAnsi="Times New Roman" w:eastAsia="仿宋_GB2312" w:cs="Times New Roman"/>
          <w:kern w:val="0"/>
          <w:sz w:val="32"/>
          <w:szCs w:val="32"/>
        </w:rPr>
        <w:t>万元。</w:t>
      </w:r>
    </w:p>
    <w:p>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2073.14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2124.26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102.47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000000"/>
          <w:kern w:val="0"/>
          <w:sz w:val="32"/>
          <w:szCs w:val="32"/>
        </w:rPr>
        <w:t>民生保障及核心业务领域</w:t>
      </w:r>
      <w:r>
        <w:rPr>
          <w:rFonts w:hint="eastAsia" w:ascii="仿宋_GB2312" w:hAnsi="仿宋_GB2312" w:eastAsia="仿宋_GB2312" w:cs="仿宋_GB2312"/>
          <w:color w:val="000000"/>
          <w:kern w:val="0"/>
          <w:sz w:val="32"/>
          <w:szCs w:val="32"/>
          <w:lang w:eastAsia="zh-CN"/>
        </w:rPr>
        <w:t>等完成较好</w:t>
      </w:r>
      <w:r>
        <w:rPr>
          <w:rFonts w:ascii="Times New Roman" w:hAnsi="Times New Roman" w:eastAsia="仿宋_GB2312" w:cs="Times New Roman"/>
          <w:sz w:val="32"/>
          <w:szCs w:val="32"/>
        </w:rPr>
        <w:t>。发现的主要问题</w:t>
      </w:r>
      <w:r>
        <w:rPr>
          <w:rFonts w:hint="eastAsia" w:ascii="Times New Roman" w:hAnsi="Times New Roman" w:eastAsia="仿宋_GB2312" w:cs="Times New Roman"/>
          <w:sz w:val="32"/>
          <w:szCs w:val="32"/>
          <w:lang w:eastAsia="zh-CN"/>
        </w:rPr>
        <w:t>是</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一是部分项目资金年中追加指标，二是非税收入的实际征缴收入小于年初预算数，原因是：一是部分项目资金因当年工作需要年中追加指标，二是非税收入为考试费收入，我单位组织考试后由省厅扣除分成后再予以返回。</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一是对于年中临时追加的工作经费年初进行合理预估，二是非税收入合理预估，减少预估收入与实际收入的差距</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665.83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550.79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82.72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”。发现的主要原因：</w:t>
      </w:r>
      <w:r>
        <w:rPr>
          <w:rFonts w:hint="eastAsia" w:ascii="Times New Roman" w:hAnsi="Times New Roman" w:eastAsia="仿宋_GB2312" w:cs="Times New Roman"/>
          <w:sz w:val="32"/>
          <w:szCs w:val="32"/>
          <w:lang w:eastAsia="zh-CN"/>
        </w:rPr>
        <w:t>财政进一步压减了项目资金的下达以及非税收入预估与实际征收数有差距</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b w:val="0"/>
          <w:bCs w:val="0"/>
          <w:kern w:val="0"/>
          <w:sz w:val="32"/>
          <w:szCs w:val="32"/>
          <w:lang w:val="en-US" w:eastAsia="zh-CN"/>
        </w:rPr>
        <w:t>年初项目预算编制时根据工作任务更加精准的预计。</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665.83</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3" w:firstLineChars="200"/>
        <w:jc w:val="both"/>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（三）评价结果应用情况。</w:t>
      </w:r>
    </w:p>
    <w:p>
      <w:pPr>
        <w:pStyle w:val="2"/>
        <w:rPr>
          <w:rFonts w:hint="default" w:eastAsia="楷体_GB2312"/>
          <w:lang w:val="en-US" w:eastAsia="zh-CN"/>
        </w:rPr>
      </w:pPr>
      <w:r>
        <w:rPr>
          <w:rFonts w:hint="eastAsia" w:ascii="Times New Roman" w:hAnsi="Times New Roman" w:eastAsia="楷体_GB2312" w:cs="Times New Roman"/>
          <w:b/>
          <w:bCs/>
          <w:color w:val="auto"/>
          <w:kern w:val="2"/>
          <w:sz w:val="32"/>
          <w:szCs w:val="32"/>
          <w:lang w:val="en-US" w:eastAsia="zh-CN"/>
        </w:rPr>
        <w:t xml:space="preserve">   </w:t>
      </w:r>
      <w:r>
        <w:rPr>
          <w:rFonts w:hint="eastAsia" w:ascii="仿宋_GB2312" w:hAnsi="仿宋_GB2312" w:eastAsia="仿宋_GB2312" w:cs="仿宋_GB2312"/>
          <w:b w:val="0"/>
          <w:bCs w:val="0"/>
          <w:color w:val="auto"/>
          <w:kern w:val="2"/>
          <w:sz w:val="32"/>
          <w:szCs w:val="32"/>
          <w:lang w:val="en-US" w:eastAsia="zh-CN"/>
        </w:rPr>
        <w:t xml:space="preserve"> （一）绩效目标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333333"/>
          <w:kern w:val="2"/>
          <w:sz w:val="32"/>
          <w:szCs w:val="32"/>
          <w:lang w:val="en-US" w:eastAsia="zh-CN" w:bidi="ar-SA"/>
        </w:rPr>
      </w:pPr>
      <w:r>
        <w:rPr>
          <w:rFonts w:hint="eastAsia" w:ascii="仿宋" w:hAnsi="仿宋" w:eastAsia="仿宋" w:cs="仿宋"/>
          <w:b w:val="0"/>
          <w:bCs w:val="0"/>
          <w:color w:val="333333"/>
          <w:kern w:val="2"/>
          <w:sz w:val="32"/>
          <w:szCs w:val="32"/>
          <w:lang w:val="en-US" w:eastAsia="zh-CN" w:bidi="ar-SA"/>
        </w:rPr>
        <w:t>1、</w:t>
      </w:r>
      <w:r>
        <w:rPr>
          <w:rFonts w:hint="eastAsia" w:ascii="仿宋_GB2312" w:hAnsi="仿宋_GB2312" w:eastAsia="仿宋_GB2312" w:cs="仿宋_GB2312"/>
          <w:b w:val="0"/>
          <w:bCs w:val="0"/>
          <w:color w:val="333333"/>
          <w:kern w:val="2"/>
          <w:sz w:val="32"/>
          <w:szCs w:val="32"/>
          <w:lang w:val="en-US" w:eastAsia="zh-CN" w:bidi="ar-SA"/>
        </w:rPr>
        <w:t>推动智慧人社创新发展。以人社全业务信息化为基础，加快实现人社数字化转型，推动智慧人社创新发展，健全人社服务体制机制，建成标准统一、公共普惠、方便快捷、优质高效的高质量人社公共服务体系，提升公共服务能力和水平，推进人社公共服务均等化。</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2、构建新型和谐劳动关系，提升人民群众满意度。建立规范有序、公正合理、互利共赢、和谐稳定的劳动关系。全面实施劳动合同制度，全面覆盖集体协商和集体合同制度，健全协调劳动关系三方机制，提升劳动保障监察执法和劳动人事争议调解仲裁效能，加大对劳动关系中弱势群体的关注，促进劳动关系和谐稳定，确保劳动人事争议仲裁结案率达98.3%，拖欠农民工工资举报投诉案件结案率100%。深入开展根治欠薪夏季和冬季专项行动，全面排查、及时化解各类问题隐患和欠薪陈案。加强人才队伍建设。</w:t>
      </w:r>
    </w:p>
    <w:p>
      <w:pPr>
        <w:pStyle w:val="16"/>
        <w:overflowPunct w:val="0"/>
        <w:autoSpaceDE/>
        <w:autoSpaceDN/>
        <w:spacing w:line="600" w:lineRule="exact"/>
        <w:ind w:firstLine="640" w:firstLineChars="200"/>
        <w:jc w:val="both"/>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333333"/>
          <w:kern w:val="2"/>
          <w:sz w:val="32"/>
          <w:szCs w:val="32"/>
          <w:lang w:val="en-US" w:eastAsia="zh-CN" w:bidi="ar-SA"/>
        </w:rPr>
        <w:t>3、深入实施高层次人才引进计划、培养支持计划等重大人才项目计划，加强人才选拔推荐，做好人才继续教育、研修交流、跨区合作等工作，组织好高层次人才引进计划和培养支持计划专场招聘等活动，广泛汇聚人才。</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产出和效益情况</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 w:hAnsi="仿宋" w:eastAsia="仿宋" w:cs="仿宋"/>
          <w:color w:val="auto"/>
          <w:sz w:val="32"/>
          <w:szCs w:val="32"/>
        </w:rPr>
      </w:pPr>
      <w:r>
        <w:rPr>
          <w:rFonts w:hint="eastAsia" w:ascii="仿宋_GB2312" w:hAnsi="仿宋_GB2312" w:eastAsia="仿宋_GB2312" w:cs="仿宋_GB2312"/>
          <w:color w:val="auto"/>
          <w:sz w:val="32"/>
          <w:szCs w:val="32"/>
        </w:rPr>
        <w:t>产出方面：基本支出控制在预算范围内，项目支出按计划执行。开展多场</w:t>
      </w:r>
      <w:r>
        <w:rPr>
          <w:rFonts w:hint="eastAsia" w:ascii="仿宋_GB2312" w:hAnsi="仿宋_GB2312" w:eastAsia="仿宋_GB2312" w:cs="仿宋_GB2312"/>
          <w:color w:val="auto"/>
          <w:sz w:val="32"/>
          <w:szCs w:val="32"/>
          <w:lang w:eastAsia="zh-CN"/>
        </w:rPr>
        <w:t>群体就业</w:t>
      </w:r>
      <w:r>
        <w:rPr>
          <w:rFonts w:hint="eastAsia" w:ascii="仿宋_GB2312" w:hAnsi="仿宋_GB2312" w:eastAsia="仿宋_GB2312" w:cs="仿宋_GB2312"/>
          <w:color w:val="auto"/>
          <w:sz w:val="32"/>
          <w:szCs w:val="32"/>
        </w:rPr>
        <w:t>活动，成果达标率高。</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效益方面：建立长效管理机制，推动</w:t>
      </w:r>
      <w:r>
        <w:rPr>
          <w:rFonts w:hint="eastAsia" w:ascii="仿宋_GB2312" w:hAnsi="仿宋_GB2312" w:eastAsia="仿宋_GB2312" w:cs="仿宋_GB2312"/>
          <w:color w:val="auto"/>
          <w:sz w:val="32"/>
          <w:szCs w:val="32"/>
          <w:lang w:val="en-US" w:eastAsia="zh-CN"/>
        </w:rPr>
        <w:t>人社事业</w:t>
      </w:r>
      <w:r>
        <w:rPr>
          <w:rFonts w:hint="eastAsia" w:ascii="仿宋_GB2312" w:hAnsi="仿宋_GB2312" w:eastAsia="仿宋_GB2312" w:cs="仿宋_GB2312"/>
          <w:color w:val="auto"/>
          <w:sz w:val="32"/>
          <w:szCs w:val="32"/>
        </w:rPr>
        <w:t>可持续发展。</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资产管理和业务开展情况</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资产管理：严格遵守规定，资产配置合理，确保资产安全完整，提高使用效率，为</w:t>
      </w:r>
      <w:r>
        <w:rPr>
          <w:rFonts w:hint="eastAsia" w:ascii="仿宋_GB2312" w:hAnsi="仿宋_GB2312" w:eastAsia="仿宋_GB2312" w:cs="仿宋_GB2312"/>
          <w:color w:val="auto"/>
          <w:sz w:val="32"/>
          <w:szCs w:val="32"/>
          <w:lang w:eastAsia="zh-CN"/>
        </w:rPr>
        <w:t>人社事业发展</w:t>
      </w:r>
      <w:r>
        <w:rPr>
          <w:rFonts w:hint="eastAsia" w:ascii="仿宋_GB2312" w:hAnsi="仿宋_GB2312" w:eastAsia="仿宋_GB2312" w:cs="仿宋_GB2312"/>
          <w:color w:val="auto"/>
          <w:sz w:val="32"/>
          <w:szCs w:val="32"/>
        </w:rPr>
        <w:t>提供保障。</w:t>
      </w:r>
      <w:bookmarkStart w:id="4" w:name="_GoBack"/>
      <w:bookmarkEnd w:id="4"/>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业务开展：围绕核心业务，</w:t>
      </w:r>
      <w:r>
        <w:rPr>
          <w:rFonts w:hint="eastAsia" w:ascii="仿宋_GB2312" w:hAnsi="仿宋_GB2312" w:eastAsia="仿宋_GB2312" w:cs="仿宋_GB2312"/>
          <w:color w:val="auto"/>
          <w:sz w:val="32"/>
          <w:szCs w:val="32"/>
          <w:lang w:eastAsia="zh-CN"/>
        </w:rPr>
        <w:t>保障人社事业高质量发展</w:t>
      </w:r>
      <w:r>
        <w:rPr>
          <w:rFonts w:hint="eastAsia" w:ascii="仿宋_GB2312" w:hAnsi="仿宋_GB2312" w:eastAsia="仿宋_GB2312" w:cs="仿宋_GB2312"/>
          <w:color w:val="auto"/>
          <w:sz w:val="32"/>
          <w:szCs w:val="32"/>
        </w:rPr>
        <w:t>，加强队伍建设，推进</w:t>
      </w:r>
      <w:r>
        <w:rPr>
          <w:rFonts w:hint="eastAsia" w:ascii="仿宋_GB2312" w:hAnsi="仿宋_GB2312" w:eastAsia="仿宋_GB2312" w:cs="仿宋_GB2312"/>
          <w:color w:val="auto"/>
          <w:sz w:val="32"/>
          <w:szCs w:val="32"/>
          <w:lang w:eastAsia="zh-CN"/>
        </w:rPr>
        <w:t>人社</w:t>
      </w:r>
      <w:r>
        <w:rPr>
          <w:rFonts w:hint="eastAsia" w:ascii="仿宋_GB2312" w:hAnsi="仿宋_GB2312" w:eastAsia="仿宋_GB2312" w:cs="仿宋_GB2312"/>
          <w:color w:val="auto"/>
          <w:sz w:val="32"/>
          <w:szCs w:val="32"/>
        </w:rPr>
        <w:t>服务，提升综合竞争力。</w:t>
      </w:r>
    </w:p>
    <w:p>
      <w:pPr>
        <w:keepNext w:val="0"/>
        <w:keepLines w:val="0"/>
        <w:pageBreakBefore w:val="0"/>
        <w:numPr>
          <w:ilvl w:val="0"/>
          <w:numId w:val="0"/>
        </w:numPr>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整体及核心业务实施效果</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运行成本：基本支出和项目支出均控制在预算内，成本控制良好，资金使用合理高效。</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管理效率：人员经费及公用经费预算控制率100%，工作管理及时，各项业务有序开展，管理效率较高。</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履职效能：完成多项任务指标，保障</w:t>
      </w:r>
      <w:r>
        <w:rPr>
          <w:rFonts w:hint="eastAsia" w:ascii="仿宋_GB2312" w:hAnsi="仿宋_GB2312" w:eastAsia="仿宋_GB2312" w:cs="仿宋_GB2312"/>
          <w:color w:val="auto"/>
          <w:sz w:val="32"/>
          <w:szCs w:val="32"/>
          <w:lang w:eastAsia="zh-CN"/>
        </w:rPr>
        <w:t>人社事业</w:t>
      </w:r>
      <w:r>
        <w:rPr>
          <w:rFonts w:hint="eastAsia" w:ascii="仿宋_GB2312" w:hAnsi="仿宋_GB2312" w:eastAsia="仿宋_GB2312" w:cs="仿宋_GB2312"/>
          <w:color w:val="auto"/>
          <w:sz w:val="32"/>
          <w:szCs w:val="32"/>
        </w:rPr>
        <w:t>正常运行，提升</w:t>
      </w:r>
      <w:r>
        <w:rPr>
          <w:rFonts w:hint="eastAsia" w:ascii="仿宋_GB2312" w:hAnsi="仿宋_GB2312" w:eastAsia="仿宋_GB2312" w:cs="仿宋_GB2312"/>
          <w:color w:val="auto"/>
          <w:sz w:val="32"/>
          <w:szCs w:val="32"/>
          <w:lang w:eastAsia="zh-CN"/>
        </w:rPr>
        <w:t>人社事业</w:t>
      </w:r>
      <w:r>
        <w:rPr>
          <w:rFonts w:hint="eastAsia" w:ascii="仿宋_GB2312" w:hAnsi="仿宋_GB2312" w:eastAsia="仿宋_GB2312" w:cs="仿宋_GB2312"/>
          <w:color w:val="auto"/>
          <w:sz w:val="32"/>
          <w:szCs w:val="32"/>
        </w:rPr>
        <w:t>质量和社会影响力。</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社会效应：产生积极社会影响，提升社会认可度。</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可持续发展能力：提升</w:t>
      </w:r>
      <w:r>
        <w:rPr>
          <w:rFonts w:hint="eastAsia" w:ascii="仿宋_GB2312" w:hAnsi="仿宋_GB2312" w:eastAsia="仿宋_GB2312" w:cs="仿宋_GB2312"/>
          <w:color w:val="auto"/>
          <w:sz w:val="32"/>
          <w:szCs w:val="32"/>
          <w:lang w:val="en-US" w:eastAsia="zh-CN"/>
        </w:rPr>
        <w:t>业务</w:t>
      </w:r>
      <w:r>
        <w:rPr>
          <w:rFonts w:hint="eastAsia" w:ascii="仿宋_GB2312" w:hAnsi="仿宋_GB2312" w:eastAsia="仿宋_GB2312" w:cs="仿宋_GB2312"/>
          <w:color w:val="auto"/>
          <w:sz w:val="32"/>
          <w:szCs w:val="32"/>
        </w:rPr>
        <w:t>能力，优化专业设置，加强队伍建设，为长期发展奠定基础。</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服务对象满意度：</w:t>
      </w:r>
      <w:r>
        <w:rPr>
          <w:rFonts w:hint="eastAsia" w:ascii="仿宋_GB2312" w:hAnsi="仿宋_GB2312" w:eastAsia="仿宋_GB2312" w:cs="仿宋_GB2312"/>
          <w:color w:val="auto"/>
          <w:sz w:val="32"/>
          <w:szCs w:val="32"/>
          <w:lang w:val="en-US" w:eastAsia="zh-CN"/>
        </w:rPr>
        <w:t>社会</w:t>
      </w:r>
      <w:r>
        <w:rPr>
          <w:rFonts w:hint="eastAsia" w:ascii="仿宋_GB2312" w:hAnsi="仿宋_GB2312" w:eastAsia="仿宋_GB2312" w:cs="仿宋_GB2312"/>
          <w:color w:val="auto"/>
          <w:sz w:val="32"/>
          <w:szCs w:val="32"/>
        </w:rPr>
        <w:t>满意度高，服务质量获广泛认可。</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（五）</w:t>
      </w:r>
      <w:r>
        <w:rPr>
          <w:rFonts w:hint="eastAsia" w:ascii="仿宋_GB2312" w:hAnsi="仿宋_GB2312" w:eastAsia="仿宋_GB2312" w:cs="仿宋_GB2312"/>
          <w:b w:val="0"/>
          <w:bCs w:val="0"/>
          <w:color w:val="auto"/>
          <w:sz w:val="32"/>
          <w:szCs w:val="32"/>
        </w:rPr>
        <w:t>存在的问题及原因分析</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bookmarkStart w:id="0" w:name="OLE_LINK10"/>
      <w:r>
        <w:rPr>
          <w:rFonts w:hint="eastAsia" w:ascii="仿宋_GB2312" w:hAnsi="仿宋_GB2312" w:eastAsia="仿宋_GB2312" w:cs="仿宋_GB2312"/>
          <w:color w:val="auto"/>
          <w:sz w:val="32"/>
          <w:szCs w:val="32"/>
          <w:lang w:val="en-US" w:eastAsia="zh-CN"/>
        </w:rPr>
        <w:t>1、预算执行过程中，部分项目重预算申报，轻预算分析，预算执行动态管理有待加强，未对绩效目标实现程度和预算执行进度实行“双监控”，没有及时发现预算执行过程中偏离绩效目标的情况。</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2、财务及采购管理存在短板。采购预算编制不精准，额度与需求测算不合理，与实际采购脱节。</w:t>
      </w:r>
    </w:p>
    <w:p>
      <w:pPr>
        <w:numPr>
          <w:ilvl w:val="0"/>
          <w:numId w:val="0"/>
        </w:numPr>
        <w:ind w:firstLine="640"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（六）下一步改进措施</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en" w:eastAsia="zh-CN"/>
        </w:rPr>
        <w:t>对预算资金绩效运行进行监控，明确监控职责，对绩效目标实现程度和预算执行进度实行实时监管，发现问题要分析原因并及时纠正，及时对预算执行过程中的偏离进行调整。</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2、精确经费支付进度，优化审批流程，为预算执行创造有利条件，推动经费规范、高效使用，助力人社事业高质量发展。</w:t>
      </w:r>
    </w:p>
    <w:bookmarkEnd w:id="0"/>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spacing w:line="360" w:lineRule="auto"/>
        <w:ind w:firstLine="2600" w:firstLineChars="500"/>
        <w:jc w:val="both"/>
        <w:rPr>
          <w:rFonts w:ascii="Times New Roman" w:hAnsi="Times New Roman" w:eastAsia="方正小标宋_GBK" w:cs="Times New Roman"/>
          <w:sz w:val="52"/>
          <w:szCs w:val="52"/>
        </w:rPr>
      </w:pPr>
    </w:p>
    <w:p>
      <w:pPr>
        <w:pStyle w:val="16"/>
        <w:spacing w:line="360" w:lineRule="auto"/>
        <w:ind w:firstLine="2600" w:firstLineChars="500"/>
        <w:jc w:val="both"/>
        <w:rPr>
          <w:rFonts w:ascii="Times New Roman" w:hAnsi="Times New Roman" w:eastAsia="方正小标宋_GBK" w:cs="Times New Roman"/>
          <w:sz w:val="52"/>
          <w:szCs w:val="52"/>
        </w:rPr>
      </w:pPr>
    </w:p>
    <w:p>
      <w:pPr>
        <w:pStyle w:val="16"/>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pPr>
        <w:pStyle w:val="11"/>
        <w:shd w:val="clear" w:color="auto" w:fill="FFFFFF"/>
        <w:spacing w:before="0" w:beforeAutospacing="0" w:after="75" w:afterAutospacing="0" w:line="360" w:lineRule="auto"/>
        <w:ind w:firstLine="646" w:firstLineChars="202"/>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 </w:t>
      </w: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spacing w:line="360" w:lineRule="auto"/>
        <w:ind w:firstLine="2600" w:firstLineChars="500"/>
        <w:jc w:val="both"/>
        <w:rPr>
          <w:rFonts w:ascii="Times New Roman" w:hAnsi="Times New Roman" w:eastAsia="方正小标宋_GBK" w:cs="Times New Roman"/>
          <w:sz w:val="52"/>
          <w:szCs w:val="52"/>
        </w:rPr>
      </w:pPr>
    </w:p>
    <w:p>
      <w:pPr>
        <w:pStyle w:val="16"/>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keepNext w:val="0"/>
        <w:keepLines w:val="0"/>
        <w:pageBreakBefore w:val="0"/>
        <w:widowControl/>
        <w:kinsoku/>
        <w:wordWrap/>
        <w:overflowPunct/>
        <w:topLinePunct w:val="0"/>
        <w:autoSpaceDE/>
        <w:autoSpaceDN/>
        <w:bidi w:val="0"/>
        <w:adjustRightInd/>
        <w:snapToGrid w:val="0"/>
        <w:spacing w:line="20" w:lineRule="atLeast"/>
        <w:ind w:firstLine="880" w:firstLineChars="200"/>
        <w:jc w:val="both"/>
        <w:textAlignment w:val="auto"/>
        <w:rPr>
          <w:rFonts w:hint="eastAsia" w:ascii="仿宋_GB2312" w:hAnsi="仿宋_GB2312" w:eastAsia="仿宋_GB2312" w:cs="仿宋_GB2312"/>
          <w:b w:val="0"/>
          <w:bCs w:val="0"/>
          <w:color w:val="auto"/>
          <w:sz w:val="44"/>
          <w:szCs w:val="44"/>
        </w:rPr>
      </w:pPr>
      <w:bookmarkStart w:id="1" w:name="OLE_LINK4"/>
    </w:p>
    <w:bookmarkEnd w:id="1"/>
    <w:p>
      <w:pPr>
        <w:keepNext w:val="0"/>
        <w:keepLines w:val="0"/>
        <w:pageBreakBefore w:val="0"/>
        <w:widowControl/>
        <w:kinsoku/>
        <w:wordWrap/>
        <w:overflowPunct/>
        <w:topLinePunct w:val="0"/>
        <w:autoSpaceDE/>
        <w:autoSpaceDN/>
        <w:bidi w:val="0"/>
        <w:adjustRightInd/>
        <w:snapToGrid w:val="0"/>
        <w:spacing w:line="20" w:lineRule="atLeast"/>
        <w:jc w:val="center"/>
        <w:textAlignment w:val="auto"/>
        <w:rPr>
          <w:rFonts w:hint="eastAsia" w:ascii="仿宋_GB2312" w:hAnsi="仿宋_GB2312" w:eastAsia="仿宋_GB2312" w:cs="仿宋_GB2312"/>
          <w:b w:val="0"/>
          <w:bCs w:val="0"/>
          <w:color w:val="auto"/>
          <w:sz w:val="44"/>
          <w:szCs w:val="44"/>
          <w:lang w:val="en-US" w:eastAsia="zh-CN"/>
        </w:rPr>
      </w:pPr>
      <w:r>
        <w:rPr>
          <w:rFonts w:hint="eastAsia" w:ascii="仿宋_GB2312" w:hAnsi="仿宋_GB2312" w:eastAsia="仿宋_GB2312" w:cs="仿宋_GB2312"/>
          <w:b w:val="0"/>
          <w:bCs w:val="0"/>
          <w:color w:val="auto"/>
          <w:sz w:val="44"/>
          <w:szCs w:val="44"/>
        </w:rPr>
        <w:t>202</w:t>
      </w:r>
      <w:r>
        <w:rPr>
          <w:rFonts w:hint="eastAsia" w:ascii="仿宋_GB2312" w:hAnsi="仿宋_GB2312" w:eastAsia="仿宋_GB2312" w:cs="仿宋_GB2312"/>
          <w:b w:val="0"/>
          <w:bCs w:val="0"/>
          <w:color w:val="auto"/>
          <w:sz w:val="44"/>
          <w:szCs w:val="44"/>
          <w:lang w:val="en-US" w:eastAsia="zh-CN"/>
        </w:rPr>
        <w:t>5</w:t>
      </w:r>
      <w:r>
        <w:rPr>
          <w:rFonts w:hint="eastAsia" w:ascii="仿宋_GB2312" w:hAnsi="仿宋_GB2312" w:eastAsia="仿宋_GB2312" w:cs="仿宋_GB2312"/>
          <w:b w:val="0"/>
          <w:bCs w:val="0"/>
          <w:color w:val="auto"/>
          <w:sz w:val="44"/>
          <w:szCs w:val="44"/>
        </w:rPr>
        <w:t>年</w:t>
      </w:r>
      <w:r>
        <w:rPr>
          <w:rFonts w:hint="eastAsia" w:ascii="仿宋_GB2312" w:hAnsi="仿宋_GB2312" w:eastAsia="仿宋_GB2312" w:cs="仿宋_GB2312"/>
          <w:b w:val="0"/>
          <w:bCs w:val="0"/>
          <w:color w:val="auto"/>
          <w:sz w:val="44"/>
          <w:szCs w:val="44"/>
          <w:lang w:eastAsia="zh-CN"/>
        </w:rPr>
        <w:t>度</w:t>
      </w:r>
      <w:r>
        <w:rPr>
          <w:rFonts w:hint="eastAsia" w:ascii="仿宋_GB2312" w:hAnsi="仿宋_GB2312" w:eastAsia="仿宋_GB2312" w:cs="仿宋_GB2312"/>
          <w:b w:val="0"/>
          <w:bCs w:val="0"/>
          <w:color w:val="auto"/>
          <w:sz w:val="44"/>
          <w:szCs w:val="44"/>
          <w:lang w:val="en-US" w:eastAsia="zh-CN"/>
        </w:rPr>
        <w:t>怀化市人力资源和社会保障局</w:t>
      </w:r>
    </w:p>
    <w:p>
      <w:pPr>
        <w:keepNext w:val="0"/>
        <w:keepLines w:val="0"/>
        <w:pageBreakBefore w:val="0"/>
        <w:widowControl/>
        <w:kinsoku/>
        <w:wordWrap/>
        <w:overflowPunct/>
        <w:topLinePunct w:val="0"/>
        <w:autoSpaceDE/>
        <w:autoSpaceDN/>
        <w:bidi w:val="0"/>
        <w:adjustRightInd/>
        <w:snapToGrid w:val="0"/>
        <w:spacing w:line="20" w:lineRule="atLeast"/>
        <w:jc w:val="center"/>
        <w:textAlignment w:val="auto"/>
        <w:rPr>
          <w:rFonts w:hint="eastAsia" w:ascii="仿宋_GB2312" w:hAnsi="仿宋_GB2312" w:eastAsia="仿宋_GB2312" w:cs="仿宋_GB2312"/>
          <w:b w:val="0"/>
          <w:bCs w:val="0"/>
          <w:color w:val="auto"/>
          <w:sz w:val="44"/>
          <w:szCs w:val="44"/>
        </w:rPr>
      </w:pPr>
      <w:r>
        <w:rPr>
          <w:rFonts w:hint="eastAsia" w:ascii="仿宋_GB2312" w:hAnsi="仿宋_GB2312" w:eastAsia="仿宋_GB2312" w:cs="仿宋_GB2312"/>
          <w:b w:val="0"/>
          <w:bCs w:val="0"/>
          <w:color w:val="auto"/>
          <w:sz w:val="44"/>
          <w:szCs w:val="44"/>
        </w:rPr>
        <w:t>整体支出绩效自评报告</w:t>
      </w:r>
    </w:p>
    <w:p>
      <w:pPr>
        <w:keepNext w:val="0"/>
        <w:keepLines w:val="0"/>
        <w:pageBreakBefore w:val="0"/>
        <w:widowControl/>
        <w:kinsoku/>
        <w:wordWrap/>
        <w:overflowPunct/>
        <w:topLinePunct w:val="0"/>
        <w:autoSpaceDE/>
        <w:autoSpaceDN/>
        <w:bidi w:val="0"/>
        <w:adjustRightInd/>
        <w:snapToGrid w:val="0"/>
        <w:spacing w:line="20" w:lineRule="atLeast"/>
        <w:jc w:val="center"/>
        <w:textAlignment w:val="auto"/>
        <w:rPr>
          <w:rFonts w:hint="eastAsia" w:ascii="方正小标宋简体" w:hAnsi="方正小标宋简体" w:eastAsia="方正小标宋简体" w:cs="方正小标宋简体"/>
          <w:b w:val="0"/>
          <w:bCs w:val="0"/>
          <w:color w:val="auto"/>
          <w:sz w:val="44"/>
          <w:szCs w:val="44"/>
        </w:rPr>
      </w:pPr>
    </w:p>
    <w:p>
      <w:pPr>
        <w:pStyle w:val="5"/>
        <w:ind w:left="0" w:leftChars="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333333"/>
          <w:sz w:val="32"/>
          <w:szCs w:val="32"/>
          <w:lang w:val="en-US" w:eastAsia="zh-CN"/>
        </w:rPr>
        <w:t>根据《中华人民共和国预算法》、《中共中央国务院关于全面实施预算绩效管理的意见》（中发〔2018〕34号）、《中共湖南省委办公厅湖南省人民政府办公厅关于全面实施预算绩效管理的实施意见》（湘办发〔2019〕10 号）、《湖南省预算支出绩效评价管理办法》（湘财绩〔2020〕7号）和《怀化市财政局关于开展2025年度预算部门绩效自评的通知》等文件精神，我单位对部门整体支出进行了绩效评价，现报告如下：</w:t>
      </w:r>
    </w:p>
    <w:p>
      <w:pPr>
        <w:keepNext w:val="0"/>
        <w:keepLines w:val="0"/>
        <w:pageBreakBefore w:val="0"/>
        <w:widowControl/>
        <w:tabs>
          <w:tab w:val="left" w:pos="5175"/>
        </w:tabs>
        <w:kinsoku/>
        <w:wordWrap/>
        <w:overflowPunct/>
        <w:topLinePunct w:val="0"/>
        <w:autoSpaceDE/>
        <w:autoSpaceDN/>
        <w:bidi w:val="0"/>
        <w:spacing w:after="0" w:line="600" w:lineRule="exact"/>
        <w:ind w:firstLine="643" w:firstLineChars="200"/>
        <w:jc w:val="both"/>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一、部门基本情况</w:t>
      </w:r>
    </w:p>
    <w:p>
      <w:pPr>
        <w:keepNext w:val="0"/>
        <w:keepLines w:val="0"/>
        <w:pageBreakBefore w:val="0"/>
        <w:widowControl/>
        <w:tabs>
          <w:tab w:val="left" w:pos="5175"/>
        </w:tabs>
        <w:kinsoku/>
        <w:wordWrap/>
        <w:overflowPunct/>
        <w:topLinePunct w:val="0"/>
        <w:autoSpaceDE/>
        <w:autoSpaceDN/>
        <w:bidi w:val="0"/>
        <w:spacing w:after="0" w:line="600" w:lineRule="exact"/>
        <w:ind w:firstLine="640" w:firstLineChars="200"/>
        <w:jc w:val="both"/>
        <w:textAlignment w:val="auto"/>
        <w:rPr>
          <w:rFonts w:hint="eastAsia" w:ascii="仿宋" w:hAnsi="仿宋" w:eastAsia="仿宋" w:cs="仿宋"/>
          <w:b/>
          <w:bCs/>
          <w:color w:val="333333"/>
          <w:sz w:val="32"/>
          <w:szCs w:val="32"/>
          <w:lang w:val="en-US" w:eastAsia="zh-CN"/>
        </w:rPr>
      </w:pPr>
      <w:r>
        <w:rPr>
          <w:rFonts w:hint="eastAsia" w:ascii="仿宋" w:hAnsi="仿宋" w:eastAsia="仿宋" w:cs="仿宋"/>
          <w:b/>
          <w:bCs/>
          <w:color w:val="333333"/>
          <w:sz w:val="32"/>
          <w:szCs w:val="32"/>
          <w:lang w:val="en-US" w:eastAsia="zh-CN"/>
        </w:rPr>
        <w:t>（一）主要职责</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1、贯彻执行国家、省人力资源和社会保障方针政策和法律法规；拟订全市人力资源和社会保障事业发展规划及实施办法；对全市人力资源和社会保障工作进行综合管理、监督指导、协调服务。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 xml:space="preserve">2、会同有关部门拟订全市人力资源市场发展规划，推动全市人力资源流动政策落实；会同办理负责市直机关、企事业单位有关工作人员的流动调配工作；指导全市建立统一规范的人力资源市场，促进人力资源合理流动、有效配置。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3、负责促进就业工作，拟订和落实全市统筹城乡就业发展规划和实施办法，完善就业创业公共服务体系；拟订和组织落实全市就业援助制度，统筹建立面向城乡劳动者的职业培训制度，牵头落实高校毕业生就业政策，会同有关部门拟订高技能人才培养和激励措施。</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4、统筹建立覆盖全市城乡社会保障体系，贯彻执行城乡社会保险及其补充保险政策和标准；组织落实机关企事业单位基本养老保险政策；会同有关部门拟订社会保险及其补充保险基金管理和监督办法并实施监管；编制全市社会保险基金预决算草案，参与制定全市社会保障基金投资管理办法；会同有关部门实施全民参保计划并建立全市统一的社会保险公共服务平台。</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5、负责全市就业、失业、社会保险基金预测预警和信息引导，拟订应对预案，实施预防、调节和控制，保持就业形势稳定和社会保险基金总体收支平衡。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6、负责全市事业单位工资收入和福利分配综合管理，贯彻执行国家工资和上级福利政策；会同有关部门拟订全市企事业单位人员和离退休人员福利办法并组织实施；建立企事业单位人员工资正常增长和支付保障机制；监督国有企业经营者收入分配政策执行情况和全市工资发放政策的执行情况；按照管理权限承办全市事业单位工作人员及机关工勤人员工资审批工作，负责市直事业单位工作人员因工(公)伤致残鉴定及应享受待遇的审批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7、会同有关部门指导事业单位人事制度改革；监督落实事业单位人员和机关工勤人员管理政策；参与人才管理工作；综合管理全市专业技术人员和专业技术队伍建设工作，综合管理全市专业技术人员和机关事业单位工勤人员的培训和继续教育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left"/>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8、牵头推进深化职称制度改革，完善专业技术人员职业资格和博士后管理制度，负责高层次专业技术人才选拔、培养和引进工作，组织有突出贡献专家、享受政府特殊津贴专家的选拔工作；会同有关部门拟定吸引留学人员来怀（回国）工作、定居和国（境）外机构在市内招聘专业技术骨干人才管理政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9、统筹实施劳动、人事争议调解仲裁制度。牵头落实劳动关系政策，完善劳动关系协调机制，监督实施职工工作时间、休息休假和假期制度，监督落实消除非法使用童工政策和女工、未成年工的特殊劳动保护政策；组织实施劳动监察，协调劳动者维权工作，依法查处重大案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left"/>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10、会同有关部门推动农民工相关政策的落实，拟定全市农民工工作规划，协调解决重点难点问题，维护农民工合法权益。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50" w:lineRule="atLeast"/>
        <w:ind w:left="0" w:right="0" w:firstLine="640"/>
        <w:jc w:val="both"/>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11、承担市绩效评估与为民办实事考核办公室日常工作，具体组织实施市直和中央、省在怀有关单位绩效评估和全市重点民生实事考核；会同有关部门组织实施国家、省级荣誉制度和政府表彰奖励制度，承担审核上报国家、省人民政府表彰奖励相关工作，指导和协调全市政府奖励工作，审核以市人民政府名义实施的奖励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75" w:afterAutospacing="0" w:line="499" w:lineRule="atLeast"/>
        <w:ind w:left="0" w:right="0" w:firstLine="627"/>
        <w:jc w:val="left"/>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12、完成市委、市政府交办的其他任务</w:t>
      </w:r>
      <w:r>
        <w:rPr>
          <w:rFonts w:hint="eastAsia" w:ascii="仿宋_GB2312" w:hAnsi="仿宋_GB2312" w:eastAsia="仿宋_GB2312" w:cs="仿宋_GB2312"/>
          <w:i w:val="0"/>
          <w:iCs w:val="0"/>
          <w:caps w:val="0"/>
          <w:color w:val="333333"/>
          <w:spacing w:val="0"/>
          <w:kern w:val="0"/>
          <w:sz w:val="32"/>
          <w:szCs w:val="32"/>
          <w:shd w:val="clear" w:fill="FFFFFF"/>
          <w:lang w:val="en-US" w:eastAsia="zh-CN" w:bidi="ar"/>
        </w:rPr>
        <w:t>。</w:t>
      </w:r>
    </w:p>
    <w:p>
      <w:pPr>
        <w:keepNext w:val="0"/>
        <w:keepLines w:val="0"/>
        <w:pageBreakBefore w:val="0"/>
        <w:widowControl/>
        <w:tabs>
          <w:tab w:val="left" w:pos="5175"/>
        </w:tabs>
        <w:kinsoku/>
        <w:wordWrap/>
        <w:overflowPunct/>
        <w:topLinePunct w:val="0"/>
        <w:autoSpaceDE/>
        <w:autoSpaceDN/>
        <w:bidi w:val="0"/>
        <w:spacing w:after="0" w:line="600" w:lineRule="exact"/>
        <w:ind w:firstLine="640" w:firstLineChars="200"/>
        <w:jc w:val="both"/>
        <w:textAlignment w:val="auto"/>
        <w:rPr>
          <w:rFonts w:hint="eastAsia" w:ascii="仿宋" w:hAnsi="仿宋" w:eastAsia="仿宋" w:cs="仿宋"/>
          <w:b w:val="0"/>
          <w:bCs w:val="0"/>
          <w:color w:val="333333"/>
          <w:kern w:val="2"/>
          <w:sz w:val="32"/>
          <w:szCs w:val="32"/>
          <w:lang w:val="en-US" w:eastAsia="zh-CN" w:bidi="ar-SA"/>
        </w:rPr>
      </w:pPr>
      <w:r>
        <w:rPr>
          <w:rFonts w:hint="eastAsia" w:ascii="仿宋" w:hAnsi="仿宋" w:eastAsia="仿宋" w:cs="仿宋"/>
          <w:b/>
          <w:bCs/>
          <w:color w:val="333333"/>
          <w:sz w:val="32"/>
          <w:szCs w:val="32"/>
          <w:lang w:val="en-US" w:eastAsia="zh-CN"/>
        </w:rPr>
        <w:t>（二）内设机构和人员情况</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9"/>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我部门作为一级部门预算单位，内设科室为：办公室、法规科（行政审批服务科）、规划财务科、就业促进与失业保险科、人力资源流动管理科、职业能力建设科、专业技术人员管理科、事业单位人事管理科、劳动关系监察科、工资福利科、养老保险科、工伤保险科（市劳动能力鉴定工作委员会办公室）、社会保险基金监管科、表彰奖励和重点民生实事科（农民工工作科）、人事教育科。另设机关党委。</w:t>
      </w:r>
    </w:p>
    <w:p>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9"/>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我单位机构性质为机关，按照规定执行《行政单位会计制度》。经机构编制管理部门核定编制74名，截止2025年12月实有在编人员71人。</w:t>
      </w:r>
    </w:p>
    <w:p>
      <w:pPr>
        <w:keepNext w:val="0"/>
        <w:keepLines w:val="0"/>
        <w:pageBreakBefore w:val="0"/>
        <w:widowControl/>
        <w:numPr>
          <w:ilvl w:val="0"/>
          <w:numId w:val="5"/>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 w:hAnsi="仿宋" w:eastAsia="仿宋" w:cs="仿宋"/>
          <w:b/>
          <w:bCs/>
          <w:color w:val="333333"/>
          <w:sz w:val="32"/>
          <w:szCs w:val="32"/>
          <w:lang w:val="en-US" w:eastAsia="zh-CN"/>
        </w:rPr>
      </w:pPr>
      <w:r>
        <w:rPr>
          <w:rFonts w:hint="eastAsia" w:ascii="仿宋" w:hAnsi="仿宋" w:eastAsia="仿宋" w:cs="仿宋"/>
          <w:b/>
          <w:bCs/>
          <w:color w:val="333333"/>
          <w:sz w:val="32"/>
          <w:szCs w:val="32"/>
          <w:lang w:val="en-US" w:eastAsia="zh-CN"/>
        </w:rPr>
        <w:t xml:space="preserve">绩效目标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1.推动智慧人社创新发展。以人社全业务信息化为基础，加快实现人社数字化转型，推动智慧人社创新发展，健全人社服务体制机制，建成标准统一、公共普惠、方便快捷、优质高效的高质量人社公共服务体系，提升公共服务能力和水平，推进人社公共服务均等化。</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2.构建新型和谐劳动关系，提升人民群众满意度。建立规范有序、公正合理、互利共赢、和谐稳定的劳动关系。全面实施劳动合同制度，全面覆盖集体协商和集体合同制度，健全协调劳动关系三方机制，提升劳动保障监察执法和劳动人事争议调解仲裁效能，加大对劳动关系中弱势群体的关注，促进劳动关系和谐稳定，确保劳动人事争议仲裁结案率达98.3%，拖欠农民工工资举报投诉案件结案率100%。深入开展根治欠薪夏季和冬季专项行动，全面排查、及时化解各类问题隐患和欠薪陈案。加强人才队伍建设。</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Autospacing="0" w:after="0" w:afterAutospacing="0" w:line="600" w:lineRule="exact"/>
        <w:ind w:firstLine="640" w:firstLineChars="200"/>
        <w:jc w:val="both"/>
        <w:textAlignment w:val="auto"/>
        <w:rPr>
          <w:rFonts w:hint="eastAsia" w:ascii="仿宋_GB2312" w:hAnsi="仿宋_GB2312" w:eastAsia="仿宋_GB2312" w:cs="仿宋_GB2312"/>
          <w:b w:val="0"/>
          <w:bCs w:val="0"/>
          <w:color w:val="333333"/>
          <w:kern w:val="2"/>
          <w:sz w:val="32"/>
          <w:szCs w:val="32"/>
          <w:lang w:val="en-US" w:eastAsia="zh-CN" w:bidi="ar-SA"/>
        </w:rPr>
      </w:pPr>
      <w:r>
        <w:rPr>
          <w:rFonts w:hint="eastAsia" w:ascii="仿宋_GB2312" w:hAnsi="仿宋_GB2312" w:eastAsia="仿宋_GB2312" w:cs="仿宋_GB2312"/>
          <w:b w:val="0"/>
          <w:bCs w:val="0"/>
          <w:color w:val="333333"/>
          <w:kern w:val="2"/>
          <w:sz w:val="32"/>
          <w:szCs w:val="32"/>
          <w:lang w:val="en-US" w:eastAsia="zh-CN" w:bidi="ar-SA"/>
        </w:rPr>
        <w:t>3.深入实施高层次人才引进计划、培养支持计划等重大人才项目计划，加强人才选拔推荐，做好人才继续教育、研修交流、跨区合作等工作，组织好高层次人才引进计划和培养支持计划专场招聘等活动，广泛汇聚人才。</w:t>
      </w:r>
    </w:p>
    <w:p>
      <w:pPr>
        <w:keepNext w:val="0"/>
        <w:keepLines w:val="0"/>
        <w:pageBreakBefore w:val="0"/>
        <w:widowControl/>
        <w:numPr>
          <w:ilvl w:val="0"/>
          <w:numId w:val="6"/>
        </w:numPr>
        <w:kinsoku/>
        <w:wordWrap/>
        <w:overflowPunct/>
        <w:topLinePunct/>
        <w:autoSpaceDE w:val="0"/>
        <w:autoSpaceDN w:val="0"/>
        <w:bidi w:val="0"/>
        <w:adjustRightInd w:val="0"/>
        <w:snapToGrid w:val="0"/>
        <w:spacing w:line="560" w:lineRule="exact"/>
        <w:ind w:left="0" w:leftChars="0" w:right="0" w:firstLine="640" w:firstLineChars="200"/>
        <w:jc w:val="both"/>
        <w:textAlignment w:val="baseline"/>
        <w:rPr>
          <w:rFonts w:ascii="黑体" w:hAnsi="黑体" w:eastAsia="黑体" w:cs="黑体"/>
          <w:b/>
          <w:bCs/>
          <w:spacing w:val="0"/>
          <w:sz w:val="32"/>
          <w:szCs w:val="32"/>
        </w:rPr>
      </w:pPr>
      <w:bookmarkStart w:id="2" w:name="OLE_LINK3"/>
      <w:r>
        <w:rPr>
          <w:rFonts w:hint="eastAsia" w:ascii="仿宋" w:hAnsi="仿宋" w:eastAsia="仿宋" w:cs="仿宋"/>
          <w:b w:val="0"/>
          <w:bCs w:val="0"/>
          <w:color w:val="333333"/>
          <w:kern w:val="2"/>
          <w:sz w:val="32"/>
          <w:szCs w:val="32"/>
          <w:lang w:val="en-US" w:eastAsia="zh-CN" w:bidi="ar-SA"/>
        </w:rPr>
        <w:t xml:space="preserve"> </w:t>
      </w:r>
      <w:r>
        <w:rPr>
          <w:rFonts w:ascii="黑体" w:hAnsi="黑体" w:eastAsia="黑体" w:cs="黑体"/>
          <w:b/>
          <w:bCs/>
          <w:spacing w:val="0"/>
          <w:sz w:val="32"/>
          <w:szCs w:val="32"/>
        </w:rPr>
        <w:t>一般公共预算支出情况</w:t>
      </w:r>
    </w:p>
    <w:p>
      <w:pPr>
        <w:keepNext w:val="0"/>
        <w:keepLines w:val="0"/>
        <w:pageBreakBefore w:val="0"/>
        <w:widowControl/>
        <w:numPr>
          <w:ilvl w:val="0"/>
          <w:numId w:val="0"/>
        </w:numPr>
        <w:tabs>
          <w:tab w:val="left" w:pos="5175"/>
        </w:tabs>
        <w:kinsoku/>
        <w:wordWrap/>
        <w:overflowPunct/>
        <w:topLinePunct w:val="0"/>
        <w:autoSpaceDE/>
        <w:autoSpaceDN/>
        <w:bidi w:val="0"/>
        <w:spacing w:after="0" w:line="600" w:lineRule="exact"/>
        <w:ind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2025年度怀化市人力资源和社会保障局部门一般公共预算财政拨款收入合计为2102.20万元，其中：基本支出1551.41万元，占73.80%，项目支出550.79万元，占26.20%。</w:t>
      </w:r>
      <w:r>
        <w:rPr>
          <w:rFonts w:hint="eastAsia" w:ascii="仿宋_GB2312" w:hAnsi="仿宋_GB2312" w:eastAsia="仿宋_GB2312" w:cs="仿宋_GB2312"/>
          <w:b w:val="0"/>
          <w:bCs w:val="0"/>
          <w:color w:val="333333"/>
          <w:sz w:val="32"/>
          <w:szCs w:val="32"/>
          <w:lang w:val="en-US" w:eastAsia="zh-CN"/>
        </w:rPr>
        <w:t>2025年年末无结转和结余。</w:t>
      </w:r>
    </w:p>
    <w:p>
      <w:pPr>
        <w:pStyle w:val="7"/>
        <w:keepNext w:val="0"/>
        <w:keepLines w:val="0"/>
        <w:pageBreakBefore w:val="0"/>
        <w:widowControl/>
        <w:kinsoku/>
        <w:wordWrap/>
        <w:overflowPunct/>
        <w:topLinePunct/>
        <w:autoSpaceDE w:val="0"/>
        <w:autoSpaceDN w:val="0"/>
        <w:bidi w:val="0"/>
        <w:adjustRightInd w:val="0"/>
        <w:snapToGrid w:val="0"/>
        <w:spacing w:line="560" w:lineRule="exact"/>
        <w:ind w:left="0" w:leftChars="0" w:right="0" w:firstLine="640" w:firstLineChars="200"/>
        <w:jc w:val="both"/>
        <w:textAlignment w:val="baseline"/>
        <w:rPr>
          <w:rFonts w:hint="eastAsia" w:ascii="仿宋" w:hAnsi="仿宋" w:eastAsia="仿宋" w:cs="仿宋"/>
          <w:b w:val="0"/>
          <w:bCs w:val="0"/>
          <w:color w:val="auto"/>
          <w:sz w:val="32"/>
          <w:szCs w:val="32"/>
          <w:lang w:val="en-US" w:eastAsia="zh-CN"/>
        </w:rPr>
      </w:pP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一</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基本支出情况</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一般公共预算财政拨款</w:t>
      </w:r>
      <w:r>
        <w:rPr>
          <w:rFonts w:hint="eastAsia" w:ascii="仿宋_GB2312" w:hAnsi="仿宋_GB2312" w:eastAsia="仿宋_GB2312" w:cs="仿宋_GB2312"/>
          <w:b w:val="0"/>
          <w:bCs w:val="0"/>
          <w:color w:val="333333"/>
          <w:sz w:val="32"/>
          <w:szCs w:val="32"/>
          <w:lang w:val="en-US" w:eastAsia="zh-CN"/>
        </w:rPr>
        <w:t>基本支出是保障本部门机构正常运转、完成日常工作任务而发生的各项支出。</w:t>
      </w:r>
      <w:r>
        <w:rPr>
          <w:rFonts w:hint="eastAsia" w:ascii="仿宋_GB2312" w:hAnsi="仿宋_GB2312" w:eastAsia="仿宋_GB2312" w:cs="仿宋_GB2312"/>
          <w:b w:val="0"/>
          <w:bCs w:val="0"/>
          <w:color w:val="auto"/>
          <w:sz w:val="32"/>
          <w:szCs w:val="32"/>
          <w:lang w:val="en-US" w:eastAsia="zh-CN"/>
        </w:rPr>
        <w:t>2025年度怀化市人力资源和社会保障局一般公共预算财政拨款收入基本支出为1551.41万元，其中：</w:t>
      </w:r>
    </w:p>
    <w:p>
      <w:pPr>
        <w:pStyle w:val="6"/>
        <w:keepNext w:val="0"/>
        <w:keepLines w:val="0"/>
        <w:pageBreakBefore w:val="0"/>
        <w:numPr>
          <w:ilvl w:val="0"/>
          <w:numId w:val="7"/>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lang w:val="en-US" w:eastAsia="zh-CN"/>
        </w:rPr>
        <w:t>工资福利支出1250.08万元，</w:t>
      </w:r>
      <w:r>
        <w:rPr>
          <w:rFonts w:hint="eastAsia" w:ascii="仿宋_GB2312" w:hAnsi="仿宋_GB2312" w:eastAsia="仿宋_GB2312" w:cs="仿宋_GB2312"/>
          <w:b w:val="0"/>
          <w:bCs w:val="0"/>
          <w:color w:val="auto"/>
          <w:sz w:val="32"/>
          <w:szCs w:val="32"/>
          <w:highlight w:val="none"/>
        </w:rPr>
        <w:t>占基本支出的</w:t>
      </w:r>
      <w:r>
        <w:rPr>
          <w:rFonts w:hint="eastAsia" w:ascii="仿宋_GB2312" w:hAnsi="仿宋_GB2312" w:eastAsia="仿宋_GB2312" w:cs="仿宋_GB2312"/>
          <w:b w:val="0"/>
          <w:bCs w:val="0"/>
          <w:color w:val="auto"/>
          <w:sz w:val="32"/>
          <w:szCs w:val="32"/>
          <w:highlight w:val="none"/>
          <w:lang w:val="en-US" w:eastAsia="zh-CN"/>
        </w:rPr>
        <w:t>80.58%，主要包括基本工资430.71万元、津贴补贴198.97万元、奖金144.62万元、伙食补助2.02万元、绩效工资145.87万元、养老保险缴费118.38万元、职工基本医疗保险缴费68.48万元、其他社会保险缴费27.88万元、住房公积金113.15万元。</w:t>
      </w:r>
    </w:p>
    <w:p>
      <w:pPr>
        <w:pStyle w:val="6"/>
        <w:keepNext w:val="0"/>
        <w:keepLines w:val="0"/>
        <w:pageBreakBefore w:val="0"/>
        <w:numPr>
          <w:ilvl w:val="0"/>
          <w:numId w:val="7"/>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商品和服务支出111.42万元，占基本支出的7.18%，主要包括办公费0.76万元、差旅费0.10万元、劳务费0.12万元、工会经费60.09万元、福利费0.58万元、其他交通费47.52万元、其他商品和服务支出1.68万元等。</w:t>
      </w:r>
    </w:p>
    <w:p>
      <w:pPr>
        <w:pStyle w:val="6"/>
        <w:keepNext w:val="0"/>
        <w:keepLines w:val="0"/>
        <w:pageBreakBefore w:val="0"/>
        <w:numPr>
          <w:ilvl w:val="0"/>
          <w:numId w:val="7"/>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对个人和家庭的补助支出189.91万元，占基本支出的12.24%，主要包括离休费13.64万元、退休金172.99万元、抚恤金0.70万元、生活补助1.66万元、对其他个人和家庭的补助0.93万元。</w:t>
      </w:r>
    </w:p>
    <w:p>
      <w:pPr>
        <w:widowControl/>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val="0"/>
          <w:bCs w:val="0"/>
          <w:color w:val="auto"/>
          <w:sz w:val="32"/>
          <w:szCs w:val="32"/>
          <w:highlight w:val="none"/>
          <w:lang w:val="en-US" w:eastAsia="zh-CN"/>
        </w:rPr>
        <w:t>4、</w:t>
      </w:r>
      <w:r>
        <w:rPr>
          <w:rFonts w:hint="eastAsia" w:ascii="仿宋_GB2312" w:hAnsi="仿宋_GB2312" w:eastAsia="仿宋_GB2312" w:cs="仿宋_GB2312"/>
          <w:color w:val="000000"/>
          <w:kern w:val="0"/>
          <w:sz w:val="32"/>
          <w:szCs w:val="32"/>
        </w:rPr>
        <w:t>“三公”经费管理</w:t>
      </w:r>
    </w:p>
    <w:p>
      <w:pPr>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bCs w:val="0"/>
          <w:color w:val="auto"/>
          <w:kern w:val="2"/>
          <w:sz w:val="32"/>
          <w:szCs w:val="32"/>
          <w:highlight w:val="none"/>
          <w:lang w:val="en-US" w:eastAsia="zh-CN" w:bidi="ar-SA"/>
        </w:rPr>
        <w:t>2025</w:t>
      </w:r>
      <w:r>
        <w:rPr>
          <w:rFonts w:hint="eastAsia" w:ascii="仿宋_GB2312" w:hAnsi="仿宋_GB2312" w:eastAsia="仿宋_GB2312" w:cs="仿宋_GB2312"/>
          <w:sz w:val="32"/>
          <w:szCs w:val="32"/>
          <w:lang w:val="en-US" w:eastAsia="zh-CN"/>
        </w:rPr>
        <w:t>年“</w:t>
      </w:r>
      <w:r>
        <w:rPr>
          <w:rFonts w:hint="eastAsia" w:ascii="仿宋_GB2312" w:hAnsi="仿宋_GB2312" w:eastAsia="仿宋_GB2312" w:cs="仿宋_GB2312"/>
          <w:b w:val="0"/>
          <w:bCs w:val="0"/>
          <w:color w:val="auto"/>
          <w:kern w:val="2"/>
          <w:sz w:val="32"/>
          <w:szCs w:val="32"/>
          <w:highlight w:val="none"/>
          <w:lang w:val="en-US" w:eastAsia="zh-CN" w:bidi="ar-SA"/>
        </w:rPr>
        <w:t>三公”经费预算为18.29万元，其中：公务</w:t>
      </w:r>
      <w:r>
        <w:rPr>
          <w:rFonts w:hint="eastAsia" w:ascii="仿宋_GB2312" w:hAnsi="仿宋_GB2312" w:eastAsia="仿宋_GB2312" w:cs="仿宋_GB2312"/>
          <w:b w:val="0"/>
          <w:bCs w:val="0"/>
          <w:color w:val="auto"/>
          <w:kern w:val="2"/>
          <w:sz w:val="32"/>
          <w:szCs w:val="32"/>
          <w:highlight w:val="none"/>
          <w:lang w:val="en-US" w:eastAsia="zh-CN" w:bidi="ar-SA"/>
        </w:rPr>
        <w:t>用车购置及运行维护费7.7万元，实际支出3.85万元；因公出国（境）费用7.59万元，实际支出7.59万元；</w:t>
      </w:r>
      <w:r>
        <w:rPr>
          <w:rFonts w:hint="eastAsia" w:ascii="仿宋_GB2312" w:hAnsi="仿宋_GB2312" w:eastAsia="仿宋_GB2312" w:cs="仿宋_GB2312"/>
          <w:b w:val="0"/>
          <w:bCs w:val="0"/>
          <w:color w:val="auto"/>
          <w:kern w:val="2"/>
          <w:sz w:val="32"/>
          <w:szCs w:val="32"/>
          <w:highlight w:val="none"/>
          <w:lang w:val="en-US" w:eastAsia="zh-CN" w:bidi="ar-SA"/>
        </w:rPr>
        <w:t>公务接待费3万元，无支出。</w:t>
      </w:r>
    </w:p>
    <w:p>
      <w:pPr>
        <w:pStyle w:val="7"/>
        <w:keepNext w:val="0"/>
        <w:keepLines w:val="0"/>
        <w:pageBreakBefore w:val="0"/>
        <w:widowControl/>
        <w:kinsoku/>
        <w:wordWrap/>
        <w:overflowPunct/>
        <w:topLinePunct/>
        <w:autoSpaceDE w:val="0"/>
        <w:autoSpaceDN w:val="0"/>
        <w:bidi w:val="0"/>
        <w:adjustRightInd w:val="0"/>
        <w:snapToGrid w:val="0"/>
        <w:spacing w:line="560" w:lineRule="exact"/>
        <w:ind w:right="0" w:firstLine="640" w:firstLineChars="200"/>
        <w:jc w:val="both"/>
        <w:textAlignment w:val="baseline"/>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lang w:eastAsia="zh-CN"/>
        </w:rPr>
        <w:t>（二）项目支出情况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5" w:afterAutospacing="0" w:line="30" w:lineRule="atLeast"/>
        <w:ind w:right="0" w:firstLine="640" w:firstLineChars="200"/>
        <w:jc w:val="both"/>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val="0"/>
          <w:bCs w:val="0"/>
          <w:color w:val="auto"/>
          <w:sz w:val="32"/>
          <w:szCs w:val="32"/>
          <w:lang w:val="en-US" w:eastAsia="zh-CN"/>
        </w:rPr>
        <w:t>一般公共预算财政拨款</w:t>
      </w:r>
      <w:r>
        <w:rPr>
          <w:rFonts w:hint="eastAsia" w:ascii="仿宋_GB2312" w:hAnsi="仿宋_GB2312" w:eastAsia="仿宋_GB2312" w:cs="仿宋_GB2312"/>
          <w:b w:val="0"/>
          <w:bCs w:val="0"/>
          <w:color w:val="auto"/>
          <w:kern w:val="2"/>
          <w:sz w:val="32"/>
          <w:szCs w:val="32"/>
          <w:highlight w:val="none"/>
          <w:lang w:val="en-US" w:eastAsia="zh-CN" w:bidi="ar-SA"/>
        </w:rPr>
        <w:t>项目支出是单位为完成特定工作任务或事业发展目标而发生的支出。</w:t>
      </w:r>
      <w:r>
        <w:rPr>
          <w:rFonts w:hint="eastAsia" w:ascii="仿宋_GB2312" w:hAnsi="仿宋_GB2312" w:eastAsia="仿宋_GB2312" w:cs="仿宋_GB2312"/>
          <w:b w:val="0"/>
          <w:bCs w:val="0"/>
          <w:color w:val="auto"/>
          <w:sz w:val="32"/>
          <w:szCs w:val="32"/>
          <w:highlight w:val="none"/>
        </w:rPr>
        <w:t>20</w:t>
      </w:r>
      <w:r>
        <w:rPr>
          <w:rFonts w:hint="eastAsia" w:ascii="仿宋_GB2312" w:hAnsi="仿宋_GB2312" w:eastAsia="仿宋_GB2312" w:cs="仿宋_GB2312"/>
          <w:b w:val="0"/>
          <w:bCs w:val="0"/>
          <w:color w:val="auto"/>
          <w:sz w:val="32"/>
          <w:szCs w:val="32"/>
          <w:highlight w:val="none"/>
          <w:lang w:val="en-US" w:eastAsia="zh-CN"/>
        </w:rPr>
        <w:t>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color w:val="auto"/>
          <w:sz w:val="32"/>
          <w:szCs w:val="32"/>
          <w:lang w:val="en-US" w:eastAsia="zh-CN"/>
        </w:rPr>
        <w:t>怀化市人力资源和社会保障局</w:t>
      </w:r>
      <w:r>
        <w:rPr>
          <w:rFonts w:hint="eastAsia" w:ascii="仿宋_GB2312" w:hAnsi="仿宋_GB2312" w:eastAsia="仿宋_GB2312" w:cs="仿宋_GB2312"/>
          <w:color w:val="auto"/>
          <w:sz w:val="32"/>
          <w:szCs w:val="32"/>
          <w:highlight w:val="none"/>
        </w:rPr>
        <w:t>财政拨款</w:t>
      </w:r>
      <w:r>
        <w:rPr>
          <w:rFonts w:hint="eastAsia" w:ascii="仿宋_GB2312" w:hAnsi="仿宋_GB2312" w:eastAsia="仿宋_GB2312" w:cs="仿宋_GB2312"/>
          <w:color w:val="auto"/>
          <w:sz w:val="32"/>
          <w:szCs w:val="32"/>
          <w:highlight w:val="none"/>
          <w:lang w:val="en-US" w:eastAsia="zh-CN"/>
        </w:rPr>
        <w:t>项目</w:t>
      </w:r>
      <w:r>
        <w:rPr>
          <w:rFonts w:hint="eastAsia" w:ascii="仿宋_GB2312" w:hAnsi="仿宋_GB2312" w:eastAsia="仿宋_GB2312" w:cs="仿宋_GB2312"/>
          <w:color w:val="auto"/>
          <w:sz w:val="32"/>
          <w:szCs w:val="32"/>
          <w:highlight w:val="none"/>
        </w:rPr>
        <w:t>支出</w:t>
      </w:r>
      <w:r>
        <w:rPr>
          <w:rFonts w:hint="eastAsia" w:ascii="仿宋_GB2312" w:hAnsi="仿宋_GB2312" w:eastAsia="仿宋_GB2312" w:cs="仿宋_GB2312"/>
          <w:b w:val="0"/>
          <w:bCs w:val="0"/>
          <w:color w:val="auto"/>
          <w:sz w:val="32"/>
          <w:szCs w:val="32"/>
          <w:lang w:val="en-US" w:eastAsia="zh-CN"/>
        </w:rPr>
        <w:t>预算安排550.79万元，实际支出550.79万元，完成预算安排的100%。其中:</w:t>
      </w:r>
      <w:r>
        <w:rPr>
          <w:rFonts w:hint="eastAsia" w:ascii="仿宋_GB2312" w:hAnsi="仿宋_GB2312" w:eastAsia="仿宋_GB2312" w:cs="仿宋_GB2312"/>
          <w:color w:val="auto"/>
          <w:sz w:val="32"/>
          <w:szCs w:val="32"/>
          <w:highlight w:val="none"/>
          <w:lang w:val="en-US" w:eastAsia="zh-CN"/>
        </w:rPr>
        <w:t>人力资源和社会保障管理服务经费180.00万元，职称评审费0.99万元，劳动能力鉴定4.00万元，职业资格类考试运行支出30.38万元，国有资产管理运行费用3.67万元，公务员考试运行支出147.06万元，社保基金监管工作经费60.00万元，延迟退休专项改革工作经费20.00万元，市直事业单位编制招聘、三支一扶考试经费20.80万元，职业技能大赛经费39.62万元，怀化市政府特殊津贴人员一次性特殊津贴13.00万元，职业技能鉴定等考试运行支出0.26万元，高校毕业生“三支一扶计划补助资金”13.16万元，公益性岗位补贴和社保补贴12.45万元，建国初期退休干部医疗补贴5.40万元。</w:t>
      </w:r>
      <w:bookmarkEnd w:id="2"/>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firstLine="643" w:firstLineChars="200"/>
        <w:jc w:val="left"/>
        <w:textAlignment w:val="auto"/>
        <w:rPr>
          <w:rFonts w:ascii="Times New Roman" w:hAnsi="Times New Roman" w:eastAsia="黑体"/>
          <w:b/>
          <w:bCs/>
          <w:color w:val="auto"/>
          <w:sz w:val="32"/>
          <w:szCs w:val="32"/>
        </w:rPr>
      </w:pPr>
      <w:r>
        <w:rPr>
          <w:rFonts w:hint="eastAsia" w:ascii="Times New Roman" w:hAnsi="Times New Roman" w:eastAsia="黑体"/>
          <w:b/>
          <w:bCs/>
          <w:color w:val="auto"/>
          <w:sz w:val="32"/>
          <w:szCs w:val="32"/>
          <w:lang w:eastAsia="zh-CN"/>
        </w:rPr>
        <w:t>三、</w:t>
      </w:r>
      <w:r>
        <w:rPr>
          <w:rFonts w:ascii="Times New Roman" w:hAnsi="Times New Roman" w:eastAsia="黑体"/>
          <w:b/>
          <w:bCs/>
          <w:color w:val="auto"/>
          <w:sz w:val="32"/>
          <w:szCs w:val="32"/>
        </w:rPr>
        <w:t>政府性基金预算支出情况</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0" w:firstLine="640" w:firstLineChars="200"/>
        <w:jc w:val="left"/>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val="0"/>
          <w:bCs w:val="0"/>
          <w:color w:val="auto"/>
          <w:sz w:val="32"/>
          <w:szCs w:val="32"/>
          <w:highlight w:val="none"/>
          <w:lang w:eastAsia="zh-CN"/>
        </w:rPr>
        <w:t>2025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color w:val="auto"/>
          <w:sz w:val="32"/>
          <w:szCs w:val="32"/>
          <w:highlight w:val="none"/>
          <w:lang w:val="en-US" w:eastAsia="zh-CN"/>
        </w:rPr>
        <w:t>无</w:t>
      </w:r>
      <w:r>
        <w:rPr>
          <w:rFonts w:hint="eastAsia" w:ascii="仿宋_GB2312" w:hAnsi="仿宋_GB2312" w:eastAsia="仿宋_GB2312" w:cs="仿宋_GB2312"/>
          <w:b w:val="0"/>
          <w:bCs w:val="0"/>
          <w:color w:val="auto"/>
          <w:sz w:val="32"/>
          <w:szCs w:val="32"/>
          <w:highlight w:val="none"/>
          <w:lang w:eastAsia="zh-CN"/>
        </w:rPr>
        <w:t>政府性基金预算</w:t>
      </w:r>
      <w:r>
        <w:rPr>
          <w:rFonts w:hint="eastAsia" w:ascii="仿宋_GB2312" w:hAnsi="仿宋_GB2312" w:eastAsia="仿宋_GB2312" w:cs="仿宋_GB2312"/>
          <w:b w:val="0"/>
          <w:bCs w:val="0"/>
          <w:color w:val="auto"/>
          <w:sz w:val="32"/>
          <w:szCs w:val="32"/>
          <w:highlight w:val="none"/>
        </w:rPr>
        <w:t>支出</w:t>
      </w:r>
      <w:r>
        <w:rPr>
          <w:rFonts w:hint="eastAsia" w:ascii="仿宋_GB2312" w:hAnsi="仿宋_GB2312" w:eastAsia="仿宋_GB2312" w:cs="仿宋_GB2312"/>
          <w:b w:val="0"/>
          <w:bCs w:val="0"/>
          <w:color w:val="auto"/>
          <w:sz w:val="32"/>
          <w:szCs w:val="32"/>
          <w:highlight w:val="none"/>
          <w:lang w:eastAsia="zh-CN"/>
        </w:rPr>
        <w:t>。</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Chars="200" w:firstLine="321" w:firstLineChars="100"/>
        <w:jc w:val="left"/>
        <w:textAlignment w:val="auto"/>
        <w:rPr>
          <w:rFonts w:ascii="Times New Roman" w:hAnsi="Times New Roman" w:eastAsia="黑体"/>
          <w:b/>
          <w:bCs/>
          <w:color w:val="auto"/>
          <w:sz w:val="32"/>
          <w:szCs w:val="32"/>
        </w:rPr>
      </w:pPr>
      <w:r>
        <w:rPr>
          <w:rFonts w:hint="eastAsia" w:ascii="Times New Roman" w:hAnsi="Times New Roman" w:eastAsia="黑体"/>
          <w:b/>
          <w:bCs/>
          <w:color w:val="auto"/>
          <w:sz w:val="32"/>
          <w:szCs w:val="32"/>
          <w:lang w:eastAsia="zh-CN"/>
        </w:rPr>
        <w:t>四、</w:t>
      </w:r>
      <w:r>
        <w:rPr>
          <w:rFonts w:ascii="Times New Roman" w:hAnsi="Times New Roman" w:eastAsia="黑体"/>
          <w:b/>
          <w:bCs/>
          <w:color w:val="auto"/>
          <w:sz w:val="32"/>
          <w:szCs w:val="32"/>
        </w:rPr>
        <w:t>国有资本经营预算支出情况</w:t>
      </w:r>
    </w:p>
    <w:p>
      <w:pPr>
        <w:keepNext w:val="0"/>
        <w:keepLines w:val="0"/>
        <w:pageBreakBefore w:val="0"/>
        <w:widowControl w:val="0"/>
        <w:numPr>
          <w:ilvl w:val="0"/>
          <w:numId w:val="0"/>
        </w:numPr>
        <w:kinsoku/>
        <w:wordWrap/>
        <w:overflowPunct/>
        <w:topLinePunct w:val="0"/>
        <w:autoSpaceDE/>
        <w:autoSpaceDN/>
        <w:bidi w:val="0"/>
        <w:adjustRightInd/>
        <w:snapToGrid w:val="0"/>
        <w:spacing w:line="20" w:lineRule="atLeast"/>
        <w:ind w:lef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highlight w:val="none"/>
          <w:lang w:eastAsia="zh-CN"/>
        </w:rPr>
        <w:t>2025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color w:val="auto"/>
          <w:sz w:val="32"/>
          <w:szCs w:val="32"/>
          <w:highlight w:val="none"/>
          <w:lang w:val="en-US" w:eastAsia="zh-CN"/>
        </w:rPr>
        <w:t>无国有资本经营</w:t>
      </w:r>
      <w:r>
        <w:rPr>
          <w:rFonts w:hint="eastAsia" w:ascii="仿宋_GB2312" w:hAnsi="仿宋_GB2312" w:eastAsia="仿宋_GB2312" w:cs="仿宋_GB2312"/>
          <w:b w:val="0"/>
          <w:bCs w:val="0"/>
          <w:color w:val="auto"/>
          <w:sz w:val="32"/>
          <w:szCs w:val="32"/>
          <w:highlight w:val="none"/>
        </w:rPr>
        <w:t>预算</w:t>
      </w:r>
      <w:r>
        <w:rPr>
          <w:rFonts w:hint="eastAsia" w:ascii="仿宋_GB2312" w:hAnsi="仿宋_GB2312" w:eastAsia="仿宋_GB2312" w:cs="仿宋_GB2312"/>
          <w:b w:val="0"/>
          <w:bCs w:val="0"/>
          <w:color w:val="auto"/>
          <w:sz w:val="32"/>
          <w:szCs w:val="32"/>
          <w:highlight w:val="none"/>
          <w:lang w:val="en-US" w:eastAsia="zh-CN"/>
        </w:rPr>
        <w:t>支出</w:t>
      </w:r>
      <w:r>
        <w:rPr>
          <w:rFonts w:hint="eastAsia" w:ascii="仿宋_GB2312" w:hAnsi="仿宋_GB2312" w:eastAsia="仿宋_GB2312" w:cs="仿宋_GB2312"/>
          <w:b w:val="0"/>
          <w:bCs w:val="0"/>
          <w:color w:val="auto"/>
          <w:sz w:val="32"/>
          <w:szCs w:val="32"/>
          <w:highlight w:val="none"/>
          <w:lang w:eastAsia="zh-CN"/>
        </w:rPr>
        <w:t>。</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Chars="200" w:firstLine="321" w:firstLineChars="100"/>
        <w:jc w:val="left"/>
        <w:textAlignment w:val="auto"/>
        <w:rPr>
          <w:rFonts w:ascii="Times New Roman" w:hAnsi="Times New Roman" w:eastAsia="黑体"/>
          <w:b/>
          <w:bCs/>
          <w:color w:val="auto"/>
          <w:sz w:val="32"/>
          <w:szCs w:val="32"/>
        </w:rPr>
      </w:pPr>
      <w:r>
        <w:rPr>
          <w:rFonts w:hint="eastAsia" w:ascii="Times New Roman" w:hAnsi="Times New Roman" w:eastAsia="黑体"/>
          <w:b/>
          <w:bCs/>
          <w:color w:val="auto"/>
          <w:sz w:val="32"/>
          <w:szCs w:val="32"/>
          <w:lang w:eastAsia="zh-CN"/>
        </w:rPr>
        <w:t>五、</w:t>
      </w:r>
      <w:r>
        <w:rPr>
          <w:rFonts w:ascii="Times New Roman" w:hAnsi="Times New Roman" w:eastAsia="黑体"/>
          <w:b/>
          <w:bCs/>
          <w:color w:val="auto"/>
          <w:sz w:val="32"/>
          <w:szCs w:val="32"/>
        </w:rPr>
        <w:t>社会保险基金预算支出情况</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2025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color w:val="auto"/>
          <w:sz w:val="32"/>
          <w:szCs w:val="32"/>
          <w:highlight w:val="none"/>
          <w:lang w:val="en-US" w:eastAsia="zh-CN"/>
        </w:rPr>
        <w:t>无社会保险基金预算支出。</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Chars="200" w:firstLine="321" w:firstLineChars="100"/>
        <w:jc w:val="left"/>
        <w:textAlignment w:val="auto"/>
        <w:rPr>
          <w:rFonts w:ascii="Times New Roman" w:hAnsi="Times New Roman" w:eastAsia="黑体" w:cs="Times New Roman"/>
          <w:b/>
          <w:bCs/>
          <w:color w:val="auto"/>
          <w:sz w:val="32"/>
          <w:szCs w:val="32"/>
        </w:rPr>
      </w:pPr>
      <w:r>
        <w:rPr>
          <w:rFonts w:hint="eastAsia" w:ascii="Times New Roman" w:hAnsi="Times New Roman" w:eastAsia="黑体" w:cs="Times New Roman"/>
          <w:b/>
          <w:bCs/>
          <w:color w:val="auto"/>
          <w:sz w:val="32"/>
          <w:szCs w:val="32"/>
          <w:lang w:eastAsia="zh-CN"/>
        </w:rPr>
        <w:t>六、</w:t>
      </w:r>
      <w:r>
        <w:rPr>
          <w:rFonts w:ascii="Times New Roman" w:hAnsi="Times New Roman" w:eastAsia="黑体" w:cs="Times New Roman"/>
          <w:b/>
          <w:bCs/>
          <w:color w:val="auto"/>
          <w:sz w:val="32"/>
          <w:szCs w:val="32"/>
        </w:rPr>
        <w:t>其他资金预算支出情况</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0" w:firstLine="640" w:firstLineChars="20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eastAsia="zh-CN"/>
        </w:rPr>
        <w:t>2025</w:t>
      </w:r>
      <w:r>
        <w:rPr>
          <w:rFonts w:hint="eastAsia" w:ascii="仿宋_GB2312" w:hAnsi="仿宋_GB2312" w:eastAsia="仿宋_GB2312" w:cs="仿宋_GB2312"/>
          <w:b w:val="0"/>
          <w:bCs w:val="0"/>
          <w:color w:val="auto"/>
          <w:sz w:val="32"/>
          <w:szCs w:val="32"/>
          <w:highlight w:val="none"/>
        </w:rPr>
        <w:t>年度</w:t>
      </w:r>
      <w:r>
        <w:rPr>
          <w:rFonts w:hint="eastAsia" w:ascii="仿宋_GB2312" w:hAnsi="仿宋_GB2312" w:eastAsia="仿宋_GB2312" w:cs="仿宋_GB2312"/>
          <w:b w:val="0"/>
          <w:bCs w:val="0"/>
          <w:color w:val="auto"/>
          <w:sz w:val="32"/>
          <w:szCs w:val="32"/>
          <w:highlight w:val="none"/>
          <w:lang w:val="en-US" w:eastAsia="zh-CN"/>
        </w:rPr>
        <w:t>无其他资金预算支出。</w:t>
      </w:r>
    </w:p>
    <w:p>
      <w:pPr>
        <w:keepNext w:val="0"/>
        <w:keepLines w:val="0"/>
        <w:pageBreakBefore w:val="0"/>
        <w:widowControl w:val="0"/>
        <w:numPr>
          <w:ilvl w:val="0"/>
          <w:numId w:val="0"/>
        </w:numPr>
        <w:kinsoku/>
        <w:wordWrap/>
        <w:overflowPunct/>
        <w:topLinePunct w:val="0"/>
        <w:autoSpaceDE/>
        <w:autoSpaceDN/>
        <w:bidi w:val="0"/>
        <w:adjustRightInd/>
        <w:snapToGrid/>
        <w:spacing w:line="20" w:lineRule="atLeast"/>
        <w:ind w:leftChars="200" w:firstLine="321" w:firstLineChars="100"/>
        <w:jc w:val="left"/>
        <w:textAlignment w:val="auto"/>
        <w:rPr>
          <w:rFonts w:ascii="Times New Roman" w:hAnsi="Times New Roman" w:eastAsia="黑体"/>
          <w:b/>
          <w:bCs/>
          <w:color w:val="auto"/>
          <w:sz w:val="32"/>
          <w:szCs w:val="32"/>
        </w:rPr>
      </w:pPr>
      <w:bookmarkStart w:id="3" w:name="OLE_LINK8"/>
      <w:r>
        <w:rPr>
          <w:rFonts w:hint="eastAsia" w:eastAsia="黑体"/>
          <w:b/>
          <w:bCs/>
          <w:color w:val="auto"/>
          <w:sz w:val="32"/>
          <w:szCs w:val="32"/>
          <w:lang w:eastAsia="zh-CN"/>
        </w:rPr>
        <w:t>七、</w:t>
      </w:r>
      <w:r>
        <w:rPr>
          <w:rFonts w:ascii="Times New Roman" w:hAnsi="Times New Roman" w:eastAsia="黑体"/>
          <w:b/>
          <w:bCs/>
          <w:color w:val="auto"/>
          <w:sz w:val="32"/>
          <w:szCs w:val="32"/>
        </w:rPr>
        <w:t>部门整体支出绩效情况</w:t>
      </w:r>
    </w:p>
    <w:p>
      <w:pPr>
        <w:keepNext w:val="0"/>
        <w:keepLines w:val="0"/>
        <w:pageBreakBefore w:val="0"/>
        <w:widowControl w:val="0"/>
        <w:kinsoku/>
        <w:wordWrap/>
        <w:overflowPunct/>
        <w:topLinePunct w:val="0"/>
        <w:autoSpaceDE/>
        <w:autoSpaceDN/>
        <w:bidi w:val="0"/>
        <w:adjustRightInd/>
        <w:snapToGrid/>
        <w:spacing w:line="20" w:lineRule="atLeast"/>
        <w:ind w:left="0" w:firstLine="640" w:firstLineChars="200"/>
        <w:jc w:val="left"/>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w:t>
      </w: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预算支出绩效目标完成情况</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cs="仿宋"/>
          <w:color w:val="auto"/>
          <w:sz w:val="32"/>
          <w:szCs w:val="32"/>
        </w:rPr>
        <w:t xml:space="preserve"> </w:t>
      </w:r>
      <w:r>
        <w:rPr>
          <w:rFonts w:hint="eastAsia" w:ascii="仿宋_GB2312" w:hAnsi="仿宋_GB2312" w:eastAsia="仿宋_GB2312" w:cs="仿宋_GB2312"/>
          <w:color w:val="auto"/>
          <w:sz w:val="32"/>
          <w:szCs w:val="32"/>
          <w:lang w:val="en-US" w:eastAsia="zh-CN"/>
        </w:rPr>
        <w:t>2025年单位年初预算2073.14万元，全年预算2310.81万元，全年</w:t>
      </w:r>
      <w:r>
        <w:rPr>
          <w:rFonts w:hint="eastAsia" w:ascii="仿宋_GB2312" w:hAnsi="仿宋_GB2312" w:eastAsia="仿宋_GB2312" w:cs="仿宋_GB2312"/>
          <w:color w:val="auto"/>
          <w:sz w:val="32"/>
          <w:szCs w:val="32"/>
          <w:lang w:eastAsia="zh-CN"/>
        </w:rPr>
        <w:t>实际执行</w:t>
      </w:r>
      <w:r>
        <w:rPr>
          <w:rFonts w:hint="eastAsia" w:ascii="仿宋_GB2312" w:hAnsi="仿宋_GB2312" w:eastAsia="仿宋_GB2312" w:cs="仿宋_GB2312"/>
          <w:b w:val="0"/>
          <w:bCs w:val="0"/>
          <w:color w:val="333333"/>
          <w:sz w:val="32"/>
          <w:szCs w:val="32"/>
          <w:lang w:val="en-US" w:eastAsia="zh-CN"/>
        </w:rPr>
        <w:t>2124.26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执行率91.93%。</w:t>
      </w:r>
      <w:r>
        <w:rPr>
          <w:rFonts w:hint="eastAsia" w:ascii="仿宋_GB2312" w:hAnsi="仿宋_GB2312" w:eastAsia="仿宋_GB2312" w:cs="仿宋_GB2312"/>
          <w:color w:val="auto"/>
          <w:sz w:val="32"/>
          <w:szCs w:val="32"/>
        </w:rPr>
        <w:t>在人员经费合理分配、控制三公经费等方面执行良好，保障了</w:t>
      </w:r>
      <w:r>
        <w:rPr>
          <w:rFonts w:hint="eastAsia" w:ascii="仿宋_GB2312" w:hAnsi="仿宋_GB2312" w:eastAsia="仿宋_GB2312" w:cs="仿宋_GB2312"/>
          <w:color w:val="auto"/>
          <w:sz w:val="32"/>
          <w:szCs w:val="32"/>
          <w:lang w:val="en-US" w:eastAsia="zh-CN"/>
        </w:rPr>
        <w:t>单位</w:t>
      </w:r>
      <w:r>
        <w:rPr>
          <w:rFonts w:hint="eastAsia" w:ascii="仿宋_GB2312" w:hAnsi="仿宋_GB2312" w:eastAsia="仿宋_GB2312" w:cs="仿宋_GB2312"/>
          <w:color w:val="auto"/>
          <w:sz w:val="32"/>
          <w:szCs w:val="32"/>
        </w:rPr>
        <w:t>基本运行和项目开展。</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rPr>
        <w:t>产出和效益情况</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产出方面：基本支出控制在预算范围内，项目支出按计划执行。开展多场</w:t>
      </w:r>
      <w:r>
        <w:rPr>
          <w:rFonts w:hint="eastAsia" w:ascii="仿宋_GB2312" w:hAnsi="仿宋_GB2312" w:eastAsia="仿宋_GB2312" w:cs="仿宋_GB2312"/>
          <w:color w:val="auto"/>
          <w:sz w:val="32"/>
          <w:szCs w:val="32"/>
          <w:lang w:eastAsia="zh-CN"/>
        </w:rPr>
        <w:t>群体就业</w:t>
      </w:r>
      <w:r>
        <w:rPr>
          <w:rFonts w:hint="eastAsia" w:ascii="仿宋_GB2312" w:hAnsi="仿宋_GB2312" w:eastAsia="仿宋_GB2312" w:cs="仿宋_GB2312"/>
          <w:color w:val="auto"/>
          <w:sz w:val="32"/>
          <w:szCs w:val="32"/>
        </w:rPr>
        <w:t>活动，成果达标率高。</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效益方面：建立长效管理机制，推动</w:t>
      </w:r>
      <w:r>
        <w:rPr>
          <w:rFonts w:hint="eastAsia" w:ascii="仿宋_GB2312" w:hAnsi="仿宋_GB2312" w:eastAsia="仿宋_GB2312" w:cs="仿宋_GB2312"/>
          <w:color w:val="auto"/>
          <w:sz w:val="32"/>
          <w:szCs w:val="32"/>
          <w:lang w:val="en-US" w:eastAsia="zh-CN"/>
        </w:rPr>
        <w:t>人社事业</w:t>
      </w:r>
      <w:r>
        <w:rPr>
          <w:rFonts w:hint="eastAsia" w:ascii="仿宋_GB2312" w:hAnsi="仿宋_GB2312" w:eastAsia="仿宋_GB2312" w:cs="仿宋_GB2312"/>
          <w:color w:val="auto"/>
          <w:sz w:val="32"/>
          <w:szCs w:val="32"/>
        </w:rPr>
        <w:t>可持续发展。</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资产管理和业务开展情况</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资产管理：严格遵守规定，资产配置合理，确保资产安全完整，提高使用效率，为</w:t>
      </w:r>
      <w:r>
        <w:rPr>
          <w:rFonts w:hint="eastAsia" w:ascii="仿宋_GB2312" w:hAnsi="仿宋_GB2312" w:eastAsia="仿宋_GB2312" w:cs="仿宋_GB2312"/>
          <w:color w:val="auto"/>
          <w:sz w:val="32"/>
          <w:szCs w:val="32"/>
          <w:lang w:eastAsia="zh-CN"/>
        </w:rPr>
        <w:t>人社事业发展</w:t>
      </w:r>
      <w:r>
        <w:rPr>
          <w:rFonts w:hint="eastAsia" w:ascii="仿宋_GB2312" w:hAnsi="仿宋_GB2312" w:eastAsia="仿宋_GB2312" w:cs="仿宋_GB2312"/>
          <w:color w:val="auto"/>
          <w:sz w:val="32"/>
          <w:szCs w:val="32"/>
        </w:rPr>
        <w:t>提供保障。</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业务开展：围绕核心业务，</w:t>
      </w:r>
      <w:r>
        <w:rPr>
          <w:rFonts w:hint="eastAsia" w:ascii="仿宋_GB2312" w:hAnsi="仿宋_GB2312" w:eastAsia="仿宋_GB2312" w:cs="仿宋_GB2312"/>
          <w:color w:val="auto"/>
          <w:sz w:val="32"/>
          <w:szCs w:val="32"/>
          <w:lang w:eastAsia="zh-CN"/>
        </w:rPr>
        <w:t>保障人社事业高质量发展</w:t>
      </w:r>
      <w:r>
        <w:rPr>
          <w:rFonts w:hint="eastAsia" w:ascii="仿宋_GB2312" w:hAnsi="仿宋_GB2312" w:eastAsia="仿宋_GB2312" w:cs="仿宋_GB2312"/>
          <w:color w:val="auto"/>
          <w:sz w:val="32"/>
          <w:szCs w:val="32"/>
        </w:rPr>
        <w:t>，加强队伍建设，推进</w:t>
      </w:r>
      <w:r>
        <w:rPr>
          <w:rFonts w:hint="eastAsia" w:ascii="仿宋_GB2312" w:hAnsi="仿宋_GB2312" w:eastAsia="仿宋_GB2312" w:cs="仿宋_GB2312"/>
          <w:color w:val="auto"/>
          <w:sz w:val="32"/>
          <w:szCs w:val="32"/>
          <w:lang w:eastAsia="zh-CN"/>
        </w:rPr>
        <w:t>人社</w:t>
      </w:r>
      <w:r>
        <w:rPr>
          <w:rFonts w:hint="eastAsia" w:ascii="仿宋_GB2312" w:hAnsi="仿宋_GB2312" w:eastAsia="仿宋_GB2312" w:cs="仿宋_GB2312"/>
          <w:color w:val="auto"/>
          <w:sz w:val="32"/>
          <w:szCs w:val="32"/>
        </w:rPr>
        <w:t>服务，提升综合竞争力。</w:t>
      </w:r>
    </w:p>
    <w:p>
      <w:pPr>
        <w:keepNext w:val="0"/>
        <w:keepLines w:val="0"/>
        <w:pageBreakBefore w:val="0"/>
        <w:numPr>
          <w:ilvl w:val="0"/>
          <w:numId w:val="0"/>
        </w:numPr>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z w:val="32"/>
          <w:szCs w:val="32"/>
        </w:rPr>
        <w:t>整体及核心业务实施效果</w:t>
      </w:r>
    </w:p>
    <w:p>
      <w:pPr>
        <w:pStyle w:val="6"/>
        <w:keepNext w:val="0"/>
        <w:keepLines w:val="0"/>
        <w:pageBreakBefore w:val="0"/>
        <w:numPr>
          <w:ilvl w:val="0"/>
          <w:numId w:val="0"/>
        </w:numPr>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运行成本：基本支出和项目支出均控制在预算内，成本控制良好，资金使用合理高效。</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管理效率：人员经费及公用经费预算控制率100%，工作管理及时，各项业务有序开展，管理效率较高。</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履职效能：完成多项任务指标，保障</w:t>
      </w:r>
      <w:r>
        <w:rPr>
          <w:rFonts w:hint="eastAsia" w:ascii="仿宋_GB2312" w:hAnsi="仿宋_GB2312" w:eastAsia="仿宋_GB2312" w:cs="仿宋_GB2312"/>
          <w:color w:val="auto"/>
          <w:sz w:val="32"/>
          <w:szCs w:val="32"/>
          <w:lang w:eastAsia="zh-CN"/>
        </w:rPr>
        <w:t>人社事业</w:t>
      </w:r>
      <w:r>
        <w:rPr>
          <w:rFonts w:hint="eastAsia" w:ascii="仿宋_GB2312" w:hAnsi="仿宋_GB2312" w:eastAsia="仿宋_GB2312" w:cs="仿宋_GB2312"/>
          <w:color w:val="auto"/>
          <w:sz w:val="32"/>
          <w:szCs w:val="32"/>
        </w:rPr>
        <w:t>正常运行，提升</w:t>
      </w:r>
      <w:r>
        <w:rPr>
          <w:rFonts w:hint="eastAsia" w:ascii="仿宋_GB2312" w:hAnsi="仿宋_GB2312" w:eastAsia="仿宋_GB2312" w:cs="仿宋_GB2312"/>
          <w:color w:val="auto"/>
          <w:sz w:val="32"/>
          <w:szCs w:val="32"/>
          <w:lang w:eastAsia="zh-CN"/>
        </w:rPr>
        <w:t>人社事业</w:t>
      </w:r>
      <w:r>
        <w:rPr>
          <w:rFonts w:hint="eastAsia" w:ascii="仿宋_GB2312" w:hAnsi="仿宋_GB2312" w:eastAsia="仿宋_GB2312" w:cs="仿宋_GB2312"/>
          <w:color w:val="auto"/>
          <w:sz w:val="32"/>
          <w:szCs w:val="32"/>
        </w:rPr>
        <w:t>质量和社会影响力。</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社会效应：产生积极社会影响，提升社会认可度。</w:t>
      </w:r>
    </w:p>
    <w:p>
      <w:pPr>
        <w:pStyle w:val="6"/>
        <w:keepNext w:val="0"/>
        <w:keepLines w:val="0"/>
        <w:pageBreakBefore w:val="0"/>
        <w:kinsoku/>
        <w:wordWrap/>
        <w:overflowPunct/>
        <w:topLinePunct w:val="0"/>
        <w:autoSpaceDE/>
        <w:autoSpaceDN/>
        <w:bidi w:val="0"/>
        <w:adjustRightInd/>
        <w:spacing w:before="0" w:beforeLines="0"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可持续发展能力：提升</w:t>
      </w:r>
      <w:r>
        <w:rPr>
          <w:rFonts w:hint="eastAsia" w:ascii="仿宋_GB2312" w:hAnsi="仿宋_GB2312" w:eastAsia="仿宋_GB2312" w:cs="仿宋_GB2312"/>
          <w:color w:val="auto"/>
          <w:sz w:val="32"/>
          <w:szCs w:val="32"/>
          <w:lang w:val="en-US" w:eastAsia="zh-CN"/>
        </w:rPr>
        <w:t>业务</w:t>
      </w:r>
      <w:r>
        <w:rPr>
          <w:rFonts w:hint="eastAsia" w:ascii="仿宋_GB2312" w:hAnsi="仿宋_GB2312" w:eastAsia="仿宋_GB2312" w:cs="仿宋_GB2312"/>
          <w:color w:val="auto"/>
          <w:sz w:val="32"/>
          <w:szCs w:val="32"/>
        </w:rPr>
        <w:t>能力，优化专业设置，加强队伍建设，为长期发展奠定基础。</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服务对象满意度：</w:t>
      </w:r>
      <w:r>
        <w:rPr>
          <w:rFonts w:hint="eastAsia" w:ascii="仿宋_GB2312" w:hAnsi="仿宋_GB2312" w:eastAsia="仿宋_GB2312" w:cs="仿宋_GB2312"/>
          <w:color w:val="auto"/>
          <w:sz w:val="32"/>
          <w:szCs w:val="32"/>
          <w:lang w:val="en-US" w:eastAsia="zh-CN"/>
        </w:rPr>
        <w:t>社会</w:t>
      </w:r>
      <w:r>
        <w:rPr>
          <w:rFonts w:hint="eastAsia" w:ascii="仿宋_GB2312" w:hAnsi="仿宋_GB2312" w:eastAsia="仿宋_GB2312" w:cs="仿宋_GB2312"/>
          <w:color w:val="auto"/>
          <w:sz w:val="32"/>
          <w:szCs w:val="32"/>
        </w:rPr>
        <w:t>满意度高，服务质量获广泛认可。</w:t>
      </w:r>
    </w:p>
    <w:p>
      <w:pPr>
        <w:keepNext w:val="0"/>
        <w:keepLines w:val="0"/>
        <w:pageBreakBefore w:val="0"/>
        <w:kinsoku/>
        <w:wordWrap/>
        <w:overflowPunct/>
        <w:topLinePunct w:val="0"/>
        <w:autoSpaceDE/>
        <w:autoSpaceDN/>
        <w:bidi w:val="0"/>
        <w:adjustRightInd/>
        <w:spacing w:line="20" w:lineRule="atLeast"/>
        <w:ind w:left="0" w:firstLine="643" w:firstLineChars="200"/>
        <w:textAlignment w:val="auto"/>
        <w:rPr>
          <w:rFonts w:ascii="Times New Roman" w:hAnsi="Times New Roman" w:eastAsia="黑体"/>
          <w:b/>
          <w:bCs/>
          <w:color w:val="auto"/>
          <w:sz w:val="32"/>
          <w:szCs w:val="32"/>
        </w:rPr>
      </w:pPr>
      <w:r>
        <w:rPr>
          <w:rFonts w:hint="eastAsia" w:eastAsia="黑体"/>
          <w:b/>
          <w:bCs/>
          <w:color w:val="auto"/>
          <w:sz w:val="32"/>
          <w:szCs w:val="32"/>
          <w:lang w:eastAsia="zh-CN"/>
        </w:rPr>
        <w:t>八、</w:t>
      </w:r>
      <w:r>
        <w:rPr>
          <w:rFonts w:ascii="Times New Roman" w:hAnsi="Times New Roman" w:eastAsia="黑体"/>
          <w:b/>
          <w:bCs/>
          <w:color w:val="auto"/>
          <w:sz w:val="32"/>
          <w:szCs w:val="32"/>
        </w:rPr>
        <w:t>存在的问题及原因分析</w:t>
      </w:r>
    </w:p>
    <w:bookmarkEnd w:id="3"/>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1、预算执行过程中，部分项目重预算申报，轻预算分析，预算执行动态管理有待加强，未对绩效目标实现程度和预算执行进度实行“双监控”，没有及时发现预算执行过程中偏离绩效目标的情况。</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2、财务及采购管理存在短板。采购预算编制不精准，额度与需求测算不合理，与实际采购脱节。</w:t>
      </w:r>
    </w:p>
    <w:p>
      <w:pPr>
        <w:numPr>
          <w:ilvl w:val="0"/>
          <w:numId w:val="0"/>
        </w:numPr>
        <w:ind w:firstLine="643" w:firstLineChars="200"/>
        <w:jc w:val="both"/>
        <w:rPr>
          <w:rFonts w:hint="eastAsia" w:asciiTheme="minorEastAsia" w:hAnsiTheme="minorEastAsia" w:cstheme="minorEastAsia"/>
          <w:b/>
          <w:bCs/>
          <w:sz w:val="30"/>
          <w:szCs w:val="30"/>
          <w:lang w:val="en-US" w:eastAsia="zh-CN"/>
        </w:rPr>
      </w:pPr>
      <w:r>
        <w:rPr>
          <w:rFonts w:hint="eastAsia" w:ascii="黑体" w:hAnsi="黑体" w:eastAsia="黑体" w:cs="黑体"/>
          <w:b/>
          <w:bCs/>
          <w:sz w:val="32"/>
          <w:szCs w:val="32"/>
          <w:lang w:val="en-US" w:eastAsia="zh-CN"/>
        </w:rPr>
        <w:t>九、下一步改进措施</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en" w:eastAsia="zh-CN"/>
        </w:rPr>
        <w:t>对预算资金绩效运行进行监控，明确监控职责，对绩效目标实现程度和预算执行进度实行实时监管，发现问题要分析原因并及时纠正，及时对预算执行过程中的偏离进行调整。</w:t>
      </w:r>
    </w:p>
    <w:p>
      <w:pPr>
        <w:keepNext w:val="0"/>
        <w:keepLines w:val="0"/>
        <w:pageBreakBefore w:val="0"/>
        <w:kinsoku/>
        <w:wordWrap/>
        <w:overflowPunct/>
        <w:topLinePunct w:val="0"/>
        <w:autoSpaceDE/>
        <w:autoSpaceDN/>
        <w:bidi w:val="0"/>
        <w:adjustRightInd/>
        <w:spacing w:line="20" w:lineRule="atLeast"/>
        <w:ind w:left="0" w:firstLine="640" w:firstLineChars="200"/>
        <w:textAlignment w:val="auto"/>
        <w:rPr>
          <w:rFonts w:hint="eastAsia" w:ascii="仿宋" w:hAnsi="仿宋" w:eastAsia="仿宋" w:cs="仿宋"/>
          <w:color w:val="auto"/>
          <w:sz w:val="32"/>
          <w:szCs w:val="32"/>
          <w:lang w:val="en-US" w:eastAsia="zh-CN"/>
        </w:rPr>
      </w:pPr>
      <w:r>
        <w:rPr>
          <w:rFonts w:hint="eastAsia" w:ascii="仿宋_GB2312" w:hAnsi="仿宋_GB2312" w:eastAsia="仿宋_GB2312" w:cs="仿宋_GB2312"/>
          <w:color w:val="auto"/>
          <w:sz w:val="32"/>
          <w:szCs w:val="32"/>
          <w:lang w:val="en-US" w:eastAsia="zh-CN"/>
        </w:rPr>
        <w:t>2、精确经费支付进度，优化审批流程，为预算执行创造有利条件，推动经费规范、高效使用，助力人社事业高质量发展。</w:t>
      </w:r>
    </w:p>
    <w:p>
      <w:pPr>
        <w:keepNext w:val="0"/>
        <w:keepLines w:val="0"/>
        <w:pageBreakBefore w:val="0"/>
        <w:widowControl w:val="0"/>
        <w:kinsoku/>
        <w:wordWrap/>
        <w:overflowPunct/>
        <w:topLinePunct w:val="0"/>
        <w:autoSpaceDE/>
        <w:autoSpaceDN/>
        <w:bidi w:val="0"/>
        <w:adjustRightInd/>
        <w:snapToGrid/>
        <w:spacing w:line="20" w:lineRule="atLeast"/>
        <w:ind w:left="0" w:firstLine="643" w:firstLineChars="200"/>
        <w:jc w:val="left"/>
        <w:textAlignment w:val="auto"/>
        <w:rPr>
          <w:rFonts w:ascii="Times New Roman" w:hAnsi="Times New Roman" w:eastAsia="黑体"/>
          <w:b/>
          <w:bCs/>
          <w:color w:val="auto"/>
          <w:sz w:val="32"/>
          <w:szCs w:val="32"/>
        </w:rPr>
      </w:pPr>
      <w:r>
        <w:rPr>
          <w:rFonts w:hint="eastAsia" w:eastAsia="黑体"/>
          <w:b/>
          <w:bCs/>
          <w:color w:val="auto"/>
          <w:sz w:val="32"/>
          <w:szCs w:val="32"/>
          <w:lang w:eastAsia="zh-CN"/>
        </w:rPr>
        <w:t>十、</w:t>
      </w:r>
      <w:r>
        <w:rPr>
          <w:rFonts w:ascii="黑体" w:hAnsi="黑体" w:eastAsia="黑体" w:cs="黑体"/>
          <w:b/>
          <w:bCs/>
          <w:spacing w:val="0"/>
          <w:sz w:val="32"/>
          <w:szCs w:val="32"/>
        </w:rPr>
        <w:t>部门整体支出绩效自评结果拟应用和公开情况其他需要说明的情况</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val="0"/>
          <w:color w:val="333333"/>
          <w:sz w:val="32"/>
          <w:szCs w:val="32"/>
          <w:lang w:val="en" w:eastAsia="zh-CN"/>
        </w:rPr>
      </w:pPr>
      <w:r>
        <w:rPr>
          <w:rFonts w:hint="eastAsia" w:ascii="仿宋_GB2312" w:hAnsi="仿宋_GB2312" w:eastAsia="仿宋_GB2312" w:cs="仿宋_GB2312"/>
          <w:b w:val="0"/>
          <w:bCs w:val="0"/>
          <w:color w:val="333333"/>
          <w:sz w:val="32"/>
          <w:szCs w:val="32"/>
          <w:lang w:val="en" w:eastAsia="zh-CN"/>
        </w:rPr>
        <w:t>我单位逐步建立绩效评价与部门预算相结合的结果应用机制，采取项目预期绩效目标申报制度，强化评价结果在部门预算编制和执行中的应用，实现绩效评价结果在部门预算编制和执行中的应用，促进财政资金的合理分配与有效使用。及时在政府门户网站公开绩效自评的相关信息，数据真实、完整、准确。</w:t>
      </w:r>
    </w:p>
    <w:p>
      <w:pPr>
        <w:pStyle w:val="16"/>
        <w:spacing w:line="600" w:lineRule="exact"/>
        <w:ind w:firstLine="640" w:firstLineChars="200"/>
        <w:rPr>
          <w:rFonts w:ascii="Times New Roman" w:hAnsi="Times New Roman" w:eastAsia="仿宋_GB2312" w:cs="Times New Roman"/>
          <w:sz w:val="32"/>
          <w:szCs w:val="32"/>
        </w:rPr>
      </w:pPr>
    </w:p>
    <w:p>
      <w:pPr>
        <w:pStyle w:val="16"/>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134" w:bottom="1417"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00007A87" w:usb1="80000000" w:usb2="00000008" w:usb3="00000000" w:csb0="400001FF" w:csb1="FFFF0000"/>
  </w:font>
  <w:font w:name="宋体">
    <w:panose1 w:val="02010600030101010101"/>
    <w:charset w:val="50"/>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仿宋">
    <w:altName w:val="Arial Unicode MS"/>
    <w:panose1 w:val="02010609060101010101"/>
    <w:charset w:val="86"/>
    <w:family w:val="auto"/>
    <w:pitch w:val="default"/>
    <w:sig w:usb0="00000000" w:usb1="00000000" w:usb2="00000000" w:usb3="00000000" w:csb0="00000000" w:csb1="00000000"/>
  </w:font>
  <w:font w:name="方正小标宋简体">
    <w:altName w:val="Arial Unicode MS"/>
    <w:panose1 w:val="02010600010101010101"/>
    <w:charset w:val="86"/>
    <w:family w:val="auto"/>
    <w:pitch w:val="default"/>
    <w:sig w:usb0="00000000" w:usb1="00000000" w:usb2="00000000" w:usb3="00000000" w:csb0="00000000" w:csb1="00000000"/>
  </w:font>
  <w:font w:name="方正小标宋_GBK">
    <w:altName w:val="Arial Unicode MS"/>
    <w:panose1 w:val="02000000000000000000"/>
    <w:charset w:val="86"/>
    <w:family w:val="script"/>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微软雅黑">
    <w:altName w:val="黑体"/>
    <w:panose1 w:val="020B0503020204020204"/>
    <w:charset w:val="86"/>
    <w:family w:val="auto"/>
    <w:pitch w:val="default"/>
    <w:sig w:usb0="00000000" w:usb1="00000000" w:usb2="00000000" w:usb3="00000000" w:csb0="00000000" w:csb1="00000000"/>
  </w:font>
  <w:font w:name="Segoe UI">
    <w:altName w:val="NumberOnly"/>
    <w:panose1 w:val="020B0502040204020203"/>
    <w:charset w:val="00"/>
    <w:family w:val="swiss"/>
    <w:pitch w:val="default"/>
    <w:sig w:usb0="00000000" w:usb1="00000000"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NumberOnly">
    <w:panose1 w:val="020B0500000000000000"/>
    <w:charset w:val="00"/>
    <w:family w:val="auto"/>
    <w:pitch w:val="default"/>
    <w:sig w:usb0="8000002F" w:usb1="10000048" w:usb2="00000000" w:usb3="00000000" w:csb0="0000011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404D45"/>
    <w:multiLevelType w:val="singleLevel"/>
    <w:tmpl w:val="85404D45"/>
    <w:lvl w:ilvl="0" w:tentative="0">
      <w:start w:val="1"/>
      <w:numFmt w:val="decimal"/>
      <w:suff w:val="nothing"/>
      <w:lvlText w:val="%1、"/>
      <w:lvlJc w:val="left"/>
    </w:lvl>
  </w:abstractNum>
  <w:abstractNum w:abstractNumId="1">
    <w:nsid w:val="9C8B2832"/>
    <w:multiLevelType w:val="singleLevel"/>
    <w:tmpl w:val="9C8B2832"/>
    <w:lvl w:ilvl="0" w:tentative="0">
      <w:start w:val="2"/>
      <w:numFmt w:val="chineseCounting"/>
      <w:suff w:val="nothing"/>
      <w:lvlText w:val="%1、"/>
      <w:lvlJc w:val="left"/>
      <w:rPr>
        <w:rFonts w:hint="eastAsia"/>
      </w:rPr>
    </w:lvl>
  </w:abstractNum>
  <w:abstractNum w:abstractNumId="2">
    <w:nsid w:val="A250A0A6"/>
    <w:multiLevelType w:val="singleLevel"/>
    <w:tmpl w:val="A250A0A6"/>
    <w:lvl w:ilvl="0" w:tentative="0">
      <w:start w:val="2"/>
      <w:numFmt w:val="chineseCounting"/>
      <w:suff w:val="nothing"/>
      <w:lvlText w:val="%1、"/>
      <w:lvlJc w:val="left"/>
      <w:rPr>
        <w:rFonts w:hint="eastAsia"/>
      </w:rPr>
    </w:lvl>
  </w:abstractNum>
  <w:abstractNum w:abstractNumId="3">
    <w:nsid w:val="BC47C0A9"/>
    <w:multiLevelType w:val="singleLevel"/>
    <w:tmpl w:val="BC47C0A9"/>
    <w:lvl w:ilvl="0" w:tentative="0">
      <w:start w:val="7"/>
      <w:numFmt w:val="decimal"/>
      <w:suff w:val="nothing"/>
      <w:lvlText w:val="%1、"/>
      <w:lvlJc w:val="left"/>
      <w:pPr>
        <w:ind w:left="640" w:leftChars="0" w:firstLine="0" w:firstLineChars="0"/>
      </w:pPr>
    </w:lvl>
  </w:abstractNum>
  <w:abstractNum w:abstractNumId="4">
    <w:nsid w:val="CDA06E4C"/>
    <w:multiLevelType w:val="singleLevel"/>
    <w:tmpl w:val="CDA06E4C"/>
    <w:lvl w:ilvl="0" w:tentative="0">
      <w:start w:val="4"/>
      <w:numFmt w:val="decimal"/>
      <w:suff w:val="nothing"/>
      <w:lvlText w:val="%1、"/>
      <w:lvlJc w:val="left"/>
      <w:pPr>
        <w:ind w:left="640" w:leftChars="0" w:firstLine="0" w:firstLineChars="0"/>
      </w:pPr>
    </w:lvl>
  </w:abstractNum>
  <w:abstractNum w:abstractNumId="5">
    <w:nsid w:val="E381D965"/>
    <w:multiLevelType w:val="singleLevel"/>
    <w:tmpl w:val="E381D965"/>
    <w:lvl w:ilvl="0" w:tentative="0">
      <w:start w:val="3"/>
      <w:numFmt w:val="chineseCounting"/>
      <w:suff w:val="nothing"/>
      <w:lvlText w:val="（%1）"/>
      <w:lvlJc w:val="left"/>
      <w:rPr>
        <w:rFonts w:hint="eastAsia"/>
      </w:rPr>
    </w:lvl>
  </w:abstractNum>
  <w:abstractNum w:abstractNumId="6">
    <w:nsid w:val="27D8B386"/>
    <w:multiLevelType w:val="singleLevel"/>
    <w:tmpl w:val="27D8B386"/>
    <w:lvl w:ilvl="0" w:tentative="0">
      <w:start w:val="7"/>
      <w:numFmt w:val="chineseCounting"/>
      <w:suff w:val="nothing"/>
      <w:lvlText w:val="%1、"/>
      <w:lvlJc w:val="left"/>
      <w:rPr>
        <w:rFonts w:hint="eastAsia"/>
      </w:rPr>
    </w:lvl>
  </w:abstractNum>
  <w:num w:numId="1">
    <w:abstractNumId w:val="1"/>
  </w:num>
  <w:num w:numId="2">
    <w:abstractNumId w:val="4"/>
  </w:num>
  <w:num w:numId="3">
    <w:abstractNumId w:val="3"/>
  </w:num>
  <w:num w:numId="4">
    <w:abstractNumId w:val="6"/>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3EC0"/>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54F4"/>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D0CE5"/>
    <w:rsid w:val="02FF2C19"/>
    <w:rsid w:val="05B33A7F"/>
    <w:rsid w:val="06E44974"/>
    <w:rsid w:val="08897336"/>
    <w:rsid w:val="09275A3A"/>
    <w:rsid w:val="0AD74A8B"/>
    <w:rsid w:val="0EF56974"/>
    <w:rsid w:val="113630B3"/>
    <w:rsid w:val="1169189C"/>
    <w:rsid w:val="139709BA"/>
    <w:rsid w:val="13A72046"/>
    <w:rsid w:val="15557DC2"/>
    <w:rsid w:val="189B2CA3"/>
    <w:rsid w:val="195B0991"/>
    <w:rsid w:val="1D97DEFF"/>
    <w:rsid w:val="1DFF72E5"/>
    <w:rsid w:val="1EFC6F07"/>
    <w:rsid w:val="1F902A3C"/>
    <w:rsid w:val="21E52689"/>
    <w:rsid w:val="248B0C3A"/>
    <w:rsid w:val="248D6BCF"/>
    <w:rsid w:val="26244289"/>
    <w:rsid w:val="2A0717A5"/>
    <w:rsid w:val="2CD47EE0"/>
    <w:rsid w:val="2D522C82"/>
    <w:rsid w:val="2EB422B5"/>
    <w:rsid w:val="2F0E4293"/>
    <w:rsid w:val="2FDF85B8"/>
    <w:rsid w:val="2FFFEE04"/>
    <w:rsid w:val="30A20A99"/>
    <w:rsid w:val="31FE6AA8"/>
    <w:rsid w:val="34DF85B0"/>
    <w:rsid w:val="35693DF2"/>
    <w:rsid w:val="367867EE"/>
    <w:rsid w:val="37CF523F"/>
    <w:rsid w:val="3B8F36BC"/>
    <w:rsid w:val="3F786141"/>
    <w:rsid w:val="406B38BF"/>
    <w:rsid w:val="428639AF"/>
    <w:rsid w:val="48795E68"/>
    <w:rsid w:val="491FF225"/>
    <w:rsid w:val="4A211A34"/>
    <w:rsid w:val="4C4F0E5A"/>
    <w:rsid w:val="4C7D39FA"/>
    <w:rsid w:val="4CCC47C2"/>
    <w:rsid w:val="4E4603C3"/>
    <w:rsid w:val="4F492FC8"/>
    <w:rsid w:val="4FCF6CF3"/>
    <w:rsid w:val="4FFD214C"/>
    <w:rsid w:val="532057D8"/>
    <w:rsid w:val="538F35C7"/>
    <w:rsid w:val="55947E1F"/>
    <w:rsid w:val="5777D4F5"/>
    <w:rsid w:val="59DD8326"/>
    <w:rsid w:val="5A9472C8"/>
    <w:rsid w:val="5B7E69A2"/>
    <w:rsid w:val="5C0C41C6"/>
    <w:rsid w:val="5DEF592A"/>
    <w:rsid w:val="5E3C356E"/>
    <w:rsid w:val="5FC6BB1E"/>
    <w:rsid w:val="5FF720F1"/>
    <w:rsid w:val="64E274E3"/>
    <w:rsid w:val="64FF5856"/>
    <w:rsid w:val="650D5BDD"/>
    <w:rsid w:val="66ED41A8"/>
    <w:rsid w:val="67FF5C0B"/>
    <w:rsid w:val="6EFC0924"/>
    <w:rsid w:val="6FB74722"/>
    <w:rsid w:val="6FEF8B7E"/>
    <w:rsid w:val="704774AF"/>
    <w:rsid w:val="70D373B0"/>
    <w:rsid w:val="71A6591B"/>
    <w:rsid w:val="737D59BA"/>
    <w:rsid w:val="772A0E0B"/>
    <w:rsid w:val="773A0B3A"/>
    <w:rsid w:val="77C37683"/>
    <w:rsid w:val="78454F5D"/>
    <w:rsid w:val="78AD0C4B"/>
    <w:rsid w:val="795D269F"/>
    <w:rsid w:val="79D19834"/>
    <w:rsid w:val="79FF515B"/>
    <w:rsid w:val="7A5C0ADB"/>
    <w:rsid w:val="7B073854"/>
    <w:rsid w:val="7B7529D6"/>
    <w:rsid w:val="7BF549BF"/>
    <w:rsid w:val="7E3A3D1D"/>
    <w:rsid w:val="7E9E1962"/>
    <w:rsid w:val="7E9F11B4"/>
    <w:rsid w:val="7F37EC1E"/>
    <w:rsid w:val="7F441B2C"/>
    <w:rsid w:val="7F7DCD9D"/>
    <w:rsid w:val="7F970A6F"/>
    <w:rsid w:val="7FC1FFF3"/>
    <w:rsid w:val="7FC69637"/>
    <w:rsid w:val="7FC950D2"/>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99"/>
    <w:pPr>
      <w:ind w:firstLine="420" w:firstLineChars="200"/>
    </w:pPr>
  </w:style>
  <w:style w:type="paragraph" w:styleId="6">
    <w:name w:val="toa heading"/>
    <w:basedOn w:val="1"/>
    <w:next w:val="1"/>
    <w:qFormat/>
    <w:uiPriority w:val="0"/>
    <w:pPr>
      <w:spacing w:before="120" w:beforeLines="0"/>
    </w:pPr>
    <w:rPr>
      <w:rFonts w:ascii="Cambria" w:hAnsi="Cambria"/>
      <w:sz w:val="24"/>
      <w:szCs w:val="24"/>
    </w:rPr>
  </w:style>
  <w:style w:type="paragraph" w:styleId="7">
    <w:name w:val="Body Text"/>
    <w:basedOn w:val="1"/>
    <w:semiHidden/>
    <w:qFormat/>
    <w:uiPriority w:val="0"/>
    <w:rPr>
      <w:rFonts w:ascii="仿宋" w:hAnsi="仿宋" w:eastAsia="仿宋" w:cs="仿宋"/>
      <w:sz w:val="31"/>
      <w:szCs w:val="31"/>
      <w:lang w:val="en-US" w:eastAsia="en-US" w:bidi="ar-SA"/>
    </w:rPr>
  </w:style>
  <w:style w:type="paragraph" w:styleId="8">
    <w:name w:val="Balloon Text"/>
    <w:basedOn w:val="1"/>
    <w:link w:val="18"/>
    <w:semiHidden/>
    <w:unhideWhenUsed/>
    <w:qFormat/>
    <w:uiPriority w:val="99"/>
    <w:rPr>
      <w:sz w:val="18"/>
      <w:szCs w:val="18"/>
    </w:rPr>
  </w:style>
  <w:style w:type="paragraph" w:styleId="9">
    <w:name w:val="footer"/>
    <w:basedOn w:val="1"/>
    <w:link w:val="15"/>
    <w:unhideWhenUsed/>
    <w:qFormat/>
    <w:uiPriority w:val="99"/>
    <w:pPr>
      <w:tabs>
        <w:tab w:val="center" w:pos="4153"/>
        <w:tab w:val="right" w:pos="8306"/>
      </w:tabs>
      <w:snapToGrid w:val="0"/>
      <w:jc w:val="left"/>
    </w:pPr>
    <w:rPr>
      <w:sz w:val="18"/>
      <w:szCs w:val="18"/>
    </w:rPr>
  </w:style>
  <w:style w:type="paragraph" w:styleId="10">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spacing w:before="100" w:beforeAutospacing="1" w:after="100" w:afterAutospacing="1"/>
    </w:pPr>
  </w:style>
  <w:style w:type="character" w:customStyle="1" w:styleId="14">
    <w:name w:val="页眉 Char"/>
    <w:basedOn w:val="13"/>
    <w:link w:val="10"/>
    <w:qFormat/>
    <w:uiPriority w:val="99"/>
    <w:rPr>
      <w:sz w:val="18"/>
      <w:szCs w:val="18"/>
    </w:rPr>
  </w:style>
  <w:style w:type="character" w:customStyle="1" w:styleId="15">
    <w:name w:val="页脚 Char"/>
    <w:basedOn w:val="13"/>
    <w:link w:val="9"/>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8"/>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1463</Words>
  <Characters>8342</Characters>
  <Lines>69</Lines>
  <Paragraphs>19</Paragraphs>
  <TotalTime>0</TotalTime>
  <ScaleCrop>false</ScaleCrop>
  <LinksUpToDate>false</LinksUpToDate>
  <CharactersWithSpaces>9786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2026-09-23T01:42:24Z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4F0B27C0AAC35EFA9177686ADDD5E058</vt:lpwstr>
  </property>
</Properties>
</file>