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AB553">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C9C4A23">
      <w:pPr>
        <w:pStyle w:val="14"/>
        <w:jc w:val="center"/>
        <w:rPr>
          <w:rFonts w:ascii="Times New Roman" w:hAnsi="Times New Roman" w:cs="Times New Roman"/>
          <w:sz w:val="56"/>
          <w:szCs w:val="56"/>
        </w:rPr>
      </w:pPr>
    </w:p>
    <w:p w14:paraId="421D1C6A">
      <w:pPr>
        <w:pStyle w:val="14"/>
        <w:jc w:val="center"/>
        <w:rPr>
          <w:rFonts w:ascii="Times New Roman" w:hAnsi="Times New Roman" w:cs="Times New Roman"/>
          <w:sz w:val="84"/>
          <w:szCs w:val="84"/>
        </w:rPr>
      </w:pPr>
    </w:p>
    <w:p w14:paraId="271CEBE9">
      <w:pPr>
        <w:pStyle w:val="14"/>
        <w:jc w:val="center"/>
        <w:rPr>
          <w:rFonts w:ascii="Times New Roman" w:hAnsi="Times New Roman" w:cs="Times New Roman"/>
          <w:sz w:val="84"/>
          <w:szCs w:val="84"/>
        </w:rPr>
      </w:pPr>
    </w:p>
    <w:p w14:paraId="2FA33A85">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7D4E588">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怀化市劳动人事争议仲裁院</w:t>
      </w:r>
      <w:r>
        <w:rPr>
          <w:rFonts w:ascii="Times New Roman" w:hAnsi="Times New Roman" w:eastAsia="方正小标宋简体" w:cs="Times New Roman"/>
          <w:sz w:val="72"/>
          <w:szCs w:val="72"/>
        </w:rPr>
        <w:t>部门决算</w:t>
      </w:r>
    </w:p>
    <w:p w14:paraId="22CDA522">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65C860F">
      <w:pPr>
        <w:pStyle w:val="14"/>
        <w:spacing w:line="600" w:lineRule="exact"/>
        <w:jc w:val="both"/>
        <w:rPr>
          <w:rFonts w:ascii="Times New Roman" w:hAnsi="Times New Roman" w:cs="Times New Roman"/>
          <w:b/>
          <w:sz w:val="36"/>
          <w:szCs w:val="28"/>
        </w:rPr>
      </w:pPr>
    </w:p>
    <w:p w14:paraId="1F7742C7">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C4ABB7E">
      <w:pPr>
        <w:pStyle w:val="14"/>
        <w:spacing w:line="600" w:lineRule="exact"/>
        <w:jc w:val="center"/>
        <w:rPr>
          <w:rFonts w:ascii="Times New Roman" w:hAnsi="Times New Roman" w:cs="Times New Roman"/>
          <w:b/>
          <w:sz w:val="36"/>
          <w:szCs w:val="28"/>
        </w:rPr>
      </w:pPr>
    </w:p>
    <w:p w14:paraId="48ABFCAF">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怀化市劳动人事争议仲裁院</w:t>
      </w:r>
      <w:r>
        <w:rPr>
          <w:rFonts w:ascii="Times New Roman" w:hAnsi="Times New Roman" w:cs="Times New Roman"/>
          <w:bCs/>
          <w:sz w:val="32"/>
          <w:szCs w:val="32"/>
        </w:rPr>
        <w:t>概况</w:t>
      </w:r>
    </w:p>
    <w:p w14:paraId="1F6F56B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1AE7ED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50F8A1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2045C6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9ADF61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ACB5CF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E901FD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D9CB11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C010B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0BAD93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1903E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DDEC4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4DA6BA3">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139BA1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5C936E">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89BB6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93C02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49EB04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2988EC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EF87DC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27DDF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21DAB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5036F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DF9B0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900FA0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863F7C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535B0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68265D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08A0CE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E026391">
      <w:pPr>
        <w:pStyle w:val="14"/>
        <w:spacing w:line="600" w:lineRule="exact"/>
        <w:rPr>
          <w:rFonts w:ascii="Times New Roman" w:hAnsi="Times New Roman" w:cs="Times New Roman"/>
          <w:bCs/>
          <w:sz w:val="28"/>
          <w:szCs w:val="28"/>
        </w:rPr>
      </w:pPr>
    </w:p>
    <w:p w14:paraId="690B82D8">
      <w:pPr>
        <w:jc w:val="center"/>
        <w:rPr>
          <w:rFonts w:ascii="Times New Roman" w:hAnsi="Times New Roman" w:cs="Times New Roman"/>
          <w:sz w:val="72"/>
          <w:szCs w:val="72"/>
        </w:rPr>
      </w:pPr>
    </w:p>
    <w:p w14:paraId="34DCD154">
      <w:pPr>
        <w:jc w:val="center"/>
        <w:rPr>
          <w:rFonts w:ascii="Times New Roman" w:hAnsi="Times New Roman" w:cs="Times New Roman"/>
          <w:sz w:val="72"/>
          <w:szCs w:val="72"/>
        </w:rPr>
      </w:pPr>
    </w:p>
    <w:p w14:paraId="140C3AD9">
      <w:pPr>
        <w:jc w:val="center"/>
        <w:rPr>
          <w:rFonts w:ascii="Times New Roman" w:hAnsi="Times New Roman" w:cs="Times New Roman"/>
          <w:sz w:val="72"/>
          <w:szCs w:val="72"/>
        </w:rPr>
      </w:pPr>
    </w:p>
    <w:p w14:paraId="0E730A81">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0E29B15">
      <w:pPr>
        <w:rPr>
          <w:rFonts w:ascii="Times New Roman" w:hAnsi="Times New Roman" w:eastAsia="方正小标宋_GBK" w:cs="Times New Roman"/>
          <w:sz w:val="72"/>
          <w:szCs w:val="72"/>
        </w:rPr>
      </w:pPr>
    </w:p>
    <w:p w14:paraId="0607474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F9BE8CB">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怀化市劳动人事争议仲裁院</w:t>
      </w:r>
      <w:r>
        <w:rPr>
          <w:rFonts w:ascii="Times New Roman" w:hAnsi="Times New Roman" w:eastAsia="方正小标宋_GBK" w:cs="Times New Roman"/>
          <w:sz w:val="52"/>
          <w:szCs w:val="52"/>
        </w:rPr>
        <w:t>概况</w:t>
      </w:r>
    </w:p>
    <w:p w14:paraId="1839A8A8">
      <w:pPr>
        <w:pStyle w:val="5"/>
        <w:ind w:left="0" w:leftChars="0" w:firstLine="0" w:firstLineChars="0"/>
        <w:rPr>
          <w:rFonts w:ascii="Times New Roman" w:hAnsi="Times New Roman" w:cs="Times New Roman"/>
        </w:rPr>
      </w:pPr>
    </w:p>
    <w:p w14:paraId="1E6B4385">
      <w:pPr>
        <w:pStyle w:val="15"/>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10842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499" w:lineRule="atLeast"/>
        <w:ind w:left="0" w:right="0" w:firstLine="627"/>
        <w:jc w:val="left"/>
        <w:rPr>
          <w:rFonts w:hint="eastAsia" w:ascii="仿宋" w:hAnsi="仿宋" w:eastAsia="仿宋" w:cs="仿宋"/>
          <w:b/>
          <w:bCs/>
          <w:color w:val="auto"/>
          <w:sz w:val="32"/>
          <w:szCs w:val="32"/>
          <w:lang w:eastAsia="zh-CN"/>
        </w:rPr>
      </w:pPr>
      <w:r>
        <w:rPr>
          <w:rFonts w:hint="eastAsia" w:ascii="仿宋_GB2312" w:hAnsi="微软雅黑" w:eastAsia="仿宋_GB2312" w:cs="仿宋_GB2312"/>
          <w:b w:val="0"/>
          <w:bCs w:val="0"/>
          <w:i w:val="0"/>
          <w:iCs w:val="0"/>
          <w:caps w:val="0"/>
          <w:color w:val="auto"/>
          <w:spacing w:val="0"/>
          <w:kern w:val="0"/>
          <w:sz w:val="32"/>
          <w:szCs w:val="32"/>
          <w:shd w:val="clear" w:color="auto" w:fill="FFFFFF"/>
          <w:lang w:val="en-US" w:eastAsia="zh-CN" w:bidi="ar"/>
        </w:rPr>
        <w:t>负责贯彻执行劳动保障的有关法律法规，拟定全市劳动争议仲裁中长期规划，承办市本级管辖的劳动争议仲裁案件、管理指导全市劳动争议仲裁工作，培训和评聘全市劳动争议仲裁员、调解员，做好12333热线电话服务和其他工作</w:t>
      </w:r>
      <w:r>
        <w:rPr>
          <w:rFonts w:hint="eastAsia" w:ascii="仿宋_GB2312" w:hAnsi="微软雅黑" w:eastAsia="仿宋_GB2312" w:cs="仿宋_GB2312"/>
          <w:b/>
          <w:bCs/>
          <w:i w:val="0"/>
          <w:iCs w:val="0"/>
          <w:caps w:val="0"/>
          <w:color w:val="auto"/>
          <w:spacing w:val="0"/>
          <w:kern w:val="0"/>
          <w:sz w:val="32"/>
          <w:szCs w:val="32"/>
          <w:shd w:val="clear" w:color="auto" w:fill="FFFFFF"/>
          <w:lang w:val="en-US" w:eastAsia="zh-CN" w:bidi="ar"/>
        </w:rPr>
        <w:t>。</w:t>
      </w:r>
    </w:p>
    <w:p w14:paraId="78EDAA9E">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EFC23AB">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怀化市劳动人事争议仲裁院</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eastAsia="zh-CN"/>
        </w:rPr>
        <w:t>立案庭、仲裁庭、劳动保障维权部。</w:t>
      </w:r>
    </w:p>
    <w:p w14:paraId="60FA38AB">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怀化市劳动人事争议仲裁院</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怀化市劳动人事争议仲裁院本级。</w:t>
      </w:r>
    </w:p>
    <w:p w14:paraId="12DABC94">
      <w:pPr>
        <w:jc w:val="left"/>
        <w:rPr>
          <w:rFonts w:ascii="Times New Roman" w:hAnsi="Times New Roman" w:eastAsia="仿宋_GB2312" w:cs="Times New Roman"/>
          <w:sz w:val="28"/>
          <w:szCs w:val="32"/>
        </w:rPr>
      </w:pPr>
    </w:p>
    <w:p w14:paraId="03A8296B">
      <w:pPr>
        <w:jc w:val="center"/>
        <w:rPr>
          <w:rFonts w:ascii="Times New Roman" w:hAnsi="Times New Roman" w:eastAsia="黑体" w:cs="Times New Roman"/>
          <w:sz w:val="28"/>
          <w:szCs w:val="28"/>
        </w:rPr>
      </w:pPr>
    </w:p>
    <w:p w14:paraId="744E280E">
      <w:pPr>
        <w:jc w:val="center"/>
        <w:rPr>
          <w:rFonts w:ascii="Times New Roman" w:hAnsi="Times New Roman" w:eastAsia="黑体" w:cs="Times New Roman"/>
          <w:sz w:val="28"/>
          <w:szCs w:val="28"/>
        </w:rPr>
      </w:pPr>
    </w:p>
    <w:p w14:paraId="3F187BDC">
      <w:pPr>
        <w:jc w:val="center"/>
        <w:rPr>
          <w:rFonts w:ascii="Times New Roman" w:hAnsi="Times New Roman" w:eastAsia="黑体" w:cs="Times New Roman"/>
          <w:sz w:val="28"/>
          <w:szCs w:val="28"/>
        </w:rPr>
      </w:pPr>
    </w:p>
    <w:p w14:paraId="7220B24A">
      <w:pPr>
        <w:jc w:val="center"/>
        <w:rPr>
          <w:rFonts w:ascii="Times New Roman" w:hAnsi="Times New Roman" w:eastAsia="黑体" w:cs="Times New Roman"/>
          <w:sz w:val="28"/>
          <w:szCs w:val="28"/>
        </w:rPr>
      </w:pPr>
    </w:p>
    <w:p w14:paraId="7C523F02">
      <w:pPr>
        <w:jc w:val="center"/>
        <w:rPr>
          <w:rFonts w:ascii="Times New Roman" w:hAnsi="Times New Roman" w:eastAsia="黑体" w:cs="Times New Roman"/>
          <w:sz w:val="28"/>
          <w:szCs w:val="28"/>
        </w:rPr>
      </w:pPr>
    </w:p>
    <w:p w14:paraId="15678B3F">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332C5892">
      <w:pPr>
        <w:pStyle w:val="14"/>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1D9B6B5C">
      <w:pPr>
        <w:pStyle w:val="14"/>
        <w:numPr>
          <w:ilvl w:val="0"/>
          <w:numId w:val="0"/>
        </w:numPr>
        <w:ind w:firstLine="2600" w:firstLineChars="500"/>
        <w:jc w:val="both"/>
        <w:rPr>
          <w:rFonts w:ascii="Times New Roman" w:hAnsi="Times New Roman" w:eastAsia="方正小标宋_GBK" w:cs="Times New Roman"/>
          <w:sz w:val="52"/>
          <w:szCs w:val="52"/>
        </w:rPr>
      </w:pPr>
    </w:p>
    <w:p w14:paraId="38C96679">
      <w:pPr>
        <w:pStyle w:val="14"/>
        <w:numPr>
          <w:ilvl w:val="0"/>
          <w:numId w:val="0"/>
        </w:numPr>
        <w:ind w:firstLine="2600" w:firstLineChars="500"/>
        <w:jc w:val="both"/>
        <w:rPr>
          <w:rFonts w:ascii="Times New Roman" w:hAnsi="Times New Roman" w:eastAsia="方正小标宋_GBK" w:cs="Times New Roman"/>
          <w:sz w:val="52"/>
          <w:szCs w:val="52"/>
        </w:rPr>
      </w:pPr>
    </w:p>
    <w:p w14:paraId="5FE1FD4A">
      <w:pPr>
        <w:pStyle w:val="14"/>
        <w:numPr>
          <w:ilvl w:val="0"/>
          <w:numId w:val="0"/>
        </w:numPr>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3A54EF2D">
      <w:pPr>
        <w:pStyle w:val="14"/>
        <w:rPr>
          <w:rFonts w:hint="default" w:ascii="Times New Roman" w:hAnsi="Times New Roman" w:eastAsia="黑体" w:cs="Times New Roman"/>
          <w:sz w:val="44"/>
          <w:szCs w:val="44"/>
          <w:lang w:val="en-US" w:eastAsia="zh-CN"/>
        </w:rPr>
      </w:pPr>
      <w:r>
        <w:rPr>
          <w:rFonts w:hint="eastAsia" w:ascii="Times New Roman" w:hAnsi="Times New Roman" w:cs="Times New Roman"/>
          <w:sz w:val="72"/>
          <w:szCs w:val="72"/>
          <w:lang w:val="en-US" w:eastAsia="zh-CN"/>
        </w:rPr>
        <w:t xml:space="preserve">        </w:t>
      </w:r>
      <w:r>
        <w:rPr>
          <w:rFonts w:hint="eastAsia" w:ascii="Times New Roman" w:hAnsi="Times New Roman" w:cs="Times New Roman"/>
          <w:sz w:val="44"/>
          <w:szCs w:val="44"/>
          <w:lang w:val="en-US" w:eastAsia="zh-CN"/>
        </w:rPr>
        <w:t>（见附件）</w:t>
      </w:r>
    </w:p>
    <w:p w14:paraId="407A33A7">
      <w:pPr>
        <w:pStyle w:val="14"/>
        <w:rPr>
          <w:rFonts w:ascii="Times New Roman" w:hAnsi="Times New Roman" w:cs="Times New Roman"/>
          <w:sz w:val="72"/>
          <w:szCs w:val="72"/>
        </w:rPr>
      </w:pPr>
    </w:p>
    <w:p w14:paraId="39500467">
      <w:pPr>
        <w:pStyle w:val="14"/>
        <w:rPr>
          <w:rFonts w:ascii="Times New Roman" w:hAnsi="Times New Roman" w:cs="Times New Roman"/>
          <w:sz w:val="72"/>
          <w:szCs w:val="72"/>
        </w:rPr>
      </w:pPr>
    </w:p>
    <w:p w14:paraId="17C6BD75">
      <w:pPr>
        <w:pStyle w:val="14"/>
        <w:jc w:val="center"/>
        <w:rPr>
          <w:rFonts w:ascii="Times New Roman" w:hAnsi="Times New Roman" w:cs="Times New Roman"/>
          <w:sz w:val="72"/>
          <w:szCs w:val="72"/>
        </w:rPr>
      </w:pPr>
    </w:p>
    <w:p w14:paraId="17CEBFD8">
      <w:pPr>
        <w:pStyle w:val="14"/>
        <w:jc w:val="center"/>
        <w:rPr>
          <w:rFonts w:ascii="Times New Roman" w:hAnsi="Times New Roman" w:eastAsia="方正小标宋_GBK" w:cs="Times New Roman"/>
          <w:sz w:val="72"/>
          <w:szCs w:val="72"/>
        </w:rPr>
      </w:pPr>
    </w:p>
    <w:p w14:paraId="6451C697">
      <w:pPr>
        <w:pStyle w:val="14"/>
        <w:jc w:val="center"/>
        <w:rPr>
          <w:rFonts w:ascii="Times New Roman" w:hAnsi="Times New Roman" w:eastAsia="方正小标宋_GBK" w:cs="Times New Roman"/>
          <w:sz w:val="72"/>
          <w:szCs w:val="72"/>
        </w:rPr>
      </w:pPr>
    </w:p>
    <w:p w14:paraId="7E9911ED">
      <w:pPr>
        <w:pStyle w:val="14"/>
        <w:jc w:val="center"/>
        <w:rPr>
          <w:rFonts w:ascii="Times New Roman" w:hAnsi="Times New Roman" w:eastAsia="方正小标宋_GBK" w:cs="Times New Roman"/>
          <w:sz w:val="72"/>
          <w:szCs w:val="72"/>
        </w:rPr>
      </w:pPr>
    </w:p>
    <w:p w14:paraId="19C429FC">
      <w:pPr>
        <w:pStyle w:val="14"/>
        <w:jc w:val="center"/>
        <w:rPr>
          <w:rFonts w:ascii="Times New Roman" w:hAnsi="Times New Roman" w:eastAsia="方正小标宋_GBK" w:cs="Times New Roman"/>
          <w:sz w:val="72"/>
          <w:szCs w:val="72"/>
        </w:rPr>
      </w:pPr>
    </w:p>
    <w:p w14:paraId="348A72E3">
      <w:pPr>
        <w:pStyle w:val="14"/>
        <w:jc w:val="center"/>
        <w:rPr>
          <w:rFonts w:ascii="Times New Roman" w:hAnsi="Times New Roman" w:eastAsia="方正小标宋_GBK" w:cs="Times New Roman"/>
          <w:sz w:val="72"/>
          <w:szCs w:val="72"/>
        </w:rPr>
      </w:pPr>
    </w:p>
    <w:p w14:paraId="733FF304">
      <w:pPr>
        <w:pStyle w:val="14"/>
        <w:jc w:val="center"/>
        <w:rPr>
          <w:rFonts w:ascii="Times New Roman" w:hAnsi="Times New Roman" w:eastAsia="方正小标宋_GBK" w:cs="Times New Roman"/>
          <w:sz w:val="72"/>
          <w:szCs w:val="72"/>
        </w:rPr>
      </w:pPr>
    </w:p>
    <w:p w14:paraId="650C2CBC">
      <w:pPr>
        <w:pStyle w:val="14"/>
        <w:jc w:val="center"/>
        <w:rPr>
          <w:rFonts w:ascii="Times New Roman" w:hAnsi="Times New Roman" w:eastAsia="方正小标宋_GBK" w:cs="Times New Roman"/>
          <w:sz w:val="72"/>
          <w:szCs w:val="72"/>
        </w:rPr>
      </w:pPr>
    </w:p>
    <w:p w14:paraId="662F8084">
      <w:pPr>
        <w:pStyle w:val="14"/>
        <w:jc w:val="center"/>
        <w:rPr>
          <w:rFonts w:ascii="Times New Roman" w:hAnsi="Times New Roman" w:eastAsia="方正小标宋_GBK" w:cs="Times New Roman"/>
          <w:sz w:val="72"/>
          <w:szCs w:val="72"/>
        </w:rPr>
      </w:pPr>
    </w:p>
    <w:p w14:paraId="72D953F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30351A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F34DC63">
      <w:pPr>
        <w:widowControl/>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C756334">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138.17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72.96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1、单位机构改革，撤销劳动监察支队，其人员编制和职责划转至仲裁院，收入支出相应增加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2、2025年6月新增7名工作人员工资福利支出及公用支出。</w:t>
      </w:r>
    </w:p>
    <w:p w14:paraId="39910B6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XX、XX、XX等重点支出，体现在有关支出科目中。</w:t>
      </w:r>
    </w:p>
    <w:p w14:paraId="5D8419C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320516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16192F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2FF855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263.28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80.38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64.27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19.62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21A94F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EF7847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138.27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72.96</w:t>
      </w:r>
      <w:r>
        <w:rPr>
          <w:rFonts w:ascii="Times New Roman" w:hAnsi="Times New Roman" w:eastAsia="仿宋_GB2312" w:cs="Times New Roman"/>
          <w:sz w:val="32"/>
          <w:szCs w:val="32"/>
        </w:rPr>
        <w:t>%，主要是因为主要是因为</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原劳动监察支队撤销，人员合并到仲裁院，增加了工资福利支出及公用支出。</w:t>
      </w:r>
      <w:r>
        <w:rPr>
          <w:rFonts w:hint="eastAsia" w:ascii="Times New Roman" w:hAnsi="Times New Roman" w:eastAsia="仿宋_GB2312" w:cs="Times New Roman"/>
          <w:sz w:val="32"/>
          <w:szCs w:val="32"/>
          <w:lang w:val="en-US" w:eastAsia="zh-CN"/>
        </w:rPr>
        <w:t>2、2025年6月新增7名工作人员工资福利支出及公用支出。</w:t>
      </w:r>
    </w:p>
    <w:p w14:paraId="595C0F2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829F59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EDE8257">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138.27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72.96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1、因机构改革，</w:t>
      </w:r>
      <w:r>
        <w:rPr>
          <w:rFonts w:hint="eastAsia" w:ascii="Times New Roman" w:hAnsi="Times New Roman" w:eastAsia="仿宋_GB2312" w:cs="Times New Roman"/>
          <w:sz w:val="32"/>
          <w:szCs w:val="32"/>
          <w:lang w:eastAsia="zh-CN"/>
        </w:rPr>
        <w:t>原劳动监察支队撤销，人员合并到仲裁院，增加了工资福利支出及公用支出。</w:t>
      </w:r>
      <w:r>
        <w:rPr>
          <w:rFonts w:hint="eastAsia" w:ascii="Times New Roman" w:hAnsi="Times New Roman" w:eastAsia="仿宋_GB2312" w:cs="Times New Roman"/>
          <w:sz w:val="32"/>
          <w:szCs w:val="32"/>
          <w:lang w:val="en-US" w:eastAsia="zh-CN"/>
        </w:rPr>
        <w:t>2、2025年6月新增7名工作人员工资福利支出及公用支出。</w:t>
      </w:r>
    </w:p>
    <w:p w14:paraId="61510CE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FD8AA6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560D84A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43C899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253.84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129.04</w:t>
      </w:r>
      <w:r>
        <w:rPr>
          <w:rFonts w:ascii="Times New Roman" w:hAnsi="Times New Roman" w:eastAsia="仿宋_GB2312" w:cs="Times New Roman"/>
          <w:sz w:val="32"/>
          <w:szCs w:val="32"/>
        </w:rPr>
        <w:t>%，其中：</w:t>
      </w:r>
    </w:p>
    <w:p w14:paraId="66C3EDE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b/>
          <w:bCs/>
          <w:sz w:val="32"/>
          <w:szCs w:val="32"/>
          <w:lang w:eastAsia="zh-CN"/>
        </w:rPr>
        <w:t>社会保障和就业支出</w:t>
      </w:r>
      <w:r>
        <w:rPr>
          <w:rFonts w:hint="eastAsia" w:ascii="Times New Roman" w:hAnsi="Times New Roman" w:eastAsia="仿宋_GB2312"/>
          <w:b/>
          <w:bCs/>
          <w:sz w:val="32"/>
          <w:szCs w:val="32"/>
        </w:rPr>
        <w:t>（类）</w:t>
      </w:r>
      <w:r>
        <w:rPr>
          <w:rFonts w:ascii="仿宋" w:hAnsi="仿宋" w:eastAsia="仿宋"/>
          <w:b/>
          <w:bCs/>
          <w:sz w:val="32"/>
          <w:szCs w:val="32"/>
        </w:rPr>
        <w:t>人力资源</w:t>
      </w:r>
      <w:r>
        <w:rPr>
          <w:rFonts w:hint="eastAsia" w:ascii="仿宋" w:hAnsi="仿宋" w:eastAsia="仿宋"/>
          <w:b/>
          <w:bCs/>
          <w:sz w:val="32"/>
          <w:szCs w:val="32"/>
          <w:lang w:eastAsia="zh-CN"/>
        </w:rPr>
        <w:t>和社会保障管理</w:t>
      </w:r>
      <w:r>
        <w:rPr>
          <w:rFonts w:ascii="仿宋" w:hAnsi="仿宋" w:eastAsia="仿宋"/>
          <w:b/>
          <w:bCs/>
          <w:sz w:val="32"/>
          <w:szCs w:val="32"/>
        </w:rPr>
        <w:t>事务</w:t>
      </w:r>
      <w:r>
        <w:rPr>
          <w:rFonts w:hint="eastAsia" w:ascii="Times New Roman" w:hAnsi="Times New Roman" w:eastAsia="仿宋_GB2312"/>
          <w:b/>
          <w:bCs/>
          <w:sz w:val="32"/>
          <w:szCs w:val="32"/>
        </w:rPr>
        <w:t>（款）</w:t>
      </w:r>
      <w:r>
        <w:rPr>
          <w:rFonts w:ascii="仿宋" w:hAnsi="仿宋" w:eastAsia="仿宋"/>
          <w:b/>
          <w:bCs/>
          <w:sz w:val="32"/>
          <w:szCs w:val="32"/>
        </w:rPr>
        <w:t>行政运行</w:t>
      </w:r>
      <w:r>
        <w:rPr>
          <w:rFonts w:hint="eastAsia" w:ascii="Times New Roman" w:hAnsi="Times New Roman" w:eastAsia="仿宋_GB2312"/>
          <w:b/>
          <w:bCs/>
          <w:sz w:val="32"/>
          <w:szCs w:val="32"/>
        </w:rPr>
        <w:t>（项）</w:t>
      </w:r>
      <w:r>
        <w:rPr>
          <w:rFonts w:hint="eastAsia" w:ascii="Times New Roman" w:hAnsi="Times New Roman" w:eastAsia="仿宋_GB2312"/>
          <w:sz w:val="32"/>
          <w:szCs w:val="32"/>
        </w:rPr>
        <w:t>。</w:t>
      </w:r>
    </w:p>
    <w:p w14:paraId="1C2CEFB3">
      <w:pPr>
        <w:pStyle w:val="14"/>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191.73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256.98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134.03</w:t>
      </w:r>
      <w:r>
        <w:rPr>
          <w:rFonts w:ascii="Times New Roman" w:hAnsi="Times New Roman" w:eastAsia="仿宋_GB2312" w:cs="Times New Roman"/>
          <w:sz w:val="32"/>
          <w:szCs w:val="32"/>
        </w:rPr>
        <w:t>%，决算数大于年初预算数的主要原因是：</w:t>
      </w:r>
      <w:r>
        <w:rPr>
          <w:rFonts w:hint="default" w:ascii="Calibri" w:hAnsi="Calibri" w:eastAsia="仿宋_GB2312" w:cs="Calibri"/>
          <w:sz w:val="32"/>
          <w:szCs w:val="32"/>
        </w:rPr>
        <w:t>①</w:t>
      </w:r>
      <w:r>
        <w:rPr>
          <w:rFonts w:hint="eastAsia" w:ascii="Times New Roman" w:hAnsi="Times New Roman" w:eastAsia="仿宋_GB2312" w:cs="Times New Roman"/>
          <w:sz w:val="32"/>
          <w:szCs w:val="32"/>
          <w:lang w:val="en-US" w:eastAsia="zh-CN"/>
        </w:rPr>
        <w:t>2024年6月，根据怀编[2024]22号文件精神，单位机构改革，撤销劳动监察支队，其人员编制和职责划转至仲裁院，人员增加，相应的支出增加。</w:t>
      </w:r>
      <w:r>
        <w:rPr>
          <w:rFonts w:hint="default" w:ascii="Calibri" w:hAnsi="Calibri" w:eastAsia="仿宋_GB2312" w:cs="Calibri"/>
          <w:sz w:val="32"/>
          <w:szCs w:val="32"/>
          <w:lang w:val="en-US" w:eastAsia="zh-CN"/>
        </w:rPr>
        <w:t>②</w:t>
      </w:r>
      <w:r>
        <w:rPr>
          <w:rFonts w:hint="eastAsia" w:ascii="Times New Roman" w:hAnsi="Times New Roman" w:eastAsia="仿宋_GB2312" w:cs="Times New Roman"/>
          <w:sz w:val="32"/>
          <w:szCs w:val="32"/>
          <w:lang w:val="en-US" w:eastAsia="zh-CN"/>
        </w:rPr>
        <w:t>2025年6月，新增了7名工作人员工资福利支出。</w:t>
      </w:r>
    </w:p>
    <w:p w14:paraId="2916960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b/>
          <w:bCs/>
          <w:sz w:val="32"/>
          <w:szCs w:val="32"/>
          <w:lang w:eastAsia="zh-CN"/>
        </w:rPr>
        <w:t>社会保障和就业支出</w:t>
      </w:r>
      <w:r>
        <w:rPr>
          <w:rFonts w:hint="eastAsia" w:ascii="Times New Roman" w:hAnsi="Times New Roman" w:eastAsia="仿宋_GB2312"/>
          <w:b/>
          <w:bCs/>
          <w:sz w:val="32"/>
          <w:szCs w:val="32"/>
        </w:rPr>
        <w:t>（类）</w:t>
      </w:r>
      <w:r>
        <w:rPr>
          <w:rFonts w:ascii="仿宋" w:hAnsi="仿宋" w:eastAsia="仿宋"/>
          <w:b/>
          <w:bCs/>
          <w:sz w:val="32"/>
          <w:szCs w:val="32"/>
        </w:rPr>
        <w:t>人力资源</w:t>
      </w:r>
      <w:r>
        <w:rPr>
          <w:rFonts w:hint="eastAsia" w:ascii="仿宋" w:hAnsi="仿宋" w:eastAsia="仿宋"/>
          <w:b/>
          <w:bCs/>
          <w:sz w:val="32"/>
          <w:szCs w:val="32"/>
          <w:lang w:eastAsia="zh-CN"/>
        </w:rPr>
        <w:t>和社会保障管理</w:t>
      </w:r>
      <w:r>
        <w:rPr>
          <w:rFonts w:ascii="仿宋" w:hAnsi="仿宋" w:eastAsia="仿宋"/>
          <w:b/>
          <w:bCs/>
          <w:sz w:val="32"/>
          <w:szCs w:val="32"/>
        </w:rPr>
        <w:t>事务</w:t>
      </w:r>
      <w:r>
        <w:rPr>
          <w:rFonts w:hint="eastAsia" w:ascii="Times New Roman" w:hAnsi="Times New Roman" w:eastAsia="仿宋_GB2312"/>
          <w:b/>
          <w:bCs/>
          <w:sz w:val="32"/>
          <w:szCs w:val="32"/>
        </w:rPr>
        <w:t>（款）</w:t>
      </w:r>
      <w:r>
        <w:rPr>
          <w:rFonts w:ascii="仿宋" w:hAnsi="仿宋" w:eastAsia="仿宋"/>
          <w:b/>
          <w:bCs/>
          <w:sz w:val="32"/>
          <w:szCs w:val="32"/>
        </w:rPr>
        <w:t>劳动人事争议</w:t>
      </w:r>
      <w:r>
        <w:rPr>
          <w:rFonts w:hint="eastAsia" w:ascii="仿宋" w:hAnsi="仿宋" w:eastAsia="仿宋"/>
          <w:b/>
          <w:bCs/>
          <w:sz w:val="32"/>
          <w:szCs w:val="32"/>
          <w:lang w:eastAsia="zh-CN"/>
        </w:rPr>
        <w:t>调解</w:t>
      </w:r>
      <w:r>
        <w:rPr>
          <w:rFonts w:ascii="仿宋" w:hAnsi="仿宋" w:eastAsia="仿宋"/>
          <w:b/>
          <w:bCs/>
          <w:sz w:val="32"/>
          <w:szCs w:val="32"/>
        </w:rPr>
        <w:t>仲裁</w:t>
      </w:r>
      <w:r>
        <w:rPr>
          <w:rFonts w:hint="eastAsia" w:ascii="Times New Roman" w:hAnsi="Times New Roman" w:eastAsia="仿宋_GB2312"/>
          <w:b/>
          <w:bCs/>
          <w:sz w:val="32"/>
          <w:szCs w:val="32"/>
        </w:rPr>
        <w:t>（项）。</w:t>
      </w:r>
    </w:p>
    <w:p w14:paraId="463B848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基本持平。</w:t>
      </w:r>
    </w:p>
    <w:p w14:paraId="4C8953F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b/>
          <w:bCs/>
          <w:sz w:val="32"/>
          <w:szCs w:val="32"/>
          <w:lang w:val="en-US" w:eastAsia="zh-CN"/>
        </w:rPr>
        <w:t>3、</w:t>
      </w:r>
      <w:r>
        <w:rPr>
          <w:rFonts w:hint="eastAsia" w:ascii="Times New Roman" w:hAnsi="Times New Roman" w:eastAsia="仿宋_GB2312" w:cs="Times New Roman"/>
          <w:b/>
          <w:bCs/>
          <w:sz w:val="32"/>
          <w:szCs w:val="32"/>
          <w:lang w:eastAsia="zh-CN"/>
        </w:rPr>
        <w:t>社会保障和就业支出</w:t>
      </w:r>
      <w:r>
        <w:rPr>
          <w:rFonts w:hint="eastAsia" w:ascii="Times New Roman" w:hAnsi="Times New Roman" w:eastAsia="仿宋_GB2312"/>
          <w:b/>
          <w:bCs/>
          <w:sz w:val="32"/>
          <w:szCs w:val="32"/>
        </w:rPr>
        <w:t>（类）</w:t>
      </w:r>
      <w:r>
        <w:rPr>
          <w:rFonts w:ascii="仿宋" w:hAnsi="仿宋" w:eastAsia="仿宋"/>
          <w:b/>
          <w:bCs/>
          <w:sz w:val="32"/>
          <w:szCs w:val="32"/>
        </w:rPr>
        <w:t>人力资源</w:t>
      </w:r>
      <w:r>
        <w:rPr>
          <w:rFonts w:hint="eastAsia" w:ascii="仿宋" w:hAnsi="仿宋" w:eastAsia="仿宋"/>
          <w:b/>
          <w:bCs/>
          <w:sz w:val="32"/>
          <w:szCs w:val="32"/>
          <w:lang w:eastAsia="zh-CN"/>
        </w:rPr>
        <w:t>和社会保障管理</w:t>
      </w:r>
      <w:r>
        <w:rPr>
          <w:rFonts w:ascii="仿宋" w:hAnsi="仿宋" w:eastAsia="仿宋"/>
          <w:b/>
          <w:bCs/>
          <w:sz w:val="32"/>
          <w:szCs w:val="32"/>
        </w:rPr>
        <w:t>事务</w:t>
      </w:r>
      <w:r>
        <w:rPr>
          <w:rFonts w:hint="eastAsia" w:ascii="Times New Roman" w:hAnsi="Times New Roman" w:eastAsia="仿宋_GB2312"/>
          <w:b/>
          <w:bCs/>
          <w:sz w:val="32"/>
          <w:szCs w:val="32"/>
        </w:rPr>
        <w:t>（款）</w:t>
      </w:r>
      <w:r>
        <w:rPr>
          <w:rFonts w:hint="eastAsia" w:ascii="仿宋" w:hAnsi="仿宋" w:eastAsia="仿宋"/>
          <w:b/>
          <w:bCs/>
          <w:sz w:val="32"/>
          <w:szCs w:val="32"/>
          <w:lang w:eastAsia="zh-CN"/>
        </w:rPr>
        <w:t>劳动保障监察</w:t>
      </w:r>
      <w:r>
        <w:rPr>
          <w:rFonts w:hint="eastAsia" w:ascii="Times New Roman" w:hAnsi="Times New Roman" w:eastAsia="仿宋_GB2312"/>
          <w:b/>
          <w:bCs/>
          <w:sz w:val="32"/>
          <w:szCs w:val="32"/>
        </w:rPr>
        <w:t>（项）。</w:t>
      </w:r>
    </w:p>
    <w:p w14:paraId="033F191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的主要原因是：贯彻落实党政机关习惯过紧日子有关要求，厉行节约办一切事业，严控一般性支出，进一步优化支出结构，持续压降“三公”经费、办公经费、会议培训等行政开支。</w:t>
      </w:r>
    </w:p>
    <w:p w14:paraId="0CD4008A">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b/>
          <w:bCs/>
          <w:sz w:val="32"/>
          <w:szCs w:val="32"/>
        </w:rPr>
      </w:pPr>
      <w:r>
        <w:rPr>
          <w:rFonts w:hint="eastAsia" w:ascii="Times New Roman" w:hAnsi="Times New Roman" w:eastAsia="仿宋_GB2312" w:cs="Times New Roman"/>
          <w:b/>
          <w:bCs/>
          <w:sz w:val="32"/>
          <w:szCs w:val="32"/>
          <w:lang w:eastAsia="zh-CN"/>
        </w:rPr>
        <w:t>社会保障和就业支出</w:t>
      </w:r>
      <w:r>
        <w:rPr>
          <w:rFonts w:hint="eastAsia" w:ascii="Times New Roman" w:hAnsi="Times New Roman" w:eastAsia="仿宋_GB2312"/>
          <w:b/>
          <w:bCs/>
          <w:sz w:val="32"/>
          <w:szCs w:val="32"/>
        </w:rPr>
        <w:t>（类）</w:t>
      </w:r>
      <w:r>
        <w:rPr>
          <w:rFonts w:ascii="仿宋" w:hAnsi="仿宋" w:eastAsia="仿宋"/>
          <w:b/>
          <w:bCs/>
          <w:sz w:val="32"/>
          <w:szCs w:val="32"/>
        </w:rPr>
        <w:t>人力资源</w:t>
      </w:r>
      <w:r>
        <w:rPr>
          <w:rFonts w:hint="eastAsia" w:ascii="仿宋" w:hAnsi="仿宋" w:eastAsia="仿宋"/>
          <w:b/>
          <w:bCs/>
          <w:sz w:val="32"/>
          <w:szCs w:val="32"/>
          <w:lang w:eastAsia="zh-CN"/>
        </w:rPr>
        <w:t>和社会保障管理</w:t>
      </w:r>
      <w:r>
        <w:rPr>
          <w:rFonts w:ascii="仿宋" w:hAnsi="仿宋" w:eastAsia="仿宋"/>
          <w:b/>
          <w:bCs/>
          <w:sz w:val="32"/>
          <w:szCs w:val="32"/>
        </w:rPr>
        <w:t>事务</w:t>
      </w:r>
      <w:r>
        <w:rPr>
          <w:rFonts w:hint="eastAsia" w:ascii="Times New Roman" w:hAnsi="Times New Roman" w:eastAsia="仿宋_GB2312"/>
          <w:b/>
          <w:bCs/>
          <w:sz w:val="32"/>
          <w:szCs w:val="32"/>
        </w:rPr>
        <w:t>（款）</w:t>
      </w:r>
      <w:r>
        <w:rPr>
          <w:rFonts w:hint="eastAsia" w:ascii="仿宋" w:hAnsi="仿宋" w:eastAsia="仿宋"/>
          <w:b/>
          <w:bCs/>
          <w:sz w:val="32"/>
          <w:szCs w:val="32"/>
          <w:lang w:eastAsia="zh-CN"/>
        </w:rPr>
        <w:t>其他人力资源和社会保障管理事务支出</w:t>
      </w:r>
      <w:r>
        <w:rPr>
          <w:rFonts w:hint="eastAsia" w:ascii="Times New Roman" w:hAnsi="Times New Roman" w:eastAsia="仿宋_GB2312"/>
          <w:b/>
          <w:bCs/>
          <w:sz w:val="32"/>
          <w:szCs w:val="32"/>
        </w:rPr>
        <w:t>（项）。</w:t>
      </w:r>
    </w:p>
    <w:p w14:paraId="49D7028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81.09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的主要原因是：贯彻落实党政机关习惯过紧日子有关要求，厉行节约办一切事业，严控一般性支出，进一步优化支出结构，持续压降“三公”经费、办公经费、会议培训等行政开支。</w:t>
      </w:r>
    </w:p>
    <w:p w14:paraId="20911CB8">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b/>
          <w:bCs/>
          <w:sz w:val="32"/>
          <w:szCs w:val="32"/>
        </w:rPr>
      </w:pPr>
      <w:r>
        <w:rPr>
          <w:rFonts w:hint="eastAsia" w:ascii="Times New Roman" w:hAnsi="Times New Roman" w:eastAsia="仿宋_GB2312" w:cs="Times New Roman"/>
          <w:b/>
          <w:bCs/>
          <w:sz w:val="32"/>
          <w:szCs w:val="32"/>
          <w:lang w:eastAsia="zh-CN"/>
        </w:rPr>
        <w:t>社会保障和就业支出</w:t>
      </w:r>
      <w:r>
        <w:rPr>
          <w:rFonts w:hint="eastAsia" w:ascii="Times New Roman" w:hAnsi="Times New Roman" w:eastAsia="仿宋_GB2312"/>
          <w:b/>
          <w:bCs/>
          <w:sz w:val="32"/>
          <w:szCs w:val="32"/>
        </w:rPr>
        <w:t>（类）</w:t>
      </w:r>
      <w:r>
        <w:rPr>
          <w:rFonts w:hint="eastAsia" w:ascii="仿宋" w:hAnsi="仿宋" w:eastAsia="仿宋"/>
          <w:b/>
          <w:bCs/>
          <w:sz w:val="32"/>
          <w:szCs w:val="32"/>
          <w:lang w:eastAsia="zh-CN"/>
        </w:rPr>
        <w:t>行政事业单位养老支出</w:t>
      </w:r>
      <w:r>
        <w:rPr>
          <w:rFonts w:hint="eastAsia" w:ascii="Times New Roman" w:hAnsi="Times New Roman" w:eastAsia="仿宋_GB2312"/>
          <w:b/>
          <w:bCs/>
          <w:sz w:val="32"/>
          <w:szCs w:val="32"/>
        </w:rPr>
        <w:t>（款）</w:t>
      </w:r>
      <w:r>
        <w:rPr>
          <w:rFonts w:hint="eastAsia" w:ascii="仿宋" w:hAnsi="仿宋" w:eastAsia="仿宋"/>
          <w:b/>
          <w:bCs/>
          <w:sz w:val="32"/>
          <w:szCs w:val="32"/>
          <w:lang w:eastAsia="zh-CN"/>
        </w:rPr>
        <w:t>事业单位离退休</w:t>
      </w:r>
      <w:r>
        <w:rPr>
          <w:rFonts w:hint="eastAsia" w:ascii="Times New Roman" w:hAnsi="Times New Roman" w:eastAsia="仿宋_GB2312"/>
          <w:b/>
          <w:bCs/>
          <w:sz w:val="32"/>
          <w:szCs w:val="32"/>
        </w:rPr>
        <w:t>（项）。</w:t>
      </w:r>
    </w:p>
    <w:p w14:paraId="5A904C2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88.61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的主要原因是：贯彻落实党政机关习惯过紧日子有关要求，厉行节约办一切事业，严控一般性支出。</w:t>
      </w:r>
    </w:p>
    <w:p w14:paraId="4EB8C0E3">
      <w:pPr>
        <w:numPr>
          <w:ilvl w:val="0"/>
          <w:numId w:val="0"/>
        </w:numPr>
        <w:spacing w:line="600" w:lineRule="exact"/>
        <w:ind w:firstLine="640" w:firstLineChars="200"/>
        <w:rPr>
          <w:rFonts w:ascii="仿宋" w:hAnsi="仿宋" w:eastAsia="仿宋"/>
          <w:b/>
          <w:bCs/>
          <w:sz w:val="32"/>
          <w:szCs w:val="32"/>
        </w:rPr>
      </w:pPr>
      <w:r>
        <w:rPr>
          <w:rFonts w:hint="eastAsia" w:ascii="仿宋" w:hAnsi="仿宋" w:eastAsia="仿宋"/>
          <w:b/>
          <w:bCs/>
          <w:sz w:val="32"/>
          <w:szCs w:val="32"/>
          <w:lang w:val="en-US" w:eastAsia="zh-CN"/>
        </w:rPr>
        <w:t>6、</w:t>
      </w:r>
      <w:r>
        <w:rPr>
          <w:rFonts w:ascii="仿宋" w:hAnsi="仿宋" w:eastAsia="仿宋"/>
          <w:b/>
          <w:bCs/>
          <w:sz w:val="32"/>
          <w:szCs w:val="32"/>
        </w:rPr>
        <w:t>社会保障和就业支出（类）就业补助（款）</w:t>
      </w:r>
      <w:r>
        <w:rPr>
          <w:rFonts w:hint="eastAsia" w:ascii="仿宋" w:hAnsi="仿宋" w:eastAsia="仿宋"/>
          <w:b/>
          <w:bCs/>
          <w:sz w:val="32"/>
          <w:szCs w:val="32"/>
        </w:rPr>
        <w:t>其他就业补助支出</w:t>
      </w:r>
      <w:r>
        <w:rPr>
          <w:rFonts w:ascii="仿宋" w:hAnsi="仿宋" w:eastAsia="仿宋"/>
          <w:b/>
          <w:bCs/>
          <w:sz w:val="32"/>
          <w:szCs w:val="32"/>
        </w:rPr>
        <w:t>（项）</w:t>
      </w:r>
    </w:p>
    <w:p w14:paraId="5BEA3AB1">
      <w:pPr>
        <w:spacing w:line="600" w:lineRule="exact"/>
        <w:ind w:firstLine="640" w:firstLineChars="200"/>
        <w:rPr>
          <w:rFonts w:hint="eastAsia" w:ascii="Times New Roman" w:hAnsi="Times New Roman" w:eastAsia="仿宋_GB2312" w:cs="Times New Roman"/>
          <w:b w:val="0"/>
          <w:bCs w:val="0"/>
          <w:color w:val="auto"/>
          <w:sz w:val="32"/>
          <w:szCs w:val="32"/>
          <w:lang w:eastAsia="zh-CN"/>
        </w:rPr>
      </w:pPr>
      <w:r>
        <w:rPr>
          <w:rFonts w:hint="eastAsia" w:ascii="仿宋" w:hAnsi="仿宋" w:eastAsia="仿宋"/>
          <w:sz w:val="32"/>
          <w:szCs w:val="32"/>
        </w:rPr>
        <w:t>年初预算为</w:t>
      </w:r>
      <w:r>
        <w:rPr>
          <w:rFonts w:hint="eastAsia" w:ascii="仿宋" w:hAnsi="仿宋" w:eastAsia="仿宋"/>
          <w:sz w:val="32"/>
          <w:szCs w:val="32"/>
          <w:lang w:val="en-US" w:eastAsia="zh-CN"/>
        </w:rPr>
        <w:t>0万元</w:t>
      </w:r>
      <w:r>
        <w:rPr>
          <w:rFonts w:ascii="仿宋" w:hAnsi="仿宋" w:eastAsia="仿宋"/>
          <w:sz w:val="32"/>
          <w:szCs w:val="32"/>
        </w:rPr>
        <w:t>，支出决算为</w:t>
      </w:r>
      <w:r>
        <w:rPr>
          <w:rFonts w:hint="eastAsia" w:ascii="仿宋" w:hAnsi="仿宋" w:eastAsia="仿宋"/>
          <w:sz w:val="32"/>
          <w:szCs w:val="32"/>
          <w:lang w:val="en-US" w:eastAsia="zh-CN"/>
        </w:rPr>
        <w:t>16.47</w:t>
      </w:r>
      <w:r>
        <w:rPr>
          <w:rFonts w:ascii="仿宋" w:hAnsi="仿宋" w:eastAsia="仿宋"/>
          <w:sz w:val="32"/>
          <w:szCs w:val="32"/>
        </w:rPr>
        <w:t>万元，</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的主要原因：</w:t>
      </w:r>
      <w:r>
        <w:rPr>
          <w:rFonts w:ascii="仿宋_GB2312" w:hAnsi="宋体" w:eastAsia="仿宋_GB2312" w:cs="仿宋_GB2312"/>
          <w:b w:val="0"/>
          <w:bCs w:val="0"/>
          <w:i w:val="0"/>
          <w:iCs w:val="0"/>
          <w:caps w:val="0"/>
          <w:color w:val="auto"/>
          <w:spacing w:val="0"/>
          <w:sz w:val="32"/>
          <w:szCs w:val="32"/>
          <w:shd w:val="clear" w:fill="FFFFFF"/>
        </w:rPr>
        <w:t>追加了公益性岗位及社保补贴、</w:t>
      </w:r>
      <w:r>
        <w:rPr>
          <w:rFonts w:hint="eastAsia" w:ascii="仿宋_GB2312" w:hAnsi="宋体" w:eastAsia="仿宋_GB2312" w:cs="仿宋_GB2312"/>
          <w:b w:val="0"/>
          <w:bCs w:val="0"/>
          <w:i w:val="0"/>
          <w:iCs w:val="0"/>
          <w:caps w:val="0"/>
          <w:color w:val="auto"/>
          <w:spacing w:val="0"/>
          <w:sz w:val="32"/>
          <w:szCs w:val="32"/>
          <w:shd w:val="clear" w:fill="FFFFFF"/>
          <w:lang w:eastAsia="zh-CN"/>
        </w:rPr>
        <w:t>宣传资料费等。</w:t>
      </w:r>
    </w:p>
    <w:p w14:paraId="4C772BE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342FA7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263.28</w:t>
      </w:r>
      <w:r>
        <w:rPr>
          <w:rFonts w:ascii="Times New Roman" w:hAnsi="Times New Roman" w:eastAsia="仿宋_GB2312" w:cs="Times New Roman"/>
          <w:sz w:val="32"/>
          <w:szCs w:val="32"/>
        </w:rPr>
        <w:t>万元，其中：</w:t>
      </w:r>
    </w:p>
    <w:p w14:paraId="20005DB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233.54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88.71</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w:t>
      </w:r>
      <w:r>
        <w:rPr>
          <w:rFonts w:hint="eastAsia" w:ascii="Times New Roman" w:hAnsi="Times New Roman" w:eastAsia="仿宋_GB2312"/>
          <w:sz w:val="32"/>
          <w:szCs w:val="32"/>
          <w:lang w:eastAsia="zh-CN"/>
        </w:rPr>
        <w:t>伙食补助费、</w:t>
      </w:r>
      <w:r>
        <w:rPr>
          <w:rFonts w:ascii="仿宋" w:hAnsi="仿宋" w:eastAsia="仿宋"/>
          <w:sz w:val="32"/>
          <w:szCs w:val="32"/>
        </w:rPr>
        <w:t>机关事业单位基本养老保险缴费、基本医疗保险缴费、其他社会保障缴费、其他工资福利支出、生活补助、奖励金等；</w:t>
      </w:r>
    </w:p>
    <w:p w14:paraId="78B15DDA">
      <w:pPr>
        <w:spacing w:line="600" w:lineRule="exact"/>
        <w:ind w:firstLine="640" w:firstLineChars="200"/>
        <w:rPr>
          <w:rFonts w:ascii="仿宋" w:hAnsi="仿宋" w:eastAsia="仿宋"/>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29.73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11.29</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仿宋" w:hAnsi="仿宋" w:eastAsia="仿宋"/>
          <w:sz w:val="32"/>
          <w:szCs w:val="32"/>
          <w:lang w:eastAsia="zh-CN"/>
        </w:rPr>
        <w:t>物业费</w:t>
      </w:r>
      <w:r>
        <w:rPr>
          <w:rFonts w:ascii="仿宋" w:hAnsi="仿宋" w:eastAsia="仿宋"/>
          <w:sz w:val="32"/>
          <w:szCs w:val="32"/>
        </w:rPr>
        <w:t>、</w:t>
      </w:r>
      <w:r>
        <w:rPr>
          <w:rFonts w:hint="eastAsia" w:ascii="仿宋" w:hAnsi="仿宋" w:eastAsia="仿宋"/>
          <w:sz w:val="32"/>
          <w:szCs w:val="32"/>
          <w:lang w:eastAsia="zh-CN"/>
        </w:rPr>
        <w:t>劳务费、</w:t>
      </w:r>
      <w:r>
        <w:rPr>
          <w:rFonts w:ascii="仿宋" w:hAnsi="仿宋" w:eastAsia="仿宋"/>
          <w:sz w:val="32"/>
          <w:szCs w:val="32"/>
        </w:rPr>
        <w:t>邮电费、差旅费、</w:t>
      </w:r>
      <w:r>
        <w:rPr>
          <w:rFonts w:hint="eastAsia" w:ascii="仿宋" w:hAnsi="仿宋" w:eastAsia="仿宋"/>
          <w:sz w:val="32"/>
          <w:szCs w:val="32"/>
          <w:lang w:eastAsia="zh-CN"/>
        </w:rPr>
        <w:t>工会经费、福利费、公务用车运行维护费、</w:t>
      </w:r>
      <w:r>
        <w:rPr>
          <w:rFonts w:ascii="仿宋" w:hAnsi="仿宋" w:eastAsia="仿宋"/>
          <w:sz w:val="32"/>
          <w:szCs w:val="32"/>
        </w:rPr>
        <w:t>其他交通费用、其他</w:t>
      </w:r>
      <w:r>
        <w:rPr>
          <w:rFonts w:hint="eastAsia" w:ascii="仿宋" w:hAnsi="仿宋" w:eastAsia="仿宋"/>
          <w:sz w:val="32"/>
          <w:szCs w:val="32"/>
          <w:lang w:eastAsia="zh-CN"/>
        </w:rPr>
        <w:t>商品和服务支出</w:t>
      </w:r>
      <w:r>
        <w:rPr>
          <w:rFonts w:ascii="仿宋" w:hAnsi="仿宋" w:eastAsia="仿宋"/>
          <w:sz w:val="32"/>
          <w:szCs w:val="32"/>
        </w:rPr>
        <w:t>等。</w:t>
      </w:r>
    </w:p>
    <w:p w14:paraId="1D7178DC">
      <w:pPr>
        <w:pStyle w:val="14"/>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3DDDC6B">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233D785">
      <w:pPr>
        <w:pStyle w:val="14"/>
        <w:overflowPunct w:val="0"/>
        <w:autoSpaceDE/>
        <w:autoSpaceDN/>
        <w:spacing w:line="600" w:lineRule="exact"/>
        <w:ind w:firstLine="640" w:firstLineChars="200"/>
        <w:jc w:val="both"/>
        <w:rPr>
          <w:rFonts w:hint="eastAsia" w:ascii="仿宋_GB2312" w:hAnsi="Times New Roman" w:eastAsia="仿宋_GB2312" w:cs="仿宋_GB2312"/>
          <w:i w:val="0"/>
          <w:iCs w:val="0"/>
          <w:caps w:val="0"/>
          <w:color w:val="auto"/>
          <w:spacing w:val="0"/>
          <w:sz w:val="32"/>
          <w:szCs w:val="32"/>
          <w:shd w:val="clear" w:fill="FFFFFF"/>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82.73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预算数的主要原因是</w:t>
      </w:r>
      <w:r>
        <w:rPr>
          <w:rFonts w:hint="eastAsia" w:ascii="仿宋_GB2312" w:hAnsi="宋体" w:eastAsia="仿宋_GB2312" w:cs="仿宋_GB2312"/>
          <w:i w:val="0"/>
          <w:iCs w:val="0"/>
          <w:caps w:val="0"/>
          <w:color w:val="auto"/>
          <w:spacing w:val="0"/>
          <w:sz w:val="32"/>
          <w:szCs w:val="32"/>
          <w:shd w:val="clear" w:fill="FFFFFF"/>
          <w:lang w:eastAsia="zh-CN"/>
        </w:rPr>
        <w:t>减少</w:t>
      </w:r>
      <w:r>
        <w:rPr>
          <w:rFonts w:hint="eastAsia" w:ascii="仿宋_GB2312" w:hAnsi="宋体" w:eastAsia="仿宋_GB2312" w:cs="仿宋_GB2312"/>
          <w:i w:val="0"/>
          <w:iCs w:val="0"/>
          <w:caps w:val="0"/>
          <w:color w:val="auto"/>
          <w:spacing w:val="0"/>
          <w:sz w:val="32"/>
          <w:szCs w:val="32"/>
          <w:shd w:val="clear" w:fill="FFFFFF"/>
        </w:rPr>
        <w:t>公务用车运行维护费以及按照中央八项规定严格控制公务接待费支出</w:t>
      </w:r>
      <w:r>
        <w:rPr>
          <w:rFonts w:hint="eastAsia" w:ascii="仿宋_GB2312" w:hAnsi="Times New Roman" w:eastAsia="仿宋_GB2312" w:cs="仿宋_GB2312"/>
          <w:i w:val="0"/>
          <w:iCs w:val="0"/>
          <w:caps w:val="0"/>
          <w:color w:val="auto"/>
          <w:spacing w:val="0"/>
          <w:sz w:val="32"/>
          <w:szCs w:val="32"/>
          <w:shd w:val="clear" w:fill="FFFFFF"/>
        </w:rPr>
        <w:t>。</w:t>
      </w:r>
    </w:p>
    <w:p w14:paraId="7D50392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F8B349">
      <w:pPr>
        <w:spacing w:line="600" w:lineRule="exact"/>
        <w:ind w:firstLine="640" w:firstLineChars="200"/>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color w:val="000000"/>
          <w:sz w:val="32"/>
          <w:szCs w:val="32"/>
        </w:rPr>
        <w:t>决算数与年初预算数持平，主要原因按预算执行，与上年数持平，主要原因本年度未安排因公出国（境）</w:t>
      </w:r>
      <w:r>
        <w:rPr>
          <w:rFonts w:hint="eastAsia" w:ascii="仿宋" w:hAnsi="仿宋" w:eastAsia="仿宋"/>
          <w:color w:val="000000"/>
          <w:sz w:val="32"/>
          <w:szCs w:val="32"/>
        </w:rPr>
        <w:t>。</w:t>
      </w:r>
    </w:p>
    <w:p w14:paraId="6583497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%。其中：</w:t>
      </w:r>
    </w:p>
    <w:p w14:paraId="5E2E4176">
      <w:pPr>
        <w:pStyle w:val="14"/>
        <w:overflowPunct w:val="0"/>
        <w:autoSpaceDE/>
        <w:autoSpaceDN/>
        <w:spacing w:line="600" w:lineRule="exact"/>
        <w:ind w:firstLine="640" w:firstLineChars="200"/>
        <w:jc w:val="both"/>
        <w:rPr>
          <w:rFonts w:hint="eastAsia" w:ascii="仿宋_GB2312" w:hAnsi="宋体" w:eastAsia="仿宋_GB2312" w:cs="仿宋_GB2312"/>
          <w:i w:val="0"/>
          <w:iCs w:val="0"/>
          <w:caps w:val="0"/>
          <w:color w:val="auto"/>
          <w:spacing w:val="0"/>
          <w:sz w:val="32"/>
          <w:szCs w:val="32"/>
          <w:shd w:val="clear" w:fill="FFFFFF"/>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仿宋_GB2312" w:hAnsi="宋体" w:eastAsia="仿宋_GB2312" w:cs="仿宋_GB2312"/>
          <w:i w:val="0"/>
          <w:iCs w:val="0"/>
          <w:caps w:val="0"/>
          <w:color w:val="auto"/>
          <w:spacing w:val="0"/>
          <w:sz w:val="32"/>
          <w:szCs w:val="32"/>
          <w:shd w:val="clear" w:fill="FFFFFF"/>
        </w:rPr>
        <w:t>决算数与年初预算数持平</w:t>
      </w:r>
      <w:r>
        <w:rPr>
          <w:rFonts w:hint="eastAsia" w:ascii="仿宋_GB2312" w:hAnsi="宋体" w:eastAsia="仿宋_GB2312" w:cs="仿宋_GB2312"/>
          <w:i w:val="0"/>
          <w:iCs w:val="0"/>
          <w:caps w:val="0"/>
          <w:color w:val="auto"/>
          <w:spacing w:val="0"/>
          <w:sz w:val="32"/>
          <w:szCs w:val="32"/>
          <w:shd w:val="clear" w:fill="FFFFFF"/>
        </w:rPr>
        <w:t>，主要原因是未安排公务车辆购置费。</w:t>
      </w:r>
    </w:p>
    <w:p w14:paraId="3700AB5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2.76</w:t>
      </w:r>
      <w:r>
        <w:rPr>
          <w:rFonts w:ascii="Times New Roman" w:hAnsi="Times New Roman" w:eastAsia="仿宋_GB2312" w:cs="Times New Roman"/>
          <w:sz w:val="32"/>
          <w:szCs w:val="32"/>
        </w:rPr>
        <w:t>万元，</w:t>
      </w:r>
    </w:p>
    <w:p w14:paraId="6B82E34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ascii="仿宋_GB2312" w:hAnsi="Times New Roman" w:eastAsia="仿宋_GB2312" w:cs="仿宋_GB2312"/>
          <w:i w:val="0"/>
          <w:iCs w:val="0"/>
          <w:caps w:val="0"/>
          <w:color w:val="3D3D3D"/>
          <w:spacing w:val="0"/>
          <w:sz w:val="32"/>
          <w:szCs w:val="32"/>
          <w:shd w:val="clear" w:fill="FFFFFF"/>
        </w:rPr>
        <w:t>主要是</w:t>
      </w:r>
      <w:r>
        <w:rPr>
          <w:rFonts w:hint="eastAsia" w:ascii="仿宋_GB2312" w:hAnsi="宋体" w:eastAsia="仿宋_GB2312" w:cs="仿宋_GB2312"/>
          <w:i w:val="0"/>
          <w:iCs w:val="0"/>
          <w:caps w:val="0"/>
          <w:color w:val="auto"/>
          <w:spacing w:val="0"/>
          <w:sz w:val="32"/>
          <w:szCs w:val="32"/>
          <w:shd w:val="clear" w:fill="FFFFFF"/>
        </w:rPr>
        <w:t>车辆维修费、保险费、油料费、过路过桥等支出</w:t>
      </w:r>
      <w:r>
        <w:rPr>
          <w:rFonts w:hint="eastAsia" w:ascii="仿宋_GB2312" w:hAnsi="Times New Roman" w:eastAsia="仿宋_GB2312" w:cs="仿宋_GB2312"/>
          <w:i w:val="0"/>
          <w:iCs w:val="0"/>
          <w:caps w:val="0"/>
          <w:color w:val="auto"/>
          <w:spacing w:val="0"/>
          <w:sz w:val="32"/>
          <w:szCs w:val="32"/>
          <w:shd w:val="clear" w:fill="FFFFFF"/>
        </w:rPr>
        <w:t>，完成预算的</w:t>
      </w:r>
      <w:r>
        <w:rPr>
          <w:rFonts w:hint="eastAsia" w:ascii="仿宋_GB2312" w:hAnsi="宋体" w:eastAsia="仿宋_GB2312" w:cs="仿宋_GB2312"/>
          <w:i w:val="0"/>
          <w:iCs w:val="0"/>
          <w:caps w:val="0"/>
          <w:color w:val="auto"/>
          <w:spacing w:val="0"/>
          <w:sz w:val="32"/>
          <w:szCs w:val="32"/>
          <w:shd w:val="clear" w:fill="FFFFFF"/>
          <w:lang w:val="en-US" w:eastAsia="zh-CN"/>
        </w:rPr>
        <w:t>98.57</w:t>
      </w:r>
      <w:r>
        <w:rPr>
          <w:rFonts w:hint="default" w:ascii="Times New Roman" w:hAnsi="Times New Roman" w:eastAsia="宋体" w:cs="Times New Roman"/>
          <w:i w:val="0"/>
          <w:iCs w:val="0"/>
          <w:caps w:val="0"/>
          <w:color w:val="auto"/>
          <w:spacing w:val="0"/>
          <w:sz w:val="32"/>
          <w:szCs w:val="32"/>
          <w:shd w:val="clear" w:fill="FFFFFF"/>
        </w:rPr>
        <w:t>%</w:t>
      </w:r>
      <w:r>
        <w:rPr>
          <w:rFonts w:hint="eastAsia" w:ascii="仿宋_GB2312" w:hAnsi="Times New Roman" w:eastAsia="仿宋_GB2312" w:cs="仿宋_GB2312"/>
          <w:i w:val="0"/>
          <w:iCs w:val="0"/>
          <w:caps w:val="0"/>
          <w:color w:val="auto"/>
          <w:spacing w:val="0"/>
          <w:sz w:val="32"/>
          <w:szCs w:val="32"/>
          <w:shd w:val="clear" w:fill="FFFFFF"/>
        </w:rPr>
        <w:t>；决算数小于预算数的主要原因是</w:t>
      </w:r>
      <w:r>
        <w:rPr>
          <w:rFonts w:hint="eastAsia" w:ascii="仿宋_GB2312" w:hAnsi="宋体" w:eastAsia="仿宋_GB2312" w:cs="仿宋_GB2312"/>
          <w:i w:val="0"/>
          <w:iCs w:val="0"/>
          <w:caps w:val="0"/>
          <w:color w:val="auto"/>
          <w:spacing w:val="0"/>
          <w:sz w:val="32"/>
          <w:szCs w:val="32"/>
          <w:shd w:val="clear" w:fill="FFFFFF"/>
        </w:rPr>
        <w:t>：</w:t>
      </w:r>
      <w:r>
        <w:rPr>
          <w:rFonts w:hint="eastAsia" w:ascii="仿宋_GB2312" w:hAnsi="宋体" w:eastAsia="仿宋_GB2312" w:cs="仿宋_GB2312"/>
          <w:i w:val="0"/>
          <w:iCs w:val="0"/>
          <w:caps w:val="0"/>
          <w:color w:val="auto"/>
          <w:spacing w:val="0"/>
          <w:sz w:val="32"/>
          <w:szCs w:val="32"/>
          <w:shd w:val="clear" w:fill="FFFFFF"/>
          <w:lang w:eastAsia="zh-CN"/>
        </w:rPr>
        <w:t>减少公务用车运行维护费支出。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7E1D5EE">
      <w:pPr>
        <w:pStyle w:val="14"/>
        <w:overflowPunct w:val="0"/>
        <w:autoSpaceDE/>
        <w:autoSpaceDN/>
        <w:spacing w:line="600" w:lineRule="exact"/>
        <w:ind w:firstLine="640" w:firstLineChars="200"/>
        <w:jc w:val="both"/>
        <w:rPr>
          <w:rFonts w:hint="eastAsia" w:ascii="仿宋_GB2312" w:hAnsi="宋体" w:eastAsia="仿宋_GB2312" w:cs="仿宋_GB2312"/>
          <w:i w:val="0"/>
          <w:iCs w:val="0"/>
          <w:caps w:val="0"/>
          <w:color w:val="auto"/>
          <w:spacing w:val="0"/>
          <w:sz w:val="32"/>
          <w:szCs w:val="32"/>
          <w:shd w:val="clear" w:fill="FFFFFF"/>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仿宋_GB2312" w:hAnsi="宋体" w:eastAsia="仿宋_GB2312" w:cs="仿宋_GB2312"/>
          <w:i w:val="0"/>
          <w:iCs w:val="0"/>
          <w:caps w:val="0"/>
          <w:color w:val="auto"/>
          <w:spacing w:val="0"/>
          <w:sz w:val="32"/>
          <w:szCs w:val="32"/>
          <w:shd w:val="clear" w:fill="FFFFFF"/>
        </w:rPr>
        <w:t>决算数</w:t>
      </w:r>
      <w:r>
        <w:rPr>
          <w:rFonts w:hint="eastAsia" w:ascii="仿宋_GB2312" w:hAnsi="宋体" w:eastAsia="仿宋_GB2312" w:cs="仿宋_GB2312"/>
          <w:i w:val="0"/>
          <w:iCs w:val="0"/>
          <w:caps w:val="0"/>
          <w:color w:val="auto"/>
          <w:spacing w:val="0"/>
          <w:sz w:val="32"/>
          <w:szCs w:val="32"/>
          <w:shd w:val="clear" w:fill="FFFFFF"/>
          <w:lang w:eastAsia="zh-CN"/>
        </w:rPr>
        <w:t>小于</w:t>
      </w:r>
      <w:r>
        <w:rPr>
          <w:rFonts w:ascii="仿宋_GB2312" w:hAnsi="宋体" w:eastAsia="仿宋_GB2312" w:cs="仿宋_GB2312"/>
          <w:i w:val="0"/>
          <w:iCs w:val="0"/>
          <w:caps w:val="0"/>
          <w:color w:val="auto"/>
          <w:spacing w:val="0"/>
          <w:sz w:val="32"/>
          <w:szCs w:val="32"/>
          <w:shd w:val="clear" w:fill="FFFFFF"/>
        </w:rPr>
        <w:t>年初预算数</w:t>
      </w:r>
      <w:r>
        <w:rPr>
          <w:rFonts w:hint="eastAsia" w:ascii="仿宋_GB2312" w:hAnsi="宋体" w:eastAsia="仿宋_GB2312" w:cs="仿宋_GB2312"/>
          <w:i w:val="0"/>
          <w:iCs w:val="0"/>
          <w:caps w:val="0"/>
          <w:color w:val="auto"/>
          <w:spacing w:val="0"/>
          <w:sz w:val="32"/>
          <w:szCs w:val="32"/>
          <w:shd w:val="clear" w:fill="FFFFFF"/>
        </w:rPr>
        <w:t>主要原因是未安排</w:t>
      </w:r>
      <w:r>
        <w:rPr>
          <w:rFonts w:hint="eastAsia" w:ascii="仿宋_GB2312" w:hAnsi="宋体" w:eastAsia="仿宋_GB2312" w:cs="仿宋_GB2312"/>
          <w:i w:val="0"/>
          <w:iCs w:val="0"/>
          <w:caps w:val="0"/>
          <w:color w:val="auto"/>
          <w:spacing w:val="0"/>
          <w:sz w:val="32"/>
          <w:szCs w:val="32"/>
          <w:shd w:val="clear" w:fill="FFFFFF"/>
          <w:lang w:eastAsia="zh-CN"/>
        </w:rPr>
        <w:t>公务接待。</w:t>
      </w:r>
    </w:p>
    <w:p w14:paraId="71CD089B">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35CE30C">
      <w:pPr>
        <w:spacing w:line="600" w:lineRule="exact"/>
        <w:ind w:firstLine="640" w:firstLineChars="20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度</w:t>
      </w:r>
      <w:r>
        <w:rPr>
          <w:rFonts w:ascii="仿宋" w:hAnsi="仿宋" w:eastAsia="仿宋"/>
          <w:sz w:val="32"/>
          <w:szCs w:val="32"/>
        </w:rPr>
        <w:t>本单位无政府性基金预算财政拨款。</w:t>
      </w:r>
    </w:p>
    <w:p w14:paraId="27EC91D3">
      <w:pPr>
        <w:spacing w:line="600" w:lineRule="exact"/>
        <w:ind w:firstLine="640" w:firstLineChars="200"/>
        <w:rPr>
          <w:rFonts w:ascii="黑体" w:hAnsi="黑体" w:eastAsia="黑体"/>
          <w:sz w:val="32"/>
          <w:szCs w:val="32"/>
        </w:rPr>
      </w:pPr>
      <w:r>
        <w:rPr>
          <w:rFonts w:hint="eastAsia" w:ascii="黑体" w:hAnsi="黑体" w:eastAsia="黑体"/>
          <w:sz w:val="32"/>
          <w:szCs w:val="32"/>
        </w:rPr>
        <w:t>九、国有资本经营预算财政拨款支出决算情况说明</w:t>
      </w:r>
    </w:p>
    <w:p w14:paraId="4B3C7DF8">
      <w:pPr>
        <w:spacing w:line="600" w:lineRule="exact"/>
        <w:ind w:firstLine="640" w:firstLineChars="20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w:t>
      </w:r>
      <w:r>
        <w:rPr>
          <w:rFonts w:ascii="仿宋" w:hAnsi="仿宋" w:eastAsia="仿宋"/>
          <w:sz w:val="32"/>
          <w:szCs w:val="32"/>
        </w:rPr>
        <w:t>本单位无国有资本经营预算财政拨款支出</w:t>
      </w:r>
      <w:r>
        <w:rPr>
          <w:rFonts w:hint="eastAsia" w:ascii="仿宋" w:hAnsi="仿宋" w:eastAsia="仿宋"/>
          <w:sz w:val="32"/>
          <w:szCs w:val="32"/>
        </w:rPr>
        <w:t>。</w:t>
      </w:r>
    </w:p>
    <w:p w14:paraId="4D8F365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2C54307">
      <w:pPr>
        <w:pStyle w:val="14"/>
        <w:overflowPunct w:val="0"/>
        <w:autoSpaceDE/>
        <w:autoSpaceDN/>
        <w:spacing w:line="600" w:lineRule="exact"/>
        <w:ind w:firstLine="640" w:firstLineChars="200"/>
        <w:jc w:val="both"/>
        <w:rPr>
          <w:rFonts w:hint="eastAsia" w:ascii="仿宋_GB2312" w:hAnsi="Times New Roman" w:eastAsia="仿宋_GB2312" w:cs="仿宋_GB2312"/>
          <w:i w:val="0"/>
          <w:iCs w:val="0"/>
          <w:caps w:val="0"/>
          <w:color w:val="3D3D3D"/>
          <w:spacing w:val="0"/>
          <w:sz w:val="32"/>
          <w:szCs w:val="32"/>
          <w:shd w:val="clear" w:fill="FFFFFF"/>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29.73</w:t>
      </w:r>
      <w:r>
        <w:rPr>
          <w:rFonts w:ascii="Times New Roman" w:hAnsi="Times New Roman" w:eastAsia="仿宋_GB2312" w:cs="Times New Roman"/>
          <w:sz w:val="32"/>
          <w:szCs w:val="32"/>
        </w:rPr>
        <w:t>万元，</w:t>
      </w:r>
      <w:r>
        <w:rPr>
          <w:rFonts w:ascii="仿宋_GB2312" w:hAnsi="Times New Roman" w:eastAsia="仿宋_GB2312" w:cs="仿宋_GB2312"/>
          <w:i w:val="0"/>
          <w:iCs w:val="0"/>
          <w:caps w:val="0"/>
          <w:color w:val="3D3D3D"/>
          <w:spacing w:val="0"/>
          <w:sz w:val="32"/>
          <w:szCs w:val="32"/>
          <w:shd w:val="clear" w:fill="FFFFFF"/>
        </w:rPr>
        <w:t>比年初预算数增加</w:t>
      </w:r>
      <w:r>
        <w:rPr>
          <w:rFonts w:hint="eastAsia" w:ascii="仿宋_GB2312" w:hAnsi="宋体" w:eastAsia="仿宋_GB2312" w:cs="仿宋_GB2312"/>
          <w:i w:val="0"/>
          <w:iCs w:val="0"/>
          <w:caps w:val="0"/>
          <w:color w:val="3D3D3D"/>
          <w:spacing w:val="0"/>
          <w:sz w:val="32"/>
          <w:szCs w:val="32"/>
          <w:shd w:val="clear" w:fill="FFFFFF"/>
          <w:lang w:val="en-US" w:eastAsia="zh-CN"/>
        </w:rPr>
        <w:t>10.53</w:t>
      </w:r>
      <w:r>
        <w:rPr>
          <w:rFonts w:hint="eastAsia" w:ascii="仿宋_GB2312" w:hAnsi="Times New Roman" w:eastAsia="仿宋_GB2312" w:cs="仿宋_GB2312"/>
          <w:i w:val="0"/>
          <w:iCs w:val="0"/>
          <w:caps w:val="0"/>
          <w:color w:val="3D3D3D"/>
          <w:spacing w:val="0"/>
          <w:sz w:val="32"/>
          <w:szCs w:val="32"/>
          <w:shd w:val="clear" w:fill="FFFFFF"/>
        </w:rPr>
        <w:t>万元，增长</w:t>
      </w:r>
      <w:r>
        <w:rPr>
          <w:rFonts w:hint="eastAsia" w:ascii="仿宋_GB2312" w:hAnsi="宋体" w:eastAsia="仿宋_GB2312" w:cs="仿宋_GB2312"/>
          <w:i w:val="0"/>
          <w:iCs w:val="0"/>
          <w:caps w:val="0"/>
          <w:color w:val="3D3D3D"/>
          <w:spacing w:val="0"/>
          <w:sz w:val="32"/>
          <w:szCs w:val="32"/>
          <w:shd w:val="clear" w:fill="FFFFFF"/>
          <w:lang w:val="en-US" w:eastAsia="zh-CN"/>
        </w:rPr>
        <w:t>54.84</w:t>
      </w:r>
      <w:r>
        <w:rPr>
          <w:rFonts w:hint="default" w:ascii="Times New Roman" w:hAnsi="Times New Roman" w:eastAsia="宋体" w:cs="Times New Roman"/>
          <w:i w:val="0"/>
          <w:iCs w:val="0"/>
          <w:caps w:val="0"/>
          <w:color w:val="3D3D3D"/>
          <w:spacing w:val="0"/>
          <w:sz w:val="32"/>
          <w:szCs w:val="32"/>
          <w:shd w:val="clear" w:fill="FFFFFF"/>
        </w:rPr>
        <w:t>%</w:t>
      </w:r>
      <w:r>
        <w:rPr>
          <w:rFonts w:hint="eastAsia" w:ascii="仿宋_GB2312" w:hAnsi="Times New Roman" w:eastAsia="仿宋_GB2312" w:cs="仿宋_GB2312"/>
          <w:i w:val="0"/>
          <w:iCs w:val="0"/>
          <w:caps w:val="0"/>
          <w:color w:val="3D3D3D"/>
          <w:spacing w:val="0"/>
          <w:sz w:val="32"/>
          <w:szCs w:val="32"/>
          <w:shd w:val="clear" w:fill="FFFFFF"/>
        </w:rPr>
        <w:t>。主要原因是：</w:t>
      </w:r>
      <w:r>
        <w:rPr>
          <w:rFonts w:hint="eastAsia" w:ascii="仿宋_GB2312" w:hAnsi="Times New Roman" w:eastAsia="仿宋_GB2312" w:cs="仿宋_GB2312"/>
          <w:i w:val="0"/>
          <w:iCs w:val="0"/>
          <w:caps w:val="0"/>
          <w:color w:val="3D3D3D"/>
          <w:spacing w:val="0"/>
          <w:sz w:val="32"/>
          <w:szCs w:val="32"/>
          <w:shd w:val="clear" w:fill="FFFFFF"/>
          <w:lang w:val="en-US" w:eastAsia="zh-CN"/>
        </w:rPr>
        <w:t>2025年6月新增了7名工作人员，</w:t>
      </w:r>
      <w:r>
        <w:rPr>
          <w:rFonts w:hint="eastAsia" w:ascii="仿宋_GB2312" w:hAnsi="宋体" w:eastAsia="仿宋_GB2312" w:cs="仿宋_GB2312"/>
          <w:i w:val="0"/>
          <w:iCs w:val="0"/>
          <w:caps w:val="0"/>
          <w:color w:val="3D3D3D"/>
          <w:spacing w:val="0"/>
          <w:sz w:val="32"/>
          <w:szCs w:val="32"/>
          <w:shd w:val="clear" w:fill="FFFFFF"/>
        </w:rPr>
        <w:t>年初预算未包含</w:t>
      </w:r>
      <w:r>
        <w:rPr>
          <w:rFonts w:hint="eastAsia" w:ascii="仿宋_GB2312" w:hAnsi="宋体" w:eastAsia="仿宋_GB2312" w:cs="仿宋_GB2312"/>
          <w:i w:val="0"/>
          <w:iCs w:val="0"/>
          <w:caps w:val="0"/>
          <w:color w:val="3D3D3D"/>
          <w:spacing w:val="0"/>
          <w:sz w:val="32"/>
          <w:szCs w:val="32"/>
          <w:shd w:val="clear" w:fill="FFFFFF"/>
          <w:lang w:val="en-US" w:eastAsia="zh-CN"/>
        </w:rPr>
        <w:t>7名工作人员工会经费及</w:t>
      </w:r>
      <w:r>
        <w:rPr>
          <w:rFonts w:hint="eastAsia" w:ascii="仿宋_GB2312" w:hAnsi="宋体" w:eastAsia="仿宋_GB2312" w:cs="仿宋_GB2312"/>
          <w:i w:val="0"/>
          <w:iCs w:val="0"/>
          <w:caps w:val="0"/>
          <w:color w:val="3D3D3D"/>
          <w:spacing w:val="0"/>
          <w:sz w:val="32"/>
          <w:szCs w:val="32"/>
          <w:shd w:val="clear" w:fill="FFFFFF"/>
        </w:rPr>
        <w:t>其他交通费用</w:t>
      </w:r>
      <w:r>
        <w:rPr>
          <w:rFonts w:hint="eastAsia" w:ascii="仿宋_GB2312" w:hAnsi="Times New Roman" w:eastAsia="仿宋_GB2312" w:cs="仿宋_GB2312"/>
          <w:i w:val="0"/>
          <w:iCs w:val="0"/>
          <w:caps w:val="0"/>
          <w:color w:val="3D3D3D"/>
          <w:spacing w:val="0"/>
          <w:sz w:val="32"/>
          <w:szCs w:val="32"/>
          <w:shd w:val="clear" w:fill="FFFFFF"/>
        </w:rPr>
        <w:t>。</w:t>
      </w:r>
    </w:p>
    <w:p w14:paraId="4BC133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5AA323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关于“两欠”工作及旅发项目欠薪情况调度会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调度全市“两欠”工作及旅发大会项目欠薪情况</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2025年我单位无</w:t>
      </w:r>
      <w:r>
        <w:rPr>
          <w:rFonts w:ascii="Times New Roman" w:hAnsi="Times New Roman" w:eastAsia="仿宋_GB2312" w:cs="Times New Roman"/>
          <w:sz w:val="32"/>
          <w:szCs w:val="32"/>
        </w:rPr>
        <w:t>节庆、晚会、论坛、赛事活动</w:t>
      </w:r>
      <w:r>
        <w:rPr>
          <w:rFonts w:hint="eastAsia" w:ascii="Times New Roman" w:hAnsi="Times New Roman" w:eastAsia="仿宋_GB2312" w:cs="Times New Roman"/>
          <w:sz w:val="32"/>
          <w:szCs w:val="32"/>
          <w:lang w:eastAsia="zh-CN"/>
        </w:rPr>
        <w:t>。</w:t>
      </w:r>
    </w:p>
    <w:p w14:paraId="7CA6C5A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3268918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441AB066">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5476F1E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0BECE2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098C463">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64.27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64.27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64C54060">
      <w:pPr>
        <w:numPr>
          <w:ilvl w:val="0"/>
          <w:numId w:val="0"/>
        </w:numPr>
        <w:spacing w:line="360" w:lineRule="auto"/>
        <w:ind w:firstLine="640" w:firstLineChars="200"/>
        <w:jc w:val="left"/>
        <w:rPr>
          <w:rFonts w:hint="eastAsia" w:ascii="仿宋_GB2312" w:hAnsi="仿宋_GB2312" w:eastAsia="仿宋_GB2312" w:cs="仿宋_GB2312"/>
          <w:spacing w:val="-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253.84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327.55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劳动人事争议调解</w:t>
      </w:r>
      <w:r>
        <w:rPr>
          <w:rFonts w:hint="eastAsia" w:ascii="仿宋" w:hAnsi="仿宋" w:eastAsia="仿宋" w:cs="宋体"/>
          <w:b w:val="0"/>
          <w:bCs w:val="0"/>
          <w:sz w:val="32"/>
          <w:szCs w:val="32"/>
        </w:rPr>
        <w:t>仲</w:t>
      </w:r>
      <w:r>
        <w:rPr>
          <w:rFonts w:hint="eastAsia" w:ascii="仿宋" w:hAnsi="仿宋" w:eastAsia="仿宋" w:cs="宋体"/>
          <w:b w:val="0"/>
          <w:bCs w:val="0"/>
          <w:sz w:val="32"/>
          <w:szCs w:val="32"/>
          <w:highlight w:val="none"/>
        </w:rPr>
        <w:t>裁工作</w:t>
      </w:r>
      <w:r>
        <w:rPr>
          <w:rFonts w:hint="eastAsia" w:ascii="仿宋" w:hAnsi="仿宋" w:eastAsia="仿宋" w:cs="宋体"/>
          <w:b w:val="0"/>
          <w:bCs w:val="0"/>
          <w:sz w:val="32"/>
          <w:szCs w:val="32"/>
          <w:highlight w:val="none"/>
          <w:lang w:eastAsia="zh-CN"/>
        </w:rPr>
        <w:t>和劳动保障监察工作方面完成较好。</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spacing w:val="-2"/>
          <w:sz w:val="32"/>
          <w:szCs w:val="32"/>
          <w:lang w:eastAsia="zh-CN"/>
        </w:rPr>
        <w:t>1、预算与任务匹配度不足，经费缺口明显：年初预算未充分预判年度专项工作任务的复杂性与工作量，导致在劳动仲裁案件激增、欠薪线索集中处置等关键工作中，项目经费保障力度不足，部分工作推进依赖临时调剂资金。</w:t>
      </w:r>
      <w:r>
        <w:rPr>
          <w:rFonts w:hint="eastAsia" w:ascii="仿宋_GB2312" w:hAnsi="仿宋_GB2312" w:eastAsia="仿宋_GB2312" w:cs="仿宋_GB2312"/>
          <w:spacing w:val="-2"/>
          <w:sz w:val="32"/>
          <w:szCs w:val="32"/>
          <w:lang w:val="en-US" w:eastAsia="zh-CN"/>
        </w:rPr>
        <w:t>2、</w:t>
      </w:r>
      <w:r>
        <w:rPr>
          <w:rFonts w:hint="eastAsia" w:ascii="仿宋_GB2312" w:hAnsi="仿宋_GB2312" w:eastAsia="仿宋_GB2312" w:cs="仿宋_GB2312"/>
          <w:spacing w:val="-2"/>
          <w:sz w:val="32"/>
          <w:szCs w:val="32"/>
          <w:lang w:eastAsia="zh-CN"/>
        </w:rPr>
        <w:t> 预算资金下达滞后，影响工作进度：部分专项预算资金下达时间较晚，与实际工作开展节奏不匹配，导致部分前期筹备工作衔接不畅，一定程度上延缓了专项工作的推进效率。</w:t>
      </w:r>
      <w:r>
        <w:rPr>
          <w:rFonts w:ascii="Times New Roman" w:hAnsi="Times New Roman" w:eastAsia="仿宋_GB2312" w:cs="Times New Roman"/>
          <w:sz w:val="32"/>
          <w:szCs w:val="32"/>
        </w:rPr>
        <w:t>下一步改进措施：</w:t>
      </w:r>
      <w:r>
        <w:rPr>
          <w:rFonts w:hint="eastAsia" w:ascii="仿宋_GB2312" w:hAnsi="仿宋_GB2312" w:eastAsia="仿宋_GB2312" w:cs="仿宋_GB2312"/>
          <w:spacing w:val="-2"/>
          <w:sz w:val="32"/>
          <w:szCs w:val="32"/>
        </w:rPr>
        <w:t>结合202</w:t>
      </w:r>
      <w:r>
        <w:rPr>
          <w:rFonts w:hint="eastAsia" w:ascii="仿宋_GB2312" w:hAnsi="仿宋_GB2312" w:eastAsia="仿宋_GB2312" w:cs="仿宋_GB2312"/>
          <w:spacing w:val="-2"/>
          <w:sz w:val="32"/>
          <w:szCs w:val="32"/>
          <w:lang w:val="en-US" w:eastAsia="zh-CN"/>
        </w:rPr>
        <w:t>5</w:t>
      </w:r>
      <w:r>
        <w:rPr>
          <w:rFonts w:hint="eastAsia" w:ascii="仿宋_GB2312" w:hAnsi="仿宋_GB2312" w:eastAsia="仿宋_GB2312" w:cs="仿宋_GB2312"/>
          <w:spacing w:val="-2"/>
          <w:sz w:val="32"/>
          <w:szCs w:val="32"/>
        </w:rPr>
        <w:t>年工作任务量与实际支出需求，重点向劳动仲裁、劳动监察等核心业务倾斜，确保预算安排与工作任务精准匹配，避免经费缺口。</w:t>
      </w:r>
    </w:p>
    <w:p w14:paraId="5094E710">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p>
    <w:p w14:paraId="19211E5D">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结合2025年度绩效自评、部门评价结果，本部门将从预算、支出、管理、制度四方面深化结果应用，优化2025年度工作安排：</w:t>
      </w:r>
    </w:p>
    <w:p w14:paraId="4BCF17BB">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预算安排层面：以“绩效优先”为导向，基于2025年核心业务劳动仲裁、劳动监察的高负荷运转需求，2026年预算重点加大对案件办理、线索处置、调解室运维等关键领域的经费倾斜，确保预算规模与工作任务量相适应。</w:t>
      </w:r>
    </w:p>
    <w:p w14:paraId="4FFA8FB2">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支出结构调整层面：压缩非必要一般性支出，将资金向“农民工工资速裁”“欠薪线索处置”等民生重点项目集中，同时优化资金拨付流程，优先保障时效性强、社会效益高的工作，提升资金使用精准度。</w:t>
      </w:r>
    </w:p>
    <w:p w14:paraId="62FCC760">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资金管理层面：针对2025年经费缺口问题，强化专款专用管理，杜绝资金挤占挪用，确保每笔支出都对应明确的绩效目标。</w:t>
      </w:r>
    </w:p>
    <w:p w14:paraId="16F115D6">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制度建设层面：结合评价反馈的预算匹配度问题，将年度工作任务预判、历史支出数据参考纳入预算编制流程；同步完善预算调整应急机制，提升对突发工作任务的资金保障能力，从制度层面避免类似问题重复发生。</w:t>
      </w:r>
    </w:p>
    <w:p w14:paraId="0794BD64">
      <w:pPr>
        <w:pStyle w:val="14"/>
        <w:jc w:val="both"/>
        <w:rPr>
          <w:rFonts w:ascii="Times New Roman" w:hAnsi="Times New Roman" w:cs="Times New Roman"/>
          <w:sz w:val="72"/>
          <w:szCs w:val="72"/>
        </w:rPr>
      </w:pPr>
    </w:p>
    <w:p w14:paraId="3B0F4972">
      <w:pPr>
        <w:pStyle w:val="14"/>
        <w:jc w:val="both"/>
        <w:rPr>
          <w:rFonts w:ascii="Times New Roman" w:hAnsi="Times New Roman" w:cs="Times New Roman"/>
          <w:sz w:val="72"/>
          <w:szCs w:val="72"/>
        </w:rPr>
      </w:pPr>
    </w:p>
    <w:p w14:paraId="7347F5F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522934F">
      <w:pPr>
        <w:widowControl/>
        <w:jc w:val="left"/>
        <w:rPr>
          <w:rFonts w:ascii="Times New Roman" w:hAnsi="Times New Roman" w:cs="Times New Roman"/>
          <w:color w:val="000000"/>
          <w:kern w:val="0"/>
          <w:sz w:val="32"/>
          <w:szCs w:val="32"/>
        </w:rPr>
      </w:pPr>
    </w:p>
    <w:p w14:paraId="14DC77D4">
      <w:p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机关运行经费：为保障行政单位（包括参照公务员法管理的事业单位）运行，用一般公共预算拨款安排，用于购买货物和服务的各项资金，包括办公费、印刷费、邮电费、差旅费、会议费、福利费、日常维修费、办公用房水电费、办公用房取暖费、办公用房物业管理费、公务用车运行维护费、车补以及其他费用，即为行政单位和参照公务员法管理事业单位一般公共预算财政拨款基本支出中的公用经费支出。</w:t>
      </w:r>
    </w:p>
    <w:p w14:paraId="1BD48878">
      <w:p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6E94264">
      <w:pPr>
        <w:pStyle w:val="14"/>
        <w:jc w:val="center"/>
        <w:rPr>
          <w:rFonts w:ascii="Times New Roman" w:hAnsi="Times New Roman" w:cs="Times New Roman"/>
          <w:sz w:val="72"/>
          <w:szCs w:val="72"/>
        </w:rPr>
      </w:pPr>
    </w:p>
    <w:p w14:paraId="252F725D">
      <w:pPr>
        <w:pStyle w:val="14"/>
        <w:jc w:val="center"/>
        <w:rPr>
          <w:rFonts w:ascii="Times New Roman" w:hAnsi="Times New Roman" w:cs="Times New Roman"/>
          <w:sz w:val="72"/>
          <w:szCs w:val="72"/>
        </w:rPr>
      </w:pPr>
    </w:p>
    <w:p w14:paraId="18A428A7">
      <w:pPr>
        <w:pStyle w:val="14"/>
        <w:jc w:val="center"/>
        <w:rPr>
          <w:rFonts w:ascii="Times New Roman" w:hAnsi="Times New Roman" w:cs="Times New Roman"/>
          <w:sz w:val="72"/>
          <w:szCs w:val="72"/>
        </w:rPr>
      </w:pPr>
    </w:p>
    <w:p w14:paraId="2A09F83A">
      <w:pPr>
        <w:pStyle w:val="14"/>
        <w:jc w:val="both"/>
        <w:rPr>
          <w:rFonts w:ascii="Times New Roman" w:hAnsi="Times New Roman" w:cs="Times New Roman"/>
          <w:sz w:val="72"/>
          <w:szCs w:val="72"/>
        </w:rPr>
      </w:pPr>
    </w:p>
    <w:p w14:paraId="4936078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C191BE8">
      <w:pPr>
        <w:widowControl/>
        <w:jc w:val="center"/>
        <w:rPr>
          <w:rFonts w:hint="eastAsia" w:ascii="仿宋" w:hAnsi="仿宋" w:eastAsia="仿宋" w:cs="仿宋"/>
          <w:b/>
          <w:bCs/>
          <w:color w:val="auto"/>
          <w:sz w:val="44"/>
          <w:szCs w:val="44"/>
        </w:rPr>
      </w:pPr>
    </w:p>
    <w:p w14:paraId="2EDB8560">
      <w:pPr>
        <w:widowControl/>
        <w:jc w:val="center"/>
        <w:rPr>
          <w:rFonts w:hint="eastAsia" w:ascii="仿宋" w:hAnsi="仿宋" w:eastAsia="仿宋" w:cs="仿宋"/>
          <w:b/>
          <w:bCs/>
          <w:color w:val="auto"/>
          <w:sz w:val="44"/>
          <w:szCs w:val="44"/>
          <w:lang w:eastAsia="zh-CN"/>
        </w:rPr>
      </w:pPr>
      <w:bookmarkStart w:id="1" w:name="_GoBack"/>
      <w:bookmarkEnd w:id="1"/>
      <w:r>
        <w:rPr>
          <w:rFonts w:hint="eastAsia" w:ascii="仿宋" w:hAnsi="仿宋" w:eastAsia="仿宋" w:cs="仿宋"/>
          <w:b/>
          <w:bCs/>
          <w:color w:val="auto"/>
          <w:sz w:val="44"/>
          <w:szCs w:val="44"/>
        </w:rPr>
        <w:t>怀化市</w:t>
      </w:r>
      <w:r>
        <w:rPr>
          <w:rFonts w:hint="eastAsia" w:ascii="仿宋" w:hAnsi="仿宋" w:eastAsia="仿宋" w:cs="仿宋"/>
          <w:b/>
          <w:bCs/>
          <w:color w:val="auto"/>
          <w:sz w:val="44"/>
          <w:szCs w:val="44"/>
          <w:lang w:eastAsia="zh-CN"/>
        </w:rPr>
        <w:t>劳动人事争议仲裁院</w:t>
      </w:r>
    </w:p>
    <w:p w14:paraId="6B61631C">
      <w:pPr>
        <w:widowControl/>
        <w:jc w:val="center"/>
        <w:rPr>
          <w:rFonts w:ascii="仿宋" w:hAnsi="仿宋" w:eastAsia="仿宋" w:cs="仿宋"/>
          <w:b/>
          <w:bCs/>
          <w:color w:val="auto"/>
          <w:sz w:val="44"/>
          <w:szCs w:val="44"/>
        </w:rPr>
      </w:pPr>
      <w:r>
        <w:rPr>
          <w:rFonts w:hint="eastAsia" w:ascii="仿宋" w:hAnsi="仿宋" w:eastAsia="仿宋" w:cs="仿宋"/>
          <w:b/>
          <w:bCs/>
          <w:color w:val="auto"/>
          <w:sz w:val="44"/>
          <w:szCs w:val="44"/>
        </w:rPr>
        <w:t>202</w:t>
      </w:r>
      <w:r>
        <w:rPr>
          <w:rFonts w:hint="eastAsia" w:ascii="仿宋" w:hAnsi="仿宋" w:eastAsia="仿宋" w:cs="仿宋"/>
          <w:b/>
          <w:bCs/>
          <w:color w:val="auto"/>
          <w:sz w:val="44"/>
          <w:szCs w:val="44"/>
          <w:lang w:val="en-US" w:eastAsia="zh-CN"/>
        </w:rPr>
        <w:t>5</w:t>
      </w:r>
      <w:r>
        <w:rPr>
          <w:rFonts w:hint="eastAsia" w:ascii="仿宋" w:hAnsi="仿宋" w:eastAsia="仿宋" w:cs="仿宋"/>
          <w:b/>
          <w:bCs/>
          <w:color w:val="auto"/>
          <w:sz w:val="44"/>
          <w:szCs w:val="44"/>
        </w:rPr>
        <w:t>年度</w:t>
      </w:r>
      <w:r>
        <w:rPr>
          <w:rFonts w:ascii="仿宋" w:hAnsi="仿宋" w:eastAsia="仿宋" w:cs="仿宋"/>
          <w:b/>
          <w:bCs/>
          <w:color w:val="auto"/>
          <w:sz w:val="44"/>
          <w:szCs w:val="44"/>
        </w:rPr>
        <w:t>整体支出绩效自评报告</w:t>
      </w:r>
    </w:p>
    <w:p w14:paraId="35EF6A90">
      <w:pPr>
        <w:ind w:firstLine="708" w:firstLineChars="236"/>
        <w:rPr>
          <w:rFonts w:ascii="仿宋" w:hAnsi="仿宋" w:eastAsia="仿宋"/>
          <w:b/>
          <w:bCs/>
          <w:color w:val="auto"/>
          <w:sz w:val="30"/>
          <w:szCs w:val="30"/>
        </w:rPr>
      </w:pPr>
      <w:r>
        <w:rPr>
          <w:rFonts w:ascii="仿宋" w:hAnsi="仿宋" w:eastAsia="仿宋"/>
          <w:b/>
          <w:bCs/>
          <w:color w:val="auto"/>
          <w:sz w:val="30"/>
          <w:szCs w:val="30"/>
        </w:rPr>
        <w:t>一、部门概况</w:t>
      </w:r>
    </w:p>
    <w:p w14:paraId="7EA5A0A9">
      <w:pPr>
        <w:tabs>
          <w:tab w:val="left" w:pos="1620"/>
          <w:tab w:val="left" w:pos="1800"/>
        </w:tabs>
        <w:ind w:firstLine="450" w:firstLineChars="150"/>
        <w:rPr>
          <w:rFonts w:hint="eastAsia" w:ascii="仿宋" w:hAnsi="仿宋" w:eastAsia="仿宋" w:cs="仿宋"/>
          <w:bCs/>
          <w:color w:val="auto"/>
          <w:sz w:val="30"/>
          <w:szCs w:val="30"/>
        </w:rPr>
      </w:pPr>
      <w:r>
        <w:rPr>
          <w:rFonts w:hint="eastAsia" w:ascii="仿宋" w:hAnsi="仿宋" w:eastAsia="仿宋" w:cs="仿宋"/>
          <w:bCs/>
          <w:color w:val="auto"/>
          <w:sz w:val="30"/>
          <w:szCs w:val="30"/>
        </w:rPr>
        <w:t>拟订并组织实施全市劳动人事争议调解仲裁工作中、长期发展规划；</w:t>
      </w:r>
    </w:p>
    <w:p w14:paraId="5460ADA4">
      <w:pPr>
        <w:ind w:firstLine="450" w:firstLineChars="150"/>
        <w:rPr>
          <w:rFonts w:hint="eastAsia" w:ascii="仿宋" w:hAnsi="仿宋" w:eastAsia="仿宋" w:cs="仿宋"/>
          <w:bCs/>
          <w:color w:val="auto"/>
          <w:sz w:val="30"/>
          <w:szCs w:val="30"/>
        </w:rPr>
      </w:pPr>
      <w:r>
        <w:rPr>
          <w:rFonts w:hint="eastAsia" w:ascii="仿宋" w:hAnsi="仿宋" w:eastAsia="仿宋" w:cs="仿宋"/>
          <w:bCs/>
          <w:color w:val="auto"/>
          <w:sz w:val="30"/>
          <w:szCs w:val="30"/>
          <w:lang w:eastAsia="zh-CN"/>
        </w:rPr>
        <w:t>负责</w:t>
      </w:r>
      <w:r>
        <w:rPr>
          <w:rFonts w:hint="eastAsia" w:ascii="仿宋" w:hAnsi="仿宋" w:eastAsia="仿宋" w:cs="仿宋"/>
          <w:bCs/>
          <w:color w:val="auto"/>
          <w:sz w:val="30"/>
          <w:szCs w:val="30"/>
        </w:rPr>
        <w:t>指导监督全市劳动人事争议调解仲裁工作及</w:t>
      </w:r>
      <w:r>
        <w:rPr>
          <w:rFonts w:hint="eastAsia" w:ascii="仿宋" w:hAnsi="仿宋" w:eastAsia="仿宋" w:cs="仿宋"/>
          <w:color w:val="auto"/>
          <w:sz w:val="30"/>
          <w:szCs w:val="30"/>
        </w:rPr>
        <w:t>基层劳动人事争议调解组织建设工作</w:t>
      </w:r>
      <w:r>
        <w:rPr>
          <w:rFonts w:hint="eastAsia" w:ascii="仿宋" w:hAnsi="仿宋" w:eastAsia="仿宋" w:cs="仿宋"/>
          <w:bCs/>
          <w:color w:val="auto"/>
          <w:sz w:val="30"/>
          <w:szCs w:val="30"/>
        </w:rPr>
        <w:t>；</w:t>
      </w:r>
    </w:p>
    <w:p w14:paraId="57268F78">
      <w:pPr>
        <w:ind w:firstLine="450" w:firstLineChars="150"/>
        <w:rPr>
          <w:rFonts w:hint="eastAsia" w:ascii="仿宋" w:hAnsi="仿宋" w:eastAsia="仿宋" w:cs="仿宋"/>
          <w:bCs/>
          <w:color w:val="auto"/>
          <w:sz w:val="30"/>
          <w:szCs w:val="30"/>
        </w:rPr>
      </w:pPr>
      <w:r>
        <w:rPr>
          <w:rFonts w:hint="eastAsia" w:ascii="仿宋" w:hAnsi="仿宋" w:eastAsia="仿宋" w:cs="仿宋"/>
          <w:bCs/>
          <w:color w:val="auto"/>
          <w:sz w:val="30"/>
          <w:szCs w:val="30"/>
          <w:lang w:eastAsia="zh-CN"/>
        </w:rPr>
        <w:t>负责</w:t>
      </w:r>
      <w:r>
        <w:rPr>
          <w:rFonts w:hint="eastAsia" w:ascii="仿宋" w:hAnsi="仿宋" w:eastAsia="仿宋" w:cs="仿宋"/>
          <w:bCs/>
          <w:color w:val="auto"/>
          <w:sz w:val="30"/>
          <w:szCs w:val="30"/>
        </w:rPr>
        <w:t>指导开展劳动人事争议预防工作；</w:t>
      </w:r>
    </w:p>
    <w:p w14:paraId="7C1732D6">
      <w:pPr>
        <w:ind w:firstLine="450" w:firstLineChars="150"/>
        <w:rPr>
          <w:rFonts w:hint="eastAsia" w:ascii="仿宋" w:hAnsi="仿宋" w:eastAsia="仿宋" w:cs="仿宋"/>
          <w:bCs/>
          <w:color w:val="auto"/>
          <w:sz w:val="30"/>
          <w:szCs w:val="30"/>
        </w:rPr>
      </w:pPr>
      <w:r>
        <w:rPr>
          <w:rFonts w:hint="eastAsia" w:ascii="仿宋" w:hAnsi="仿宋" w:eastAsia="仿宋" w:cs="仿宋"/>
          <w:bCs/>
          <w:color w:val="auto"/>
          <w:sz w:val="30"/>
          <w:szCs w:val="30"/>
        </w:rPr>
        <w:t>负责全市劳动人事争议调解员、仲裁员队伍建设，承担全市劳动人事争议专、兼职仲裁员、调解员业务培训和考核工作；</w:t>
      </w:r>
    </w:p>
    <w:p w14:paraId="589D0C56">
      <w:pPr>
        <w:ind w:firstLine="600" w:firstLineChars="200"/>
        <w:rPr>
          <w:rFonts w:hint="eastAsia" w:ascii="仿宋" w:hAnsi="仿宋" w:eastAsia="仿宋" w:cs="仿宋"/>
          <w:bCs/>
          <w:color w:val="auto"/>
          <w:sz w:val="30"/>
          <w:szCs w:val="30"/>
        </w:rPr>
      </w:pPr>
      <w:r>
        <w:rPr>
          <w:rFonts w:hint="eastAsia" w:ascii="仿宋" w:hAnsi="仿宋" w:eastAsia="仿宋" w:cs="仿宋"/>
          <w:bCs/>
          <w:color w:val="auto"/>
          <w:sz w:val="30"/>
          <w:szCs w:val="30"/>
        </w:rPr>
        <w:t>负责全市劳动人事争议调解仲裁情况统计报表和综合分析工作；</w:t>
      </w:r>
    </w:p>
    <w:p w14:paraId="2C030330">
      <w:pPr>
        <w:ind w:firstLine="447" w:firstLineChars="149"/>
        <w:rPr>
          <w:rFonts w:hint="eastAsia" w:ascii="仿宋" w:hAnsi="仿宋" w:eastAsia="仿宋" w:cs="仿宋"/>
          <w:bCs/>
          <w:color w:val="auto"/>
          <w:sz w:val="30"/>
          <w:szCs w:val="30"/>
          <w:lang w:eastAsia="zh-CN"/>
        </w:rPr>
      </w:pPr>
      <w:r>
        <w:rPr>
          <w:rFonts w:hint="eastAsia" w:ascii="仿宋" w:hAnsi="仿宋" w:eastAsia="仿宋" w:cs="仿宋"/>
          <w:bCs/>
          <w:color w:val="auto"/>
          <w:sz w:val="30"/>
          <w:szCs w:val="30"/>
        </w:rPr>
        <w:t>承担市本级劳动人事争议仲裁委员会</w:t>
      </w:r>
      <w:r>
        <w:rPr>
          <w:rFonts w:hint="eastAsia" w:ascii="仿宋" w:hAnsi="仿宋" w:eastAsia="仿宋" w:cs="仿宋"/>
          <w:bCs/>
          <w:color w:val="auto"/>
          <w:sz w:val="30"/>
          <w:szCs w:val="30"/>
          <w:lang w:eastAsia="zh-CN"/>
        </w:rPr>
        <w:t>案件办理及</w:t>
      </w:r>
      <w:r>
        <w:rPr>
          <w:rFonts w:hint="eastAsia" w:ascii="仿宋" w:hAnsi="仿宋" w:eastAsia="仿宋" w:cs="仿宋"/>
          <w:bCs/>
          <w:color w:val="auto"/>
          <w:sz w:val="30"/>
          <w:szCs w:val="30"/>
        </w:rPr>
        <w:t>全市范围内影响重大的劳动人事争议</w:t>
      </w:r>
      <w:r>
        <w:rPr>
          <w:rFonts w:hint="eastAsia" w:ascii="仿宋" w:hAnsi="仿宋" w:eastAsia="仿宋" w:cs="仿宋"/>
          <w:bCs/>
          <w:color w:val="auto"/>
          <w:sz w:val="30"/>
          <w:szCs w:val="30"/>
          <w:lang w:eastAsia="zh-CN"/>
        </w:rPr>
        <w:t>案件处理。</w:t>
      </w:r>
    </w:p>
    <w:p w14:paraId="311A6E00">
      <w:pPr>
        <w:ind w:firstLine="708" w:firstLineChars="236"/>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负责市级承担的劳动监察执法，牵头组织查处全市重大和跨区域综合执法案件等相关事务性工作。</w:t>
      </w:r>
    </w:p>
    <w:p w14:paraId="05F01842">
      <w:pPr>
        <w:ind w:firstLine="708" w:firstLineChars="236"/>
        <w:rPr>
          <w:rFonts w:ascii="仿宋" w:hAnsi="仿宋" w:eastAsia="仿宋"/>
          <w:color w:val="auto"/>
          <w:sz w:val="30"/>
          <w:szCs w:val="30"/>
        </w:rPr>
      </w:pPr>
      <w:r>
        <w:rPr>
          <w:rFonts w:hint="eastAsia" w:ascii="仿宋" w:hAnsi="仿宋" w:eastAsia="仿宋"/>
          <w:color w:val="auto"/>
          <w:sz w:val="30"/>
          <w:szCs w:val="30"/>
        </w:rPr>
        <w:t>2.机构设置情况</w:t>
      </w:r>
    </w:p>
    <w:p w14:paraId="6C349E71">
      <w:pPr>
        <w:ind w:firstLine="708" w:firstLineChars="236"/>
        <w:rPr>
          <w:rFonts w:ascii="仿宋" w:hAnsi="仿宋" w:eastAsia="仿宋" w:cs="Segoe UI"/>
          <w:color w:val="auto"/>
          <w:kern w:val="0"/>
          <w:sz w:val="30"/>
          <w:szCs w:val="30"/>
        </w:rPr>
      </w:pPr>
      <w:r>
        <w:rPr>
          <w:rFonts w:hint="eastAsia" w:ascii="仿宋" w:hAnsi="仿宋" w:eastAsia="仿宋"/>
          <w:color w:val="auto"/>
          <w:sz w:val="30"/>
          <w:szCs w:val="30"/>
        </w:rPr>
        <w:t>我部门为</w:t>
      </w:r>
      <w:r>
        <w:rPr>
          <w:rFonts w:hint="eastAsia" w:ascii="仿宋" w:hAnsi="仿宋" w:eastAsia="仿宋"/>
          <w:color w:val="auto"/>
          <w:sz w:val="30"/>
          <w:szCs w:val="30"/>
          <w:lang w:eastAsia="zh-CN"/>
        </w:rPr>
        <w:t>二</w:t>
      </w:r>
      <w:r>
        <w:rPr>
          <w:rFonts w:hint="eastAsia" w:ascii="仿宋" w:hAnsi="仿宋" w:eastAsia="仿宋"/>
          <w:color w:val="auto"/>
          <w:sz w:val="30"/>
          <w:szCs w:val="30"/>
        </w:rPr>
        <w:t>级部门预算单位，内设科室为：</w:t>
      </w:r>
      <w:r>
        <w:rPr>
          <w:rFonts w:hint="eastAsia" w:ascii="仿宋" w:hAnsi="仿宋" w:eastAsia="仿宋"/>
          <w:color w:val="auto"/>
          <w:sz w:val="30"/>
          <w:szCs w:val="30"/>
          <w:lang w:eastAsia="zh-CN"/>
        </w:rPr>
        <w:t>立案庭、仲裁庭、劳动保障维权部</w:t>
      </w:r>
      <w:r>
        <w:rPr>
          <w:rFonts w:hint="eastAsia" w:ascii="仿宋" w:hAnsi="仿宋" w:eastAsia="仿宋"/>
          <w:color w:val="auto"/>
          <w:sz w:val="30"/>
          <w:szCs w:val="30"/>
        </w:rPr>
        <w:t>。</w:t>
      </w:r>
      <w:r>
        <w:rPr>
          <w:rFonts w:ascii="仿宋" w:hAnsi="仿宋" w:eastAsia="仿宋"/>
          <w:color w:val="auto"/>
          <w:sz w:val="30"/>
          <w:szCs w:val="30"/>
        </w:rPr>
        <w:t>202</w:t>
      </w:r>
      <w:r>
        <w:rPr>
          <w:rFonts w:hint="eastAsia" w:ascii="仿宋" w:hAnsi="仿宋" w:eastAsia="仿宋"/>
          <w:color w:val="auto"/>
          <w:sz w:val="30"/>
          <w:szCs w:val="30"/>
          <w:lang w:val="en-US" w:eastAsia="zh-CN"/>
        </w:rPr>
        <w:t>5</w:t>
      </w:r>
      <w:r>
        <w:rPr>
          <w:rFonts w:ascii="仿宋" w:hAnsi="仿宋" w:eastAsia="仿宋"/>
          <w:color w:val="auto"/>
          <w:sz w:val="30"/>
          <w:szCs w:val="30"/>
        </w:rPr>
        <w:t>年在职人员</w:t>
      </w:r>
      <w:r>
        <w:rPr>
          <w:rFonts w:hint="eastAsia" w:ascii="仿宋" w:hAnsi="仿宋" w:eastAsia="仿宋"/>
          <w:color w:val="auto"/>
          <w:sz w:val="30"/>
          <w:szCs w:val="30"/>
          <w:lang w:val="en-US" w:eastAsia="zh-CN"/>
        </w:rPr>
        <w:t>18</w:t>
      </w:r>
      <w:r>
        <w:rPr>
          <w:rFonts w:ascii="仿宋" w:hAnsi="仿宋" w:eastAsia="仿宋"/>
          <w:color w:val="auto"/>
          <w:sz w:val="30"/>
          <w:szCs w:val="30"/>
        </w:rPr>
        <w:t>人，编制数</w:t>
      </w:r>
      <w:r>
        <w:rPr>
          <w:rFonts w:hint="eastAsia" w:ascii="仿宋" w:hAnsi="仿宋" w:eastAsia="仿宋"/>
          <w:color w:val="auto"/>
          <w:sz w:val="30"/>
          <w:szCs w:val="30"/>
          <w:lang w:val="en-US" w:eastAsia="zh-CN"/>
        </w:rPr>
        <w:t>20</w:t>
      </w:r>
      <w:r>
        <w:rPr>
          <w:rFonts w:ascii="仿宋" w:hAnsi="仿宋" w:eastAsia="仿宋"/>
          <w:color w:val="auto"/>
          <w:sz w:val="30"/>
          <w:szCs w:val="30"/>
        </w:rPr>
        <w:t>人，人员控制率</w:t>
      </w:r>
      <w:r>
        <w:rPr>
          <w:rFonts w:hint="eastAsia" w:ascii="仿宋" w:hAnsi="仿宋" w:eastAsia="仿宋"/>
          <w:color w:val="auto"/>
          <w:sz w:val="30"/>
          <w:szCs w:val="30"/>
          <w:lang w:val="en-US" w:eastAsia="zh-CN"/>
        </w:rPr>
        <w:t>90</w:t>
      </w:r>
      <w:r>
        <w:rPr>
          <w:rFonts w:ascii="仿宋" w:hAnsi="仿宋" w:eastAsia="仿宋"/>
          <w:color w:val="auto"/>
          <w:sz w:val="30"/>
          <w:szCs w:val="30"/>
        </w:rPr>
        <w:t>%。</w:t>
      </w:r>
    </w:p>
    <w:p w14:paraId="75904D8C">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（二）整体支出规模、使用方向及范围</w:t>
      </w:r>
    </w:p>
    <w:p w14:paraId="41619E1E">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年部门整体支出预算</w:t>
      </w:r>
      <w:r>
        <w:rPr>
          <w:rFonts w:hint="eastAsia" w:ascii="仿宋" w:hAnsi="仿宋" w:eastAsia="仿宋" w:cs="Segoe UI"/>
          <w:color w:val="auto"/>
          <w:kern w:val="0"/>
          <w:sz w:val="30"/>
          <w:szCs w:val="30"/>
          <w:lang w:val="en-US" w:eastAsia="zh-CN"/>
        </w:rPr>
        <w:t>308.48</w:t>
      </w:r>
      <w:r>
        <w:rPr>
          <w:rFonts w:ascii="仿宋" w:hAnsi="仿宋" w:eastAsia="仿宋" w:cs="Segoe UI"/>
          <w:color w:val="auto"/>
          <w:kern w:val="0"/>
          <w:sz w:val="30"/>
          <w:szCs w:val="30"/>
        </w:rPr>
        <w:t>万元，实际执行</w:t>
      </w:r>
      <w:r>
        <w:rPr>
          <w:rFonts w:hint="eastAsia" w:ascii="仿宋" w:hAnsi="仿宋" w:eastAsia="仿宋" w:cs="Segoe UI"/>
          <w:color w:val="auto"/>
          <w:kern w:val="0"/>
          <w:sz w:val="30"/>
          <w:szCs w:val="30"/>
          <w:lang w:val="en-US" w:eastAsia="zh-CN"/>
        </w:rPr>
        <w:t>327.75</w:t>
      </w:r>
      <w:r>
        <w:rPr>
          <w:rFonts w:ascii="仿宋" w:hAnsi="仿宋" w:eastAsia="仿宋" w:cs="Segoe UI"/>
          <w:color w:val="auto"/>
          <w:kern w:val="0"/>
          <w:sz w:val="30"/>
          <w:szCs w:val="30"/>
        </w:rPr>
        <w:t>万元，执行率</w:t>
      </w:r>
      <w:r>
        <w:rPr>
          <w:rFonts w:hint="eastAsia" w:ascii="仿宋" w:hAnsi="仿宋" w:eastAsia="仿宋" w:cs="Segoe UI"/>
          <w:color w:val="auto"/>
          <w:kern w:val="0"/>
          <w:sz w:val="30"/>
          <w:szCs w:val="30"/>
          <w:lang w:val="en-US" w:eastAsia="zh-CN"/>
        </w:rPr>
        <w:t>106.25</w:t>
      </w:r>
      <w:r>
        <w:rPr>
          <w:rFonts w:ascii="仿宋" w:hAnsi="仿宋" w:eastAsia="仿宋" w:cs="Segoe UI"/>
          <w:color w:val="auto"/>
          <w:kern w:val="0"/>
          <w:sz w:val="30"/>
          <w:szCs w:val="30"/>
        </w:rPr>
        <w:t>%。资金主要用于：基本支出</w:t>
      </w:r>
      <w:r>
        <w:rPr>
          <w:rFonts w:hint="eastAsia" w:ascii="仿宋" w:hAnsi="仿宋" w:eastAsia="仿宋" w:cs="Segoe UI"/>
          <w:color w:val="auto"/>
          <w:kern w:val="0"/>
          <w:sz w:val="30"/>
          <w:szCs w:val="30"/>
          <w:lang w:val="en-US" w:eastAsia="zh-CN"/>
        </w:rPr>
        <w:t>263.28</w:t>
      </w:r>
      <w:r>
        <w:rPr>
          <w:rFonts w:ascii="仿宋" w:hAnsi="仿宋" w:eastAsia="仿宋" w:cs="Segoe UI"/>
          <w:color w:val="auto"/>
          <w:kern w:val="0"/>
          <w:sz w:val="30"/>
          <w:szCs w:val="30"/>
        </w:rPr>
        <w:t>万元，占比</w:t>
      </w:r>
      <w:r>
        <w:rPr>
          <w:rFonts w:hint="eastAsia" w:ascii="仿宋" w:hAnsi="仿宋" w:eastAsia="仿宋" w:cs="Segoe UI"/>
          <w:color w:val="auto"/>
          <w:kern w:val="0"/>
          <w:sz w:val="30"/>
          <w:szCs w:val="30"/>
          <w:lang w:val="en-US" w:eastAsia="zh-CN"/>
        </w:rPr>
        <w:t>80.33</w:t>
      </w:r>
      <w:r>
        <w:rPr>
          <w:rFonts w:ascii="仿宋" w:hAnsi="仿宋" w:eastAsia="仿宋" w:cs="Segoe UI"/>
          <w:color w:val="auto"/>
          <w:kern w:val="0"/>
          <w:sz w:val="30"/>
          <w:szCs w:val="30"/>
        </w:rPr>
        <w:t>%，涵盖人员经费（工资福利、社保缴费等）和公用经费（办公、差旅、会议等），保障机构日常运转。项目支出</w:t>
      </w:r>
      <w:r>
        <w:rPr>
          <w:rFonts w:hint="eastAsia" w:ascii="仿宋" w:hAnsi="仿宋" w:eastAsia="仿宋" w:cs="Segoe UI"/>
          <w:color w:val="auto"/>
          <w:kern w:val="0"/>
          <w:sz w:val="30"/>
          <w:szCs w:val="30"/>
          <w:lang w:val="en-US" w:eastAsia="zh-CN"/>
        </w:rPr>
        <w:t>64.27</w:t>
      </w:r>
      <w:r>
        <w:rPr>
          <w:rFonts w:ascii="仿宋" w:hAnsi="仿宋" w:eastAsia="仿宋" w:cs="Segoe UI"/>
          <w:color w:val="auto"/>
          <w:kern w:val="0"/>
          <w:sz w:val="30"/>
          <w:szCs w:val="30"/>
        </w:rPr>
        <w:t>万元，占比</w:t>
      </w:r>
      <w:r>
        <w:rPr>
          <w:rFonts w:hint="eastAsia" w:ascii="仿宋" w:hAnsi="仿宋" w:eastAsia="仿宋" w:cs="Segoe UI"/>
          <w:color w:val="auto"/>
          <w:kern w:val="0"/>
          <w:sz w:val="30"/>
          <w:szCs w:val="30"/>
          <w:lang w:val="en-US" w:eastAsia="zh-CN"/>
        </w:rPr>
        <w:t>19.67</w:t>
      </w:r>
      <w:r>
        <w:rPr>
          <w:rFonts w:ascii="仿宋" w:hAnsi="仿宋" w:eastAsia="仿宋" w:cs="Segoe UI"/>
          <w:color w:val="auto"/>
          <w:kern w:val="0"/>
          <w:sz w:val="30"/>
          <w:szCs w:val="30"/>
        </w:rPr>
        <w:t>%，涉及</w:t>
      </w:r>
      <w:r>
        <w:rPr>
          <w:rFonts w:hint="eastAsia" w:ascii="仿宋" w:hAnsi="仿宋" w:eastAsia="仿宋" w:cs="Segoe UI"/>
          <w:color w:val="auto"/>
          <w:kern w:val="0"/>
          <w:sz w:val="30"/>
          <w:szCs w:val="30"/>
          <w:lang w:eastAsia="zh-CN"/>
        </w:rPr>
        <w:t>仲裁业务</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农民工工资维权</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农民工工资领导小组工作</w:t>
      </w:r>
      <w:r>
        <w:rPr>
          <w:rFonts w:ascii="仿宋" w:hAnsi="仿宋" w:eastAsia="仿宋" w:cs="Segoe UI"/>
          <w:color w:val="auto"/>
          <w:kern w:val="0"/>
          <w:sz w:val="30"/>
          <w:szCs w:val="30"/>
        </w:rPr>
        <w:t>等专项工作，覆盖全市13个县（市、区）的人社公共服务。</w:t>
      </w:r>
    </w:p>
    <w:p w14:paraId="3E593A92">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二、一般公共预算支出情况</w:t>
      </w:r>
    </w:p>
    <w:p w14:paraId="167552A6">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（一）基本支出</w:t>
      </w:r>
    </w:p>
    <w:p w14:paraId="0CF6C45B">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 基本支出主要用于保障机关正常运转，包括：</w:t>
      </w:r>
    </w:p>
    <w:p w14:paraId="7194741B">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人员经费</w:t>
      </w:r>
      <w:r>
        <w:rPr>
          <w:rFonts w:hint="eastAsia" w:ascii="仿宋" w:hAnsi="仿宋" w:eastAsia="仿宋" w:cs="Segoe UI"/>
          <w:color w:val="auto"/>
          <w:kern w:val="0"/>
          <w:sz w:val="30"/>
          <w:szCs w:val="30"/>
          <w:lang w:val="en-US" w:eastAsia="zh-CN"/>
        </w:rPr>
        <w:t>233.54</w:t>
      </w:r>
      <w:r>
        <w:rPr>
          <w:rFonts w:ascii="仿宋" w:hAnsi="仿宋" w:eastAsia="仿宋" w:cs="Segoe UI"/>
          <w:color w:val="auto"/>
          <w:kern w:val="0"/>
          <w:sz w:val="30"/>
          <w:szCs w:val="30"/>
        </w:rPr>
        <w:t>万元，占基本支出</w:t>
      </w:r>
      <w:r>
        <w:rPr>
          <w:rFonts w:hint="eastAsia" w:ascii="仿宋" w:hAnsi="仿宋" w:eastAsia="仿宋" w:cs="Segoe UI"/>
          <w:color w:val="auto"/>
          <w:kern w:val="0"/>
          <w:sz w:val="30"/>
          <w:szCs w:val="30"/>
          <w:lang w:val="en-US" w:eastAsia="zh-CN"/>
        </w:rPr>
        <w:t>88.70</w:t>
      </w:r>
      <w:r>
        <w:rPr>
          <w:rFonts w:ascii="仿宋" w:hAnsi="仿宋" w:eastAsia="仿宋" w:cs="Segoe UI"/>
          <w:color w:val="auto"/>
          <w:kern w:val="0"/>
          <w:sz w:val="30"/>
          <w:szCs w:val="30"/>
        </w:rPr>
        <w:t>%，用于发放在职人员基本工资</w:t>
      </w:r>
      <w:r>
        <w:rPr>
          <w:rFonts w:hint="eastAsia" w:ascii="仿宋" w:hAnsi="仿宋" w:eastAsia="仿宋" w:cs="Segoe UI"/>
          <w:color w:val="auto"/>
          <w:kern w:val="0"/>
          <w:sz w:val="30"/>
          <w:szCs w:val="30"/>
          <w:lang w:val="en-US" w:eastAsia="zh-CN"/>
        </w:rPr>
        <w:t>76.10</w:t>
      </w:r>
      <w:r>
        <w:rPr>
          <w:rFonts w:ascii="仿宋" w:hAnsi="仿宋" w:eastAsia="仿宋" w:cs="Segoe UI"/>
          <w:color w:val="auto"/>
          <w:kern w:val="0"/>
          <w:sz w:val="30"/>
          <w:szCs w:val="30"/>
        </w:rPr>
        <w:t>万元、津贴补贴</w:t>
      </w:r>
      <w:r>
        <w:rPr>
          <w:rFonts w:hint="eastAsia" w:ascii="仿宋" w:hAnsi="仿宋" w:eastAsia="仿宋" w:cs="Segoe UI"/>
          <w:color w:val="auto"/>
          <w:kern w:val="0"/>
          <w:sz w:val="30"/>
          <w:szCs w:val="30"/>
          <w:lang w:val="en-US" w:eastAsia="zh-CN"/>
        </w:rPr>
        <w:t>38.07</w:t>
      </w:r>
      <w:r>
        <w:rPr>
          <w:rFonts w:ascii="仿宋" w:hAnsi="仿宋" w:eastAsia="仿宋" w:cs="Segoe UI"/>
          <w:color w:val="auto"/>
          <w:kern w:val="0"/>
          <w:sz w:val="30"/>
          <w:szCs w:val="30"/>
        </w:rPr>
        <w:t>万元、</w:t>
      </w:r>
      <w:r>
        <w:rPr>
          <w:rFonts w:hint="eastAsia" w:ascii="仿宋" w:hAnsi="仿宋" w:eastAsia="仿宋" w:cs="Segoe UI"/>
          <w:color w:val="auto"/>
          <w:kern w:val="0"/>
          <w:sz w:val="30"/>
          <w:szCs w:val="30"/>
          <w:lang w:eastAsia="zh-CN"/>
        </w:rPr>
        <w:t>绩效工资</w:t>
      </w:r>
      <w:r>
        <w:rPr>
          <w:rFonts w:hint="eastAsia" w:ascii="仿宋" w:hAnsi="仿宋" w:eastAsia="仿宋" w:cs="Segoe UI"/>
          <w:color w:val="auto"/>
          <w:kern w:val="0"/>
          <w:sz w:val="30"/>
          <w:szCs w:val="30"/>
          <w:lang w:val="en-US" w:eastAsia="zh-CN"/>
        </w:rPr>
        <w:t>27.80万元、奖金38.07万元、</w:t>
      </w:r>
      <w:r>
        <w:rPr>
          <w:rFonts w:ascii="仿宋" w:hAnsi="仿宋" w:eastAsia="仿宋" w:cs="Segoe UI"/>
          <w:color w:val="auto"/>
          <w:kern w:val="0"/>
          <w:sz w:val="30"/>
          <w:szCs w:val="30"/>
        </w:rPr>
        <w:t>机关事业单位基本养老保险缴费</w:t>
      </w:r>
      <w:r>
        <w:rPr>
          <w:rFonts w:hint="eastAsia" w:ascii="仿宋" w:hAnsi="仿宋" w:eastAsia="仿宋" w:cs="Segoe UI"/>
          <w:color w:val="auto"/>
          <w:kern w:val="0"/>
          <w:sz w:val="30"/>
          <w:szCs w:val="30"/>
          <w:lang w:val="en-US" w:eastAsia="zh-CN"/>
        </w:rPr>
        <w:t>20.88</w:t>
      </w:r>
      <w:r>
        <w:rPr>
          <w:rFonts w:ascii="仿宋" w:hAnsi="仿宋" w:eastAsia="仿宋" w:cs="Segoe UI"/>
          <w:color w:val="auto"/>
          <w:kern w:val="0"/>
          <w:sz w:val="30"/>
          <w:szCs w:val="30"/>
        </w:rPr>
        <w:t>万元、职工基本医疗保险缴费</w:t>
      </w:r>
      <w:r>
        <w:rPr>
          <w:rFonts w:hint="eastAsia" w:ascii="仿宋" w:hAnsi="仿宋" w:eastAsia="仿宋" w:cs="Segoe UI"/>
          <w:color w:val="auto"/>
          <w:kern w:val="0"/>
          <w:sz w:val="30"/>
          <w:szCs w:val="30"/>
          <w:lang w:val="en-US" w:eastAsia="zh-CN"/>
        </w:rPr>
        <w:t>9.00</w:t>
      </w:r>
      <w:r>
        <w:rPr>
          <w:rFonts w:ascii="仿宋" w:hAnsi="仿宋" w:eastAsia="仿宋" w:cs="Segoe UI"/>
          <w:color w:val="auto"/>
          <w:kern w:val="0"/>
          <w:sz w:val="30"/>
          <w:szCs w:val="30"/>
        </w:rPr>
        <w:t>万元、住房公积金</w:t>
      </w:r>
      <w:r>
        <w:rPr>
          <w:rFonts w:hint="eastAsia" w:ascii="仿宋" w:hAnsi="仿宋" w:eastAsia="仿宋" w:cs="Segoe UI"/>
          <w:color w:val="auto"/>
          <w:kern w:val="0"/>
          <w:sz w:val="30"/>
          <w:szCs w:val="30"/>
          <w:lang w:val="en-US" w:eastAsia="zh-CN"/>
        </w:rPr>
        <w:t>19.53</w:t>
      </w:r>
      <w:r>
        <w:rPr>
          <w:rFonts w:ascii="仿宋" w:hAnsi="仿宋" w:eastAsia="仿宋" w:cs="Segoe UI"/>
          <w:color w:val="auto"/>
          <w:kern w:val="0"/>
          <w:sz w:val="30"/>
          <w:szCs w:val="30"/>
        </w:rPr>
        <w:t>万元，以及离休费、退休费等对个人和家庭的补助</w:t>
      </w:r>
      <w:r>
        <w:rPr>
          <w:rFonts w:hint="eastAsia" w:ascii="仿宋" w:hAnsi="仿宋" w:eastAsia="仿宋" w:cs="Segoe UI"/>
          <w:color w:val="auto"/>
          <w:kern w:val="0"/>
          <w:sz w:val="30"/>
          <w:szCs w:val="30"/>
          <w:lang w:val="en-US" w:eastAsia="zh-CN"/>
        </w:rPr>
        <w:t>6.95</w:t>
      </w:r>
      <w:r>
        <w:rPr>
          <w:rFonts w:ascii="仿宋" w:hAnsi="仿宋" w:eastAsia="仿宋" w:cs="Segoe UI"/>
          <w:color w:val="auto"/>
          <w:kern w:val="0"/>
          <w:sz w:val="30"/>
          <w:szCs w:val="30"/>
        </w:rPr>
        <w:t>万元。</w:t>
      </w:r>
    </w:p>
    <w:p w14:paraId="54A44645">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公用经费</w:t>
      </w:r>
      <w:r>
        <w:rPr>
          <w:rFonts w:hint="eastAsia" w:ascii="仿宋" w:hAnsi="仿宋" w:eastAsia="仿宋" w:cs="Segoe UI"/>
          <w:color w:val="auto"/>
          <w:kern w:val="0"/>
          <w:sz w:val="30"/>
          <w:szCs w:val="30"/>
          <w:lang w:val="en-US" w:eastAsia="zh-CN"/>
        </w:rPr>
        <w:t>29.73</w:t>
      </w:r>
      <w:r>
        <w:rPr>
          <w:rFonts w:ascii="仿宋" w:hAnsi="仿宋" w:eastAsia="仿宋" w:cs="Segoe UI"/>
          <w:color w:val="auto"/>
          <w:kern w:val="0"/>
          <w:sz w:val="30"/>
          <w:szCs w:val="30"/>
        </w:rPr>
        <w:t>万元，占基本支出</w:t>
      </w:r>
      <w:r>
        <w:rPr>
          <w:rFonts w:hint="eastAsia" w:ascii="仿宋" w:hAnsi="仿宋" w:eastAsia="仿宋" w:cs="Segoe UI"/>
          <w:color w:val="auto"/>
          <w:kern w:val="0"/>
          <w:sz w:val="30"/>
          <w:szCs w:val="30"/>
          <w:lang w:val="en-US" w:eastAsia="zh-CN"/>
        </w:rPr>
        <w:t>11.30</w:t>
      </w:r>
      <w:r>
        <w:rPr>
          <w:rFonts w:ascii="仿宋" w:hAnsi="仿宋" w:eastAsia="仿宋" w:cs="Segoe UI"/>
          <w:color w:val="auto"/>
          <w:kern w:val="0"/>
          <w:sz w:val="30"/>
          <w:szCs w:val="30"/>
        </w:rPr>
        <w:t>%，用于办公费</w:t>
      </w:r>
      <w:r>
        <w:rPr>
          <w:rFonts w:hint="eastAsia" w:ascii="仿宋" w:hAnsi="仿宋" w:eastAsia="仿宋" w:cs="Segoe UI"/>
          <w:color w:val="auto"/>
          <w:kern w:val="0"/>
          <w:sz w:val="30"/>
          <w:szCs w:val="30"/>
          <w:lang w:val="en-US" w:eastAsia="zh-CN"/>
        </w:rPr>
        <w:t>0.81</w:t>
      </w:r>
      <w:r>
        <w:rPr>
          <w:rFonts w:ascii="仿宋" w:hAnsi="仿宋" w:eastAsia="仿宋" w:cs="Segoe UI"/>
          <w:color w:val="auto"/>
          <w:kern w:val="0"/>
          <w:sz w:val="30"/>
          <w:szCs w:val="30"/>
        </w:rPr>
        <w:t>万元、</w:t>
      </w:r>
      <w:r>
        <w:rPr>
          <w:rFonts w:hint="eastAsia" w:ascii="仿宋" w:hAnsi="仿宋" w:eastAsia="仿宋" w:cs="Segoe UI"/>
          <w:color w:val="auto"/>
          <w:kern w:val="0"/>
          <w:sz w:val="30"/>
          <w:szCs w:val="30"/>
          <w:lang w:eastAsia="zh-CN"/>
        </w:rPr>
        <w:t>物业管理费</w:t>
      </w:r>
      <w:r>
        <w:rPr>
          <w:rFonts w:hint="eastAsia" w:ascii="仿宋" w:hAnsi="仿宋" w:eastAsia="仿宋" w:cs="Segoe UI"/>
          <w:color w:val="auto"/>
          <w:kern w:val="0"/>
          <w:sz w:val="30"/>
          <w:szCs w:val="30"/>
          <w:lang w:val="en-US" w:eastAsia="zh-CN"/>
        </w:rPr>
        <w:t>2.96万元、差旅费1.81万元、</w:t>
      </w:r>
      <w:r>
        <w:rPr>
          <w:rFonts w:ascii="仿宋" w:hAnsi="仿宋" w:eastAsia="仿宋" w:cs="Segoe UI"/>
          <w:color w:val="auto"/>
          <w:kern w:val="0"/>
          <w:sz w:val="30"/>
          <w:szCs w:val="30"/>
        </w:rPr>
        <w:t>工会经费</w:t>
      </w:r>
      <w:r>
        <w:rPr>
          <w:rFonts w:hint="eastAsia" w:ascii="仿宋" w:hAnsi="仿宋" w:eastAsia="仿宋" w:cs="Segoe UI"/>
          <w:color w:val="auto"/>
          <w:kern w:val="0"/>
          <w:sz w:val="30"/>
          <w:szCs w:val="30"/>
          <w:lang w:val="en-US" w:eastAsia="zh-CN"/>
        </w:rPr>
        <w:t>5.07</w:t>
      </w:r>
      <w:r>
        <w:rPr>
          <w:rFonts w:ascii="仿宋" w:hAnsi="仿宋" w:eastAsia="仿宋" w:cs="Segoe UI"/>
          <w:color w:val="auto"/>
          <w:kern w:val="0"/>
          <w:sz w:val="30"/>
          <w:szCs w:val="30"/>
        </w:rPr>
        <w:t>万元、其他商品和服务支出</w:t>
      </w:r>
      <w:r>
        <w:rPr>
          <w:rFonts w:hint="eastAsia" w:ascii="仿宋" w:hAnsi="仿宋" w:eastAsia="仿宋" w:cs="Segoe UI"/>
          <w:color w:val="auto"/>
          <w:kern w:val="0"/>
          <w:sz w:val="30"/>
          <w:szCs w:val="30"/>
          <w:lang w:val="en-US" w:eastAsia="zh-CN"/>
        </w:rPr>
        <w:t>0.63</w:t>
      </w:r>
      <w:r>
        <w:rPr>
          <w:rFonts w:ascii="仿宋" w:hAnsi="仿宋" w:eastAsia="仿宋" w:cs="Segoe UI"/>
          <w:color w:val="auto"/>
          <w:kern w:val="0"/>
          <w:sz w:val="30"/>
          <w:szCs w:val="30"/>
        </w:rPr>
        <w:t>万元等，保障日常办公、会议培训、公务接待等需求。</w:t>
      </w:r>
    </w:p>
    <w:p w14:paraId="715957FF">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2.“三公”经费管理</w:t>
      </w:r>
    </w:p>
    <w:p w14:paraId="0CC94137">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年“三公”经费预算</w:t>
      </w:r>
      <w:r>
        <w:rPr>
          <w:rFonts w:hint="eastAsia" w:ascii="仿宋" w:hAnsi="仿宋" w:eastAsia="仿宋" w:cs="Segoe UI"/>
          <w:color w:val="auto"/>
          <w:kern w:val="0"/>
          <w:sz w:val="30"/>
          <w:szCs w:val="30"/>
          <w:lang w:val="en-US" w:eastAsia="zh-CN"/>
        </w:rPr>
        <w:t>3.3</w:t>
      </w:r>
      <w:r>
        <w:rPr>
          <w:rFonts w:ascii="仿宋" w:hAnsi="仿宋" w:eastAsia="仿宋" w:cs="Segoe UI"/>
          <w:color w:val="auto"/>
          <w:kern w:val="0"/>
          <w:sz w:val="30"/>
          <w:szCs w:val="30"/>
        </w:rPr>
        <w:t>万元，实际支出</w:t>
      </w:r>
      <w:r>
        <w:rPr>
          <w:rFonts w:hint="eastAsia" w:ascii="仿宋" w:hAnsi="仿宋" w:eastAsia="仿宋" w:cs="Segoe UI"/>
          <w:color w:val="auto"/>
          <w:kern w:val="0"/>
          <w:sz w:val="30"/>
          <w:szCs w:val="30"/>
          <w:lang w:val="en-US" w:eastAsia="zh-CN"/>
        </w:rPr>
        <w:t>2.73</w:t>
      </w:r>
      <w:r>
        <w:rPr>
          <w:rFonts w:ascii="仿宋" w:hAnsi="仿宋" w:eastAsia="仿宋" w:cs="Segoe UI"/>
          <w:color w:val="auto"/>
          <w:kern w:val="0"/>
          <w:sz w:val="30"/>
          <w:szCs w:val="30"/>
        </w:rPr>
        <w:t>万元，节约</w:t>
      </w:r>
      <w:r>
        <w:rPr>
          <w:rFonts w:hint="eastAsia" w:ascii="仿宋" w:hAnsi="仿宋" w:eastAsia="仿宋" w:cs="Segoe UI"/>
          <w:color w:val="auto"/>
          <w:kern w:val="0"/>
          <w:sz w:val="30"/>
          <w:szCs w:val="30"/>
          <w:lang w:val="en-US" w:eastAsia="zh-CN"/>
        </w:rPr>
        <w:t>0.57</w:t>
      </w:r>
      <w:r>
        <w:rPr>
          <w:rFonts w:ascii="仿宋" w:hAnsi="仿宋" w:eastAsia="仿宋" w:cs="Segoe UI"/>
          <w:color w:val="auto"/>
          <w:kern w:val="0"/>
          <w:sz w:val="30"/>
          <w:szCs w:val="30"/>
        </w:rPr>
        <w:t>万元，执行率</w:t>
      </w:r>
      <w:r>
        <w:rPr>
          <w:rFonts w:hint="eastAsia" w:ascii="仿宋" w:hAnsi="仿宋" w:eastAsia="仿宋" w:cs="Segoe UI"/>
          <w:color w:val="auto"/>
          <w:kern w:val="0"/>
          <w:sz w:val="30"/>
          <w:szCs w:val="30"/>
          <w:lang w:val="en-US" w:eastAsia="zh-CN"/>
        </w:rPr>
        <w:t>82.73</w:t>
      </w:r>
      <w:r>
        <w:rPr>
          <w:rFonts w:ascii="仿宋" w:hAnsi="仿宋" w:eastAsia="仿宋" w:cs="Segoe UI"/>
          <w:color w:val="auto"/>
          <w:kern w:val="0"/>
          <w:sz w:val="30"/>
          <w:szCs w:val="30"/>
        </w:rPr>
        <w:t>%。其中：公务用车运行维护费预算</w:t>
      </w:r>
      <w:r>
        <w:rPr>
          <w:rFonts w:hint="eastAsia" w:ascii="仿宋" w:hAnsi="仿宋" w:eastAsia="仿宋" w:cs="Segoe UI"/>
          <w:color w:val="auto"/>
          <w:kern w:val="0"/>
          <w:sz w:val="30"/>
          <w:szCs w:val="30"/>
          <w:lang w:val="en-US" w:eastAsia="zh-CN"/>
        </w:rPr>
        <w:t>2.8</w:t>
      </w:r>
      <w:r>
        <w:rPr>
          <w:rFonts w:ascii="仿宋" w:hAnsi="仿宋" w:eastAsia="仿宋" w:cs="Segoe UI"/>
          <w:color w:val="auto"/>
          <w:kern w:val="0"/>
          <w:sz w:val="30"/>
          <w:szCs w:val="30"/>
        </w:rPr>
        <w:t>万元，实际支出</w:t>
      </w:r>
      <w:r>
        <w:rPr>
          <w:rFonts w:hint="eastAsia" w:ascii="仿宋" w:hAnsi="仿宋" w:eastAsia="仿宋" w:cs="Segoe UI"/>
          <w:color w:val="auto"/>
          <w:kern w:val="0"/>
          <w:sz w:val="30"/>
          <w:szCs w:val="30"/>
          <w:lang w:val="en-US" w:eastAsia="zh-CN"/>
        </w:rPr>
        <w:t>2.73</w:t>
      </w:r>
      <w:r>
        <w:rPr>
          <w:rFonts w:ascii="仿宋" w:hAnsi="仿宋" w:eastAsia="仿宋" w:cs="Segoe UI"/>
          <w:color w:val="auto"/>
          <w:kern w:val="0"/>
          <w:sz w:val="30"/>
          <w:szCs w:val="30"/>
        </w:rPr>
        <w:t>万元</w:t>
      </w:r>
      <w:r>
        <w:rPr>
          <w:rFonts w:hint="eastAsia" w:ascii="仿宋" w:hAnsi="仿宋" w:eastAsia="仿宋" w:cs="Segoe UI"/>
          <w:color w:val="auto"/>
          <w:kern w:val="0"/>
          <w:sz w:val="30"/>
          <w:szCs w:val="30"/>
          <w:lang w:eastAsia="zh-CN"/>
        </w:rPr>
        <w:t>；</w:t>
      </w:r>
      <w:r>
        <w:rPr>
          <w:rFonts w:ascii="仿宋" w:hAnsi="仿宋" w:eastAsia="仿宋" w:cs="Segoe UI"/>
          <w:color w:val="auto"/>
          <w:kern w:val="0"/>
          <w:sz w:val="30"/>
          <w:szCs w:val="30"/>
        </w:rPr>
        <w:t>公务接待费预算</w:t>
      </w:r>
      <w:r>
        <w:rPr>
          <w:rFonts w:hint="eastAsia" w:ascii="仿宋" w:hAnsi="仿宋" w:eastAsia="仿宋" w:cs="Segoe UI"/>
          <w:color w:val="auto"/>
          <w:kern w:val="0"/>
          <w:sz w:val="30"/>
          <w:szCs w:val="30"/>
          <w:lang w:val="en-US" w:eastAsia="zh-CN"/>
        </w:rPr>
        <w:t>0.5</w:t>
      </w:r>
      <w:r>
        <w:rPr>
          <w:rFonts w:ascii="仿宋" w:hAnsi="仿宋" w:eastAsia="仿宋" w:cs="Segoe UI"/>
          <w:color w:val="auto"/>
          <w:kern w:val="0"/>
          <w:sz w:val="30"/>
          <w:szCs w:val="30"/>
        </w:rPr>
        <w:t>万元，实际支出</w:t>
      </w:r>
      <w:r>
        <w:rPr>
          <w:rFonts w:hint="eastAsia" w:ascii="仿宋" w:hAnsi="仿宋" w:eastAsia="仿宋" w:cs="Segoe UI"/>
          <w:color w:val="auto"/>
          <w:kern w:val="0"/>
          <w:sz w:val="30"/>
          <w:szCs w:val="30"/>
          <w:lang w:val="en-US" w:eastAsia="zh-CN"/>
        </w:rPr>
        <w:t>0</w:t>
      </w:r>
      <w:r>
        <w:rPr>
          <w:rFonts w:ascii="仿宋" w:hAnsi="仿宋" w:eastAsia="仿宋" w:cs="Segoe UI"/>
          <w:color w:val="auto"/>
          <w:kern w:val="0"/>
          <w:sz w:val="30"/>
          <w:szCs w:val="30"/>
        </w:rPr>
        <w:t>万元，未发生公款宴请。因公出国（境）费预算0万元，全年无该项支出。</w:t>
      </w:r>
    </w:p>
    <w:p w14:paraId="446D13F7">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（二）项目支出</w:t>
      </w:r>
    </w:p>
    <w:p w14:paraId="24FB8A02">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1.资金安排与投入</w:t>
      </w:r>
      <w:r>
        <w:rPr>
          <w:rFonts w:hint="eastAsia" w:ascii="仿宋" w:hAnsi="仿宋" w:eastAsia="仿宋" w:cs="Segoe UI"/>
          <w:color w:val="auto"/>
          <w:kern w:val="0"/>
          <w:sz w:val="30"/>
          <w:szCs w:val="30"/>
        </w:rPr>
        <w:t>：</w:t>
      </w:r>
      <w:r>
        <w:rPr>
          <w:rFonts w:ascii="仿宋" w:hAnsi="仿宋" w:eastAsia="仿宋" w:cs="Segoe UI"/>
          <w:color w:val="auto"/>
          <w:kern w:val="0"/>
          <w:sz w:val="30"/>
          <w:szCs w:val="30"/>
        </w:rPr>
        <w:t>项目支出预算</w:t>
      </w:r>
      <w:r>
        <w:rPr>
          <w:rFonts w:hint="eastAsia" w:ascii="仿宋" w:hAnsi="仿宋" w:eastAsia="仿宋" w:cs="Segoe UI"/>
          <w:color w:val="auto"/>
          <w:kern w:val="0"/>
          <w:sz w:val="30"/>
          <w:szCs w:val="30"/>
          <w:lang w:val="en-US" w:eastAsia="zh-CN"/>
        </w:rPr>
        <w:t>55</w:t>
      </w:r>
      <w:r>
        <w:rPr>
          <w:rFonts w:ascii="仿宋" w:hAnsi="仿宋" w:eastAsia="仿宋" w:cs="Segoe UI"/>
          <w:color w:val="auto"/>
          <w:kern w:val="0"/>
          <w:sz w:val="30"/>
          <w:szCs w:val="30"/>
        </w:rPr>
        <w:t>万元，实际执行</w:t>
      </w:r>
      <w:r>
        <w:rPr>
          <w:rFonts w:hint="eastAsia" w:ascii="仿宋" w:hAnsi="仿宋" w:eastAsia="仿宋" w:cs="Segoe UI"/>
          <w:color w:val="auto"/>
          <w:kern w:val="0"/>
          <w:sz w:val="30"/>
          <w:szCs w:val="30"/>
          <w:lang w:val="en-US" w:eastAsia="zh-CN"/>
        </w:rPr>
        <w:t>64.27</w:t>
      </w:r>
      <w:r>
        <w:rPr>
          <w:rFonts w:ascii="仿宋" w:hAnsi="仿宋" w:eastAsia="仿宋" w:cs="Segoe UI"/>
          <w:color w:val="auto"/>
          <w:kern w:val="0"/>
          <w:sz w:val="30"/>
          <w:szCs w:val="30"/>
        </w:rPr>
        <w:t>万元，完成率</w:t>
      </w:r>
      <w:r>
        <w:rPr>
          <w:rFonts w:hint="eastAsia" w:ascii="仿宋" w:hAnsi="仿宋" w:eastAsia="仿宋" w:cs="Segoe UI"/>
          <w:color w:val="auto"/>
          <w:kern w:val="0"/>
          <w:sz w:val="30"/>
          <w:szCs w:val="30"/>
          <w:lang w:val="en-US" w:eastAsia="zh-CN"/>
        </w:rPr>
        <w:t>116.85</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主要是因为</w:t>
      </w:r>
      <w:r>
        <w:rPr>
          <w:rFonts w:hint="eastAsia" w:ascii="仿宋" w:hAnsi="仿宋" w:eastAsia="仿宋" w:cs="Segoe UI"/>
          <w:color w:val="auto"/>
          <w:kern w:val="0"/>
          <w:sz w:val="30"/>
          <w:szCs w:val="30"/>
          <w:lang w:val="en-US" w:eastAsia="zh-CN"/>
        </w:rPr>
        <w:t>2025年7月，新增加了7名工作人员及省厅拨付就业资金。</w:t>
      </w:r>
      <w:r>
        <w:rPr>
          <w:rFonts w:ascii="仿宋" w:hAnsi="仿宋" w:eastAsia="仿宋" w:cs="Segoe UI"/>
          <w:color w:val="auto"/>
          <w:kern w:val="0"/>
          <w:sz w:val="30"/>
          <w:szCs w:val="30"/>
        </w:rPr>
        <w:t>资金来源全部为一般公共预算拨款，具体包括：</w:t>
      </w:r>
    </w:p>
    <w:p w14:paraId="56B98458">
      <w:pPr>
        <w:widowControl/>
        <w:ind w:firstLine="708" w:firstLineChars="236"/>
        <w:jc w:val="left"/>
        <w:rPr>
          <w:rFonts w:hint="eastAsia" w:ascii="仿宋" w:hAnsi="仿宋" w:eastAsia="仿宋" w:cs="仿宋"/>
          <w:color w:val="auto"/>
          <w:kern w:val="0"/>
          <w:sz w:val="30"/>
          <w:szCs w:val="30"/>
          <w:lang w:eastAsia="zh-CN"/>
        </w:rPr>
      </w:pPr>
      <w:r>
        <w:rPr>
          <w:rFonts w:hint="eastAsia" w:ascii="仿宋" w:hAnsi="仿宋" w:eastAsia="仿宋" w:cs="Segoe UI"/>
          <w:color w:val="auto"/>
          <w:kern w:val="0"/>
          <w:sz w:val="30"/>
          <w:szCs w:val="30"/>
        </w:rPr>
        <w:t>（1）</w:t>
      </w:r>
      <w:r>
        <w:rPr>
          <w:rFonts w:hint="eastAsia" w:ascii="仿宋" w:hAnsi="仿宋" w:eastAsia="仿宋" w:cs="Segoe UI"/>
          <w:color w:val="auto"/>
          <w:kern w:val="0"/>
          <w:sz w:val="30"/>
          <w:szCs w:val="30"/>
          <w:lang w:eastAsia="zh-CN"/>
        </w:rPr>
        <w:t>劳动人事争议调解仲裁专项业务经费</w:t>
      </w:r>
      <w:r>
        <w:rPr>
          <w:rFonts w:hint="eastAsia" w:ascii="仿宋" w:hAnsi="仿宋" w:eastAsia="仿宋" w:cs="Segoe UI"/>
          <w:color w:val="auto"/>
          <w:kern w:val="0"/>
          <w:sz w:val="30"/>
          <w:szCs w:val="30"/>
          <w:lang w:val="en-US" w:eastAsia="zh-CN"/>
        </w:rPr>
        <w:t>17.5</w:t>
      </w:r>
      <w:r>
        <w:rPr>
          <w:rFonts w:ascii="仿宋" w:hAnsi="仿宋" w:eastAsia="仿宋" w:cs="Segoe UI"/>
          <w:color w:val="auto"/>
          <w:kern w:val="0"/>
          <w:sz w:val="30"/>
          <w:szCs w:val="30"/>
        </w:rPr>
        <w:t>万元，占项目支出</w:t>
      </w:r>
      <w:r>
        <w:rPr>
          <w:rFonts w:hint="eastAsia" w:ascii="仿宋" w:hAnsi="仿宋" w:eastAsia="仿宋" w:cs="Segoe UI"/>
          <w:color w:val="auto"/>
          <w:kern w:val="0"/>
          <w:sz w:val="30"/>
          <w:szCs w:val="30"/>
          <w:lang w:val="en-US" w:eastAsia="zh-CN"/>
        </w:rPr>
        <w:t>27.23</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w:t>
      </w:r>
    </w:p>
    <w:p w14:paraId="4ED918AE">
      <w:pPr>
        <w:widowControl/>
        <w:ind w:firstLine="708" w:firstLineChars="236"/>
        <w:jc w:val="left"/>
        <w:rPr>
          <w:rFonts w:hint="eastAsia" w:ascii="仿宋" w:hAnsi="仿宋" w:eastAsia="仿宋" w:cs="Segoe UI"/>
          <w:color w:val="auto"/>
          <w:kern w:val="0"/>
          <w:sz w:val="30"/>
          <w:szCs w:val="30"/>
          <w:lang w:eastAsia="zh-CN"/>
        </w:rPr>
      </w:pPr>
      <w:r>
        <w:rPr>
          <w:rFonts w:hint="eastAsia" w:ascii="仿宋" w:hAnsi="仿宋" w:eastAsia="仿宋" w:cs="Segoe UI"/>
          <w:color w:val="auto"/>
          <w:kern w:val="0"/>
          <w:sz w:val="30"/>
          <w:szCs w:val="30"/>
        </w:rPr>
        <w:t>（2）</w:t>
      </w:r>
      <w:r>
        <w:rPr>
          <w:rFonts w:hint="eastAsia" w:ascii="仿宋" w:hAnsi="仿宋" w:eastAsia="仿宋" w:cs="宋体"/>
          <w:snapToGrid/>
          <w:color w:val="auto"/>
          <w:sz w:val="30"/>
          <w:szCs w:val="30"/>
          <w:lang w:eastAsia="zh-CN"/>
        </w:rPr>
        <w:t>就业促进和劳动保障联席会议工作经费</w:t>
      </w:r>
      <w:r>
        <w:rPr>
          <w:rFonts w:hint="eastAsia" w:ascii="仿宋" w:hAnsi="仿宋" w:eastAsia="仿宋" w:cs="Segoe UI"/>
          <w:color w:val="auto"/>
          <w:kern w:val="0"/>
          <w:sz w:val="30"/>
          <w:szCs w:val="30"/>
          <w:lang w:eastAsia="zh-CN"/>
        </w:rPr>
        <w:t>和农民工工资维权工作经费</w:t>
      </w:r>
      <w:r>
        <w:rPr>
          <w:rFonts w:hint="eastAsia" w:ascii="仿宋" w:hAnsi="仿宋" w:eastAsia="仿宋" w:cs="Segoe UI"/>
          <w:color w:val="auto"/>
          <w:kern w:val="0"/>
          <w:sz w:val="30"/>
          <w:szCs w:val="30"/>
          <w:lang w:val="en-US" w:eastAsia="zh-CN"/>
        </w:rPr>
        <w:t>22.3</w:t>
      </w:r>
      <w:r>
        <w:rPr>
          <w:rFonts w:ascii="仿宋" w:hAnsi="仿宋" w:eastAsia="仿宋" w:cs="Segoe UI"/>
          <w:color w:val="auto"/>
          <w:kern w:val="0"/>
          <w:sz w:val="30"/>
          <w:szCs w:val="30"/>
        </w:rPr>
        <w:t>万元，占</w:t>
      </w:r>
      <w:r>
        <w:rPr>
          <w:rFonts w:hint="eastAsia" w:ascii="仿宋" w:hAnsi="仿宋" w:eastAsia="仿宋" w:cs="Segoe UI"/>
          <w:color w:val="auto"/>
          <w:kern w:val="0"/>
          <w:sz w:val="30"/>
          <w:szCs w:val="30"/>
          <w:lang w:val="en-US" w:eastAsia="zh-CN"/>
        </w:rPr>
        <w:t>34.70</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w:t>
      </w:r>
    </w:p>
    <w:p w14:paraId="46E8CD26">
      <w:pPr>
        <w:widowControl/>
        <w:ind w:firstLine="708" w:firstLineChars="236"/>
        <w:jc w:val="left"/>
        <w:rPr>
          <w:rFonts w:hint="default" w:ascii="仿宋" w:hAnsi="仿宋" w:eastAsia="仿宋" w:cs="Segoe UI"/>
          <w:color w:val="auto"/>
          <w:kern w:val="0"/>
          <w:sz w:val="30"/>
          <w:szCs w:val="30"/>
          <w:lang w:val="en-US" w:eastAsia="zh-CN"/>
        </w:rPr>
      </w:pPr>
      <w:r>
        <w:rPr>
          <w:rFonts w:hint="eastAsia" w:ascii="仿宋" w:hAnsi="仿宋" w:eastAsia="仿宋" w:cs="Segoe UI"/>
          <w:color w:val="auto"/>
          <w:kern w:val="0"/>
          <w:sz w:val="30"/>
          <w:szCs w:val="30"/>
        </w:rPr>
        <w:t>（3）</w:t>
      </w:r>
      <w:r>
        <w:rPr>
          <w:rFonts w:hint="eastAsia" w:ascii="仿宋" w:hAnsi="仿宋" w:eastAsia="仿宋" w:cs="Segoe UI"/>
          <w:color w:val="auto"/>
          <w:kern w:val="0"/>
          <w:sz w:val="30"/>
          <w:szCs w:val="30"/>
          <w:lang w:eastAsia="zh-CN"/>
        </w:rPr>
        <w:t>劳动保障监察经费</w:t>
      </w:r>
      <w:r>
        <w:rPr>
          <w:rFonts w:hint="eastAsia" w:ascii="仿宋" w:hAnsi="仿宋" w:eastAsia="仿宋" w:cs="Segoe UI"/>
          <w:color w:val="auto"/>
          <w:kern w:val="0"/>
          <w:sz w:val="30"/>
          <w:szCs w:val="30"/>
          <w:lang w:val="en-US" w:eastAsia="zh-CN"/>
        </w:rPr>
        <w:t>8万元，占12.45%</w:t>
      </w:r>
    </w:p>
    <w:p w14:paraId="27DD22A9">
      <w:pPr>
        <w:widowControl/>
        <w:ind w:firstLine="600" w:firstLineChars="200"/>
        <w:jc w:val="left"/>
        <w:rPr>
          <w:rFonts w:hint="eastAsia" w:ascii="仿宋" w:hAnsi="仿宋" w:eastAsia="仿宋" w:cs="Segoe UI"/>
          <w:color w:val="auto"/>
          <w:kern w:val="0"/>
          <w:sz w:val="30"/>
          <w:szCs w:val="30"/>
          <w:lang w:eastAsia="zh-CN"/>
        </w:rPr>
      </w:pPr>
      <w:r>
        <w:rPr>
          <w:rFonts w:hint="eastAsia" w:ascii="仿宋" w:hAnsi="仿宋" w:eastAsia="仿宋" w:cs="Segoe UI"/>
          <w:color w:val="auto"/>
          <w:kern w:val="0"/>
          <w:sz w:val="30"/>
          <w:szCs w:val="30"/>
          <w:lang w:eastAsia="zh-CN"/>
        </w:rPr>
        <w:t>（</w:t>
      </w:r>
      <w:r>
        <w:rPr>
          <w:rFonts w:hint="eastAsia" w:ascii="仿宋" w:hAnsi="仿宋" w:eastAsia="仿宋" w:cs="Segoe UI"/>
          <w:color w:val="auto"/>
          <w:kern w:val="0"/>
          <w:sz w:val="30"/>
          <w:szCs w:val="30"/>
          <w:lang w:val="en-US" w:eastAsia="zh-CN"/>
        </w:rPr>
        <w:t>4</w:t>
      </w:r>
      <w:r>
        <w:rPr>
          <w:rFonts w:hint="eastAsia" w:ascii="仿宋" w:hAnsi="仿宋" w:eastAsia="仿宋" w:cs="Segoe UI"/>
          <w:color w:val="auto"/>
          <w:kern w:val="0"/>
          <w:sz w:val="30"/>
          <w:szCs w:val="30"/>
          <w:lang w:eastAsia="zh-CN"/>
        </w:rPr>
        <w:t>）公益性岗位补贴</w:t>
      </w:r>
      <w:r>
        <w:rPr>
          <w:rFonts w:hint="eastAsia" w:ascii="仿宋" w:hAnsi="仿宋" w:eastAsia="仿宋" w:cs="Segoe UI"/>
          <w:color w:val="auto"/>
          <w:kern w:val="0"/>
          <w:sz w:val="30"/>
          <w:szCs w:val="30"/>
          <w:lang w:val="en-US" w:eastAsia="zh-CN"/>
        </w:rPr>
        <w:t>及其他就业补助支出16.47万元</w:t>
      </w:r>
      <w:r>
        <w:rPr>
          <w:rFonts w:ascii="仿宋" w:hAnsi="仿宋" w:eastAsia="仿宋" w:cs="Segoe UI"/>
          <w:color w:val="auto"/>
          <w:kern w:val="0"/>
          <w:sz w:val="30"/>
          <w:szCs w:val="30"/>
        </w:rPr>
        <w:t>，占</w:t>
      </w:r>
      <w:r>
        <w:rPr>
          <w:rFonts w:hint="eastAsia" w:ascii="仿宋" w:hAnsi="仿宋" w:eastAsia="仿宋" w:cs="Segoe UI"/>
          <w:color w:val="auto"/>
          <w:kern w:val="0"/>
          <w:sz w:val="30"/>
          <w:szCs w:val="30"/>
          <w:lang w:val="en-US" w:eastAsia="zh-CN"/>
        </w:rPr>
        <w:t>25.63</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w:t>
      </w:r>
    </w:p>
    <w:p w14:paraId="422D605E">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2.资金实际使用</w:t>
      </w:r>
    </w:p>
    <w:p w14:paraId="7AB32C12">
      <w:pPr>
        <w:numPr>
          <w:ilvl w:val="0"/>
          <w:numId w:val="0"/>
        </w:numPr>
        <w:ind w:firstLine="600" w:firstLineChars="200"/>
        <w:rPr>
          <w:rFonts w:hint="eastAsia" w:ascii="仿宋" w:hAnsi="仿宋" w:eastAsia="仿宋" w:cs="仿宋"/>
          <w:color w:val="auto"/>
          <w:kern w:val="0"/>
          <w:sz w:val="30"/>
          <w:szCs w:val="30"/>
          <w:lang w:eastAsia="zh-CN"/>
        </w:rPr>
      </w:pPr>
      <w:r>
        <w:rPr>
          <w:rFonts w:ascii="仿宋" w:hAnsi="仿宋" w:eastAsia="仿宋" w:cs="Segoe UI"/>
          <w:color w:val="auto"/>
          <w:kern w:val="0"/>
          <w:sz w:val="30"/>
          <w:szCs w:val="30"/>
        </w:rPr>
        <w:t>重点项目执行：</w:t>
      </w:r>
      <w:r>
        <w:rPr>
          <w:rFonts w:hint="eastAsia" w:ascii="仿宋" w:hAnsi="仿宋" w:eastAsia="仿宋" w:cs="Segoe UI"/>
          <w:color w:val="auto"/>
          <w:kern w:val="0"/>
          <w:sz w:val="30"/>
          <w:szCs w:val="30"/>
          <w:lang w:eastAsia="zh-CN"/>
        </w:rPr>
        <w:t>仲裁业务专项经费</w:t>
      </w:r>
      <w:r>
        <w:rPr>
          <w:rFonts w:hint="eastAsia" w:ascii="仿宋" w:hAnsi="仿宋" w:eastAsia="仿宋" w:cs="Segoe UI"/>
          <w:color w:val="auto"/>
          <w:kern w:val="0"/>
          <w:sz w:val="30"/>
          <w:szCs w:val="30"/>
          <w:lang w:val="en-US" w:eastAsia="zh-CN"/>
        </w:rPr>
        <w:t>17.5万元，用于</w:t>
      </w:r>
      <w:r>
        <w:rPr>
          <w:rFonts w:hint="eastAsia" w:ascii="仿宋" w:hAnsi="仿宋" w:eastAsia="仿宋" w:cs="仿宋"/>
          <w:color w:val="auto"/>
          <w:kern w:val="0"/>
          <w:sz w:val="30"/>
          <w:szCs w:val="30"/>
          <w:shd w:val="clear" w:color="auto" w:fill="FFFFFF"/>
        </w:rPr>
        <w:t>劳动法律法规宣传</w:t>
      </w:r>
      <w:r>
        <w:rPr>
          <w:rFonts w:hint="eastAsia" w:ascii="仿宋" w:hAnsi="仿宋" w:eastAsia="仿宋" w:cs="仿宋"/>
          <w:color w:val="auto"/>
          <w:kern w:val="0"/>
          <w:sz w:val="30"/>
          <w:szCs w:val="30"/>
          <w:shd w:val="clear" w:color="auto" w:fill="FFFFFF"/>
          <w:lang w:eastAsia="zh-CN"/>
        </w:rPr>
        <w:t>，</w:t>
      </w:r>
      <w:r>
        <w:rPr>
          <w:rFonts w:hint="eastAsia" w:ascii="仿宋" w:hAnsi="仿宋" w:eastAsia="仿宋" w:cs="仿宋"/>
          <w:color w:val="auto"/>
          <w:sz w:val="30"/>
          <w:szCs w:val="30"/>
        </w:rPr>
        <w:t>仲裁文书和表册印制费、快递送达和登报公示费、聘请书记员和司机等辅助人员工资、兼职仲裁员报酬、资料费、培训费、案例研讨会务费、仲裁专业设备购置、维修、维护费</w:t>
      </w:r>
      <w:r>
        <w:rPr>
          <w:rFonts w:hint="eastAsia" w:ascii="仿宋" w:hAnsi="仿宋" w:eastAsia="仿宋" w:cs="仿宋"/>
          <w:color w:val="auto"/>
          <w:kern w:val="0"/>
          <w:sz w:val="30"/>
          <w:szCs w:val="30"/>
        </w:rPr>
        <w:t>等。</w:t>
      </w:r>
      <w:r>
        <w:rPr>
          <w:rFonts w:hint="eastAsia" w:ascii="仿宋" w:hAnsi="仿宋" w:eastAsia="仿宋" w:cs="Segoe UI"/>
          <w:color w:val="auto"/>
          <w:kern w:val="0"/>
          <w:sz w:val="30"/>
          <w:szCs w:val="30"/>
          <w:lang w:eastAsia="zh-CN"/>
        </w:rPr>
        <w:t>劳动保障监察</w:t>
      </w:r>
      <w:r>
        <w:rPr>
          <w:rFonts w:ascii="仿宋" w:hAnsi="仿宋" w:eastAsia="仿宋" w:cs="Segoe UI"/>
          <w:color w:val="auto"/>
          <w:kern w:val="0"/>
          <w:sz w:val="30"/>
          <w:szCs w:val="30"/>
        </w:rPr>
        <w:t>类</w:t>
      </w:r>
      <w:r>
        <w:rPr>
          <w:rFonts w:hint="eastAsia" w:ascii="仿宋" w:hAnsi="仿宋" w:eastAsia="仿宋" w:cs="Segoe UI"/>
          <w:color w:val="auto"/>
          <w:kern w:val="0"/>
          <w:sz w:val="30"/>
          <w:szCs w:val="30"/>
          <w:lang w:val="en-US" w:eastAsia="zh-CN"/>
        </w:rPr>
        <w:t>30.3</w:t>
      </w:r>
      <w:r>
        <w:rPr>
          <w:rFonts w:ascii="仿宋" w:hAnsi="仿宋" w:eastAsia="仿宋" w:cs="Segoe UI"/>
          <w:color w:val="auto"/>
          <w:kern w:val="0"/>
          <w:sz w:val="30"/>
          <w:szCs w:val="30"/>
        </w:rPr>
        <w:t>万元</w:t>
      </w:r>
      <w:r>
        <w:rPr>
          <w:rFonts w:hint="eastAsia" w:ascii="仿宋" w:hAnsi="仿宋" w:eastAsia="仿宋" w:cs="Segoe UI"/>
          <w:color w:val="auto"/>
          <w:kern w:val="0"/>
          <w:sz w:val="30"/>
          <w:szCs w:val="30"/>
          <w:lang w:eastAsia="zh-CN"/>
        </w:rPr>
        <w:t>，</w:t>
      </w:r>
      <w:r>
        <w:rPr>
          <w:rFonts w:hint="eastAsia" w:ascii="仿宋" w:hAnsi="仿宋" w:eastAsia="仿宋" w:cs="Segoe UI"/>
          <w:color w:val="auto"/>
          <w:kern w:val="0"/>
          <w:sz w:val="30"/>
          <w:szCs w:val="30"/>
        </w:rPr>
        <w:t>主要是用于怀化市根治拖欠农民工工资工作领导小组的统筹协调、综合信息、联络联系督导调度、日常管理工作方面。</w:t>
      </w:r>
      <w:r>
        <w:rPr>
          <w:rFonts w:hint="eastAsia" w:ascii="仿宋" w:hAnsi="仿宋" w:eastAsia="仿宋" w:cs="仿宋"/>
          <w:color w:val="auto"/>
          <w:sz w:val="30"/>
          <w:szCs w:val="30"/>
          <w:highlight w:val="none"/>
          <w:lang w:val="en-US" w:eastAsia="zh-CN"/>
        </w:rPr>
        <w:t>全市政府、国有企业投资项目欠薪风险线索共计173起，涉及农民工5076人，金额6587.87万元，</w:t>
      </w:r>
      <w:r>
        <w:rPr>
          <w:rFonts w:hint="eastAsia" w:ascii="仿宋" w:hAnsi="仿宋" w:eastAsia="仿宋" w:cs="仿宋"/>
          <w:color w:val="auto"/>
          <w:kern w:val="2"/>
          <w:sz w:val="30"/>
          <w:szCs w:val="30"/>
          <w:highlight w:val="none"/>
          <w:lang w:val="en-US" w:eastAsia="zh-CN" w:bidi="ar-SA"/>
        </w:rPr>
        <w:t>移送纪检监察部门立案共7起。</w:t>
      </w:r>
      <w:r>
        <w:rPr>
          <w:rFonts w:hint="eastAsia" w:ascii="仿宋" w:hAnsi="仿宋" w:eastAsia="仿宋" w:cs="仿宋"/>
          <w:color w:val="auto"/>
          <w:sz w:val="30"/>
          <w:szCs w:val="30"/>
          <w:lang w:eastAsia="zh-CN"/>
        </w:rPr>
        <w:t>先后开展四轮欠薪风险隐患大排查，</w:t>
      </w:r>
      <w:r>
        <w:rPr>
          <w:rFonts w:hint="eastAsia" w:ascii="仿宋" w:hAnsi="仿宋" w:eastAsia="仿宋" w:cs="仿宋"/>
          <w:color w:val="auto"/>
          <w:sz w:val="30"/>
          <w:szCs w:val="30"/>
          <w:lang w:val="en-US" w:eastAsia="zh-CN"/>
        </w:rPr>
        <w:t>对拖欠企业账款台账开展“过筛式”核查，切实抓好“一制五清三落实”，全力保障农民工工资支付。今年以来</w:t>
      </w:r>
      <w:r>
        <w:rPr>
          <w:rFonts w:hint="eastAsia" w:ascii="仿宋" w:hAnsi="仿宋" w:eastAsia="仿宋" w:cs="仿宋"/>
          <w:color w:val="auto"/>
          <w:sz w:val="30"/>
          <w:szCs w:val="30"/>
          <w:highlight w:val="none"/>
          <w:lang w:val="en-US" w:eastAsia="zh-CN"/>
        </w:rPr>
        <w:t>全市</w:t>
      </w:r>
      <w:r>
        <w:rPr>
          <w:rFonts w:hint="eastAsia" w:ascii="仿宋" w:hAnsi="仿宋" w:eastAsia="仿宋" w:cs="仿宋"/>
          <w:color w:val="auto"/>
          <w:sz w:val="30"/>
          <w:szCs w:val="30"/>
          <w:lang w:val="en-US" w:eastAsia="zh-CN"/>
        </w:rPr>
        <w:t>“两欠”大排查问题线索50起，涉及人数1475人，金额2262.71万元，已处理27起，为601人追回966.07万元。</w:t>
      </w:r>
      <w:r>
        <w:rPr>
          <w:rFonts w:hint="eastAsia" w:ascii="仿宋" w:hAnsi="仿宋" w:eastAsia="仿宋" w:cs="Segoe UI"/>
          <w:color w:val="auto"/>
          <w:kern w:val="0"/>
          <w:sz w:val="30"/>
          <w:szCs w:val="30"/>
        </w:rPr>
        <w:t>切实解决农民工工资被拖欠问题，维护我市和谐劳动关系，保障社会稳定。</w:t>
      </w:r>
    </w:p>
    <w:p w14:paraId="27FC7253">
      <w:pPr>
        <w:widowControl/>
        <w:numPr>
          <w:ilvl w:val="0"/>
          <w:numId w:val="4"/>
        </w:numPr>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资金管理情况</w:t>
      </w:r>
    </w:p>
    <w:p w14:paraId="064E16CD">
      <w:pPr>
        <w:widowControl/>
        <w:ind w:firstLine="606" w:firstLineChars="202"/>
        <w:jc w:val="left"/>
        <w:rPr>
          <w:rFonts w:hint="default" w:ascii="仿宋" w:hAnsi="仿宋" w:eastAsia="仿宋" w:cs="Segoe UI"/>
          <w:color w:val="auto"/>
          <w:kern w:val="0"/>
          <w:sz w:val="30"/>
          <w:szCs w:val="30"/>
          <w:lang w:val="en-US" w:eastAsia="zh-CN"/>
        </w:rPr>
      </w:pPr>
      <w:r>
        <w:rPr>
          <w:rFonts w:hint="eastAsia" w:ascii="仿宋" w:hAnsi="仿宋" w:eastAsia="仿宋" w:cs="Segoe UI"/>
          <w:color w:val="auto"/>
          <w:kern w:val="0"/>
          <w:sz w:val="30"/>
          <w:szCs w:val="30"/>
          <w:lang w:val="en-US" w:eastAsia="zh-CN"/>
        </w:rPr>
        <w:t xml:space="preserve"> </w:t>
      </w:r>
      <w:r>
        <w:rPr>
          <w:rFonts w:hint="eastAsia" w:ascii="仿宋" w:hAnsi="仿宋" w:eastAsia="仿宋"/>
          <w:color w:val="auto"/>
          <w:sz w:val="28"/>
          <w:szCs w:val="28"/>
        </w:rPr>
        <w:t>按照《怀化市本级专项资金管理办法实施细则》，经费由财政局严格审核下拨，程序规范。</w:t>
      </w:r>
      <w:r>
        <w:rPr>
          <w:rFonts w:hint="eastAsia" w:ascii="仿宋" w:hAnsi="仿宋" w:eastAsia="仿宋" w:cs="Segoe UI"/>
          <w:color w:val="auto"/>
          <w:kern w:val="0"/>
          <w:sz w:val="28"/>
          <w:szCs w:val="28"/>
          <w:shd w:val="clear" w:color="auto" w:fill="FFFFFF"/>
        </w:rPr>
        <w:t>在项目实施过程中，严格执行各项资金管理制度，确保资金使用合法、合规、合理。具体包括：严格按照预算安排使用资金，不得擅自调整项目资金用途和支出范围。确需调整的，按照规定程序报批。项目资金的支出必须经过严格的审批程序，由项目实施单位提出申请，经院领导审批后，方可支付。加强项目资金的财务核算，规范会计科目设置和账务处理，确保资金收支清晰、准确。定期对项目资金的使用情况进行监督检查，及时发现和纠正资金使用过程中存在的问题，严肃查处违规违纪行为。</w:t>
      </w:r>
    </w:p>
    <w:p w14:paraId="7F435AEB">
      <w:pPr>
        <w:widowControl/>
        <w:numPr>
          <w:ilvl w:val="0"/>
          <w:numId w:val="5"/>
        </w:numPr>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项目组织实施情况</w:t>
      </w:r>
    </w:p>
    <w:p w14:paraId="2C02FF88">
      <w:pPr>
        <w:widowControl/>
        <w:ind w:firstLine="600" w:firstLineChars="200"/>
        <w:jc w:val="left"/>
        <w:rPr>
          <w:rFonts w:hint="default" w:ascii="仿宋" w:hAnsi="仿宋" w:eastAsia="仿宋" w:cs="Segoe UI"/>
          <w:color w:val="auto"/>
          <w:kern w:val="0"/>
          <w:sz w:val="30"/>
          <w:szCs w:val="30"/>
          <w:lang w:val="en-US" w:eastAsia="zh-CN"/>
        </w:rPr>
      </w:pPr>
      <w:r>
        <w:rPr>
          <w:rFonts w:ascii="仿宋" w:hAnsi="仿宋" w:eastAsia="仿宋" w:cs="Segoe UI"/>
          <w:color w:val="auto"/>
          <w:kern w:val="0"/>
          <w:sz w:val="30"/>
          <w:szCs w:val="30"/>
        </w:rPr>
        <w:t>（一）项目组织情况</w:t>
      </w:r>
    </w:p>
    <w:p w14:paraId="28149801">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年项目支出中，涉及政府采购的预算总额为</w:t>
      </w:r>
      <w:r>
        <w:rPr>
          <w:rFonts w:hint="eastAsia" w:ascii="仿宋" w:hAnsi="仿宋" w:eastAsia="仿宋" w:cs="Segoe UI"/>
          <w:color w:val="auto"/>
          <w:kern w:val="0"/>
          <w:sz w:val="30"/>
          <w:szCs w:val="30"/>
          <w:lang w:val="en-US" w:eastAsia="zh-CN"/>
        </w:rPr>
        <w:t>7.5</w:t>
      </w:r>
      <w:r>
        <w:rPr>
          <w:rFonts w:ascii="仿宋" w:hAnsi="仿宋" w:eastAsia="仿宋" w:cs="Segoe UI"/>
          <w:color w:val="auto"/>
          <w:kern w:val="0"/>
          <w:sz w:val="30"/>
          <w:szCs w:val="30"/>
        </w:rPr>
        <w:t>万元，均为货物采购，主要用于办公设备购置及信息化系统运维服务。所有采购项目均严格按照《政府采购法》执行，采用公开招标或竞争性磋商方式确定供应商。</w:t>
      </w:r>
    </w:p>
    <w:p w14:paraId="1A230CC5">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（二）项目管理情况</w:t>
      </w:r>
    </w:p>
    <w:p w14:paraId="7A65B95E">
      <w:pPr>
        <w:widowControl/>
        <w:ind w:firstLine="565" w:firstLineChars="202"/>
        <w:jc w:val="left"/>
        <w:rPr>
          <w:rFonts w:hint="eastAsia" w:ascii="仿宋" w:hAnsi="仿宋" w:eastAsia="仿宋" w:cs="Segoe UI"/>
          <w:color w:val="auto"/>
          <w:kern w:val="0"/>
          <w:sz w:val="28"/>
          <w:szCs w:val="28"/>
          <w:shd w:val="clear" w:color="auto" w:fill="FFFFFF"/>
        </w:rPr>
      </w:pPr>
      <w:r>
        <w:rPr>
          <w:rFonts w:ascii="仿宋" w:hAnsi="仿宋" w:eastAsia="仿宋"/>
          <w:color w:val="auto"/>
          <w:sz w:val="28"/>
          <w:szCs w:val="28"/>
        </w:rPr>
        <w:fldChar w:fldCharType="begin"/>
      </w:r>
      <w:r>
        <w:rPr>
          <w:rFonts w:ascii="仿宋" w:hAnsi="仿宋" w:eastAsia="仿宋"/>
          <w:color w:val="auto"/>
          <w:sz w:val="28"/>
          <w:szCs w:val="28"/>
        </w:rPr>
        <w:instrText xml:space="preserve"> </w:instrText>
      </w:r>
      <w:r>
        <w:rPr>
          <w:rFonts w:hint="eastAsia" w:ascii="仿宋" w:hAnsi="仿宋" w:eastAsia="仿宋"/>
          <w:color w:val="auto"/>
          <w:sz w:val="28"/>
          <w:szCs w:val="28"/>
        </w:rPr>
        <w:instrText xml:space="preserve">= 1 \* GB3</w:instrText>
      </w:r>
      <w:r>
        <w:rPr>
          <w:rFonts w:ascii="仿宋" w:hAnsi="仿宋" w:eastAsia="仿宋"/>
          <w:color w:val="auto"/>
          <w:sz w:val="28"/>
          <w:szCs w:val="28"/>
        </w:rPr>
        <w:instrText xml:space="preserve"> </w:instrText>
      </w:r>
      <w:r>
        <w:rPr>
          <w:rFonts w:ascii="仿宋" w:hAnsi="仿宋" w:eastAsia="仿宋"/>
          <w:color w:val="auto"/>
          <w:sz w:val="28"/>
          <w:szCs w:val="28"/>
        </w:rPr>
        <w:fldChar w:fldCharType="separate"/>
      </w:r>
      <w:r>
        <w:rPr>
          <w:rFonts w:hint="eastAsia" w:ascii="仿宋" w:hAnsi="仿宋" w:eastAsia="仿宋"/>
          <w:color w:val="auto"/>
          <w:sz w:val="28"/>
          <w:szCs w:val="28"/>
        </w:rPr>
        <w:t>①</w:t>
      </w:r>
      <w:r>
        <w:rPr>
          <w:rFonts w:ascii="仿宋" w:hAnsi="仿宋" w:eastAsia="仿宋"/>
          <w:color w:val="auto"/>
          <w:sz w:val="28"/>
          <w:szCs w:val="28"/>
        </w:rPr>
        <w:fldChar w:fldCharType="end"/>
      </w:r>
      <w:r>
        <w:rPr>
          <w:rFonts w:hint="eastAsia" w:ascii="仿宋" w:hAnsi="仿宋" w:eastAsia="仿宋" w:cs="Segoe UI"/>
          <w:color w:val="auto"/>
          <w:kern w:val="0"/>
          <w:sz w:val="28"/>
          <w:szCs w:val="28"/>
          <w:shd w:val="clear" w:color="auto" w:fill="FFFFFF"/>
        </w:rPr>
        <w:t>项目实施方案制定：在项目实施前，各项目实施单位深入开展调研，充分了解项目需求和目标，结合实际情况，制定详细、科学、可行的项目实施方案。实施方案包括项目的背景、目标、任务、实施步骤、时间安排、资金预算、保障措施等内容，为项目的顺利实施提供了明确的指导和依据。</w:t>
      </w:r>
    </w:p>
    <w:p w14:paraId="17D9CDAB">
      <w:pPr>
        <w:widowControl/>
        <w:ind w:firstLine="565" w:firstLineChars="202"/>
        <w:jc w:val="left"/>
        <w:rPr>
          <w:rFonts w:hint="eastAsia" w:ascii="仿宋" w:hAnsi="仿宋" w:eastAsia="仿宋" w:cs="Segoe UI"/>
          <w:color w:val="auto"/>
          <w:kern w:val="0"/>
          <w:sz w:val="28"/>
          <w:szCs w:val="28"/>
          <w:shd w:val="clear" w:color="auto" w:fill="FFFFFF"/>
        </w:rPr>
      </w:pPr>
      <w:r>
        <w:rPr>
          <w:rFonts w:ascii="仿宋" w:hAnsi="仿宋" w:eastAsia="仿宋"/>
          <w:color w:val="auto"/>
          <w:sz w:val="28"/>
          <w:szCs w:val="28"/>
        </w:rPr>
        <w:fldChar w:fldCharType="begin"/>
      </w:r>
      <w:r>
        <w:rPr>
          <w:rFonts w:ascii="仿宋" w:hAnsi="仿宋" w:eastAsia="仿宋"/>
          <w:color w:val="auto"/>
          <w:sz w:val="28"/>
          <w:szCs w:val="28"/>
        </w:rPr>
        <w:instrText xml:space="preserve"> </w:instrText>
      </w:r>
      <w:r>
        <w:rPr>
          <w:rFonts w:hint="eastAsia" w:ascii="仿宋" w:hAnsi="仿宋" w:eastAsia="仿宋"/>
          <w:color w:val="auto"/>
          <w:sz w:val="28"/>
          <w:szCs w:val="28"/>
        </w:rPr>
        <w:instrText xml:space="preserve">= 2 \* GB3</w:instrText>
      </w:r>
      <w:r>
        <w:rPr>
          <w:rFonts w:ascii="仿宋" w:hAnsi="仿宋" w:eastAsia="仿宋"/>
          <w:color w:val="auto"/>
          <w:sz w:val="28"/>
          <w:szCs w:val="28"/>
        </w:rPr>
        <w:instrText xml:space="preserve"> </w:instrText>
      </w:r>
      <w:r>
        <w:rPr>
          <w:rFonts w:ascii="仿宋" w:hAnsi="仿宋" w:eastAsia="仿宋"/>
          <w:color w:val="auto"/>
          <w:sz w:val="28"/>
          <w:szCs w:val="28"/>
        </w:rPr>
        <w:fldChar w:fldCharType="separate"/>
      </w:r>
      <w:r>
        <w:rPr>
          <w:rFonts w:hint="eastAsia" w:ascii="仿宋" w:hAnsi="仿宋" w:eastAsia="仿宋"/>
          <w:color w:val="auto"/>
          <w:sz w:val="28"/>
          <w:szCs w:val="28"/>
        </w:rPr>
        <w:t>②</w:t>
      </w:r>
      <w:r>
        <w:rPr>
          <w:rFonts w:ascii="仿宋" w:hAnsi="仿宋" w:eastAsia="仿宋"/>
          <w:color w:val="auto"/>
          <w:sz w:val="28"/>
          <w:szCs w:val="28"/>
        </w:rPr>
        <w:fldChar w:fldCharType="end"/>
      </w:r>
      <w:r>
        <w:rPr>
          <w:rFonts w:hint="eastAsia" w:ascii="仿宋" w:hAnsi="仿宋" w:eastAsia="仿宋" w:cs="Segoe UI"/>
          <w:color w:val="auto"/>
          <w:kern w:val="0"/>
          <w:sz w:val="28"/>
          <w:szCs w:val="28"/>
          <w:shd w:val="clear" w:color="auto" w:fill="FFFFFF"/>
        </w:rPr>
        <w:t>项目实施过程监督：建立了完善的项目实施过程监督机制，加强对项目实施进度、质量、资金使用等方面的监督检查。</w:t>
      </w:r>
    </w:p>
    <w:p w14:paraId="02D145EF">
      <w:pPr>
        <w:widowControl/>
        <w:ind w:firstLine="565" w:firstLineChars="202"/>
        <w:jc w:val="left"/>
        <w:rPr>
          <w:rFonts w:ascii="仿宋" w:hAnsi="仿宋" w:eastAsia="仿宋" w:cs="Segoe UI"/>
          <w:color w:val="auto"/>
          <w:kern w:val="0"/>
          <w:sz w:val="30"/>
          <w:szCs w:val="30"/>
        </w:rPr>
      </w:pPr>
      <w:r>
        <w:rPr>
          <w:rFonts w:ascii="仿宋" w:hAnsi="仿宋" w:eastAsia="仿宋"/>
          <w:color w:val="auto"/>
          <w:sz w:val="28"/>
          <w:szCs w:val="28"/>
        </w:rPr>
        <w:fldChar w:fldCharType="begin"/>
      </w:r>
      <w:r>
        <w:rPr>
          <w:rFonts w:ascii="仿宋" w:hAnsi="仿宋" w:eastAsia="仿宋"/>
          <w:color w:val="auto"/>
          <w:sz w:val="28"/>
          <w:szCs w:val="28"/>
        </w:rPr>
        <w:instrText xml:space="preserve"> </w:instrText>
      </w:r>
      <w:r>
        <w:rPr>
          <w:rFonts w:hint="eastAsia" w:ascii="仿宋" w:hAnsi="仿宋" w:eastAsia="仿宋"/>
          <w:color w:val="auto"/>
          <w:sz w:val="28"/>
          <w:szCs w:val="28"/>
        </w:rPr>
        <w:instrText xml:space="preserve">= 3 \* GB3</w:instrText>
      </w:r>
      <w:r>
        <w:rPr>
          <w:rFonts w:ascii="仿宋" w:hAnsi="仿宋" w:eastAsia="仿宋"/>
          <w:color w:val="auto"/>
          <w:sz w:val="28"/>
          <w:szCs w:val="28"/>
        </w:rPr>
        <w:instrText xml:space="preserve"> </w:instrText>
      </w:r>
      <w:r>
        <w:rPr>
          <w:rFonts w:ascii="仿宋" w:hAnsi="仿宋" w:eastAsia="仿宋"/>
          <w:color w:val="auto"/>
          <w:sz w:val="28"/>
          <w:szCs w:val="28"/>
        </w:rPr>
        <w:fldChar w:fldCharType="separate"/>
      </w:r>
      <w:r>
        <w:rPr>
          <w:rFonts w:hint="eastAsia" w:ascii="仿宋" w:hAnsi="仿宋" w:eastAsia="仿宋"/>
          <w:color w:val="auto"/>
          <w:sz w:val="28"/>
          <w:szCs w:val="28"/>
        </w:rPr>
        <w:t>③</w:t>
      </w:r>
      <w:r>
        <w:rPr>
          <w:rFonts w:ascii="仿宋" w:hAnsi="仿宋" w:eastAsia="仿宋"/>
          <w:color w:val="auto"/>
          <w:sz w:val="28"/>
          <w:szCs w:val="28"/>
        </w:rPr>
        <w:fldChar w:fldCharType="end"/>
      </w:r>
      <w:r>
        <w:rPr>
          <w:rFonts w:hint="eastAsia" w:ascii="仿宋" w:hAnsi="仿宋" w:eastAsia="仿宋" w:cs="Segoe UI"/>
          <w:color w:val="auto"/>
          <w:kern w:val="0"/>
          <w:sz w:val="28"/>
          <w:szCs w:val="28"/>
          <w:shd w:val="clear" w:color="auto" w:fill="FFFFFF"/>
        </w:rPr>
        <w:t>项目验收与评估：项目完成后，及时组织开展项目验收和评估工作。验收和评估工作由局项目工作领导小组牵头，组织相关专家和业务骨干组成验收评估小组，按照项目实施方案和相关标准，对项目的完成情况、质量效果、资金使用、社会效益等方面进行全面验收和评估。</w:t>
      </w:r>
    </w:p>
    <w:p w14:paraId="6F02F996">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四、资产管理情况</w:t>
      </w:r>
    </w:p>
    <w:p w14:paraId="18AEF2C2">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（一）制度与管理措施</w:t>
      </w:r>
    </w:p>
    <w:p w14:paraId="69E51B5F">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制定《固定资产管理制度》《国有资产处置办法》，实行“一物一卡”台账管理，纳入“湖南省行政事业性国有资产管理系统”。202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年新增办公设备均按政府采购程序采购，配置标准符合规定。</w:t>
      </w:r>
    </w:p>
    <w:p w14:paraId="6EDF2076">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（二）配置与处置程序</w:t>
      </w:r>
    </w:p>
    <w:p w14:paraId="6150C192">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1.资产配置：申请→汇总→审核→审批→采购→验收登记。</w:t>
      </w:r>
    </w:p>
    <w:p w14:paraId="14C925AE">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2.资产处置：使用部门提出报废申请→技术鉴定→财务核实→领导审批→报市财政局备案→公开处置。</w:t>
      </w:r>
    </w:p>
    <w:p w14:paraId="787E5FE0">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五、政府性基金预算支出情况</w:t>
      </w:r>
    </w:p>
    <w:p w14:paraId="35E831F9">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年度无政府性基金预算支出。</w:t>
      </w:r>
    </w:p>
    <w:p w14:paraId="3F0544BE">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六、国有资本经营预算支出情况</w:t>
      </w:r>
    </w:p>
    <w:p w14:paraId="524842D0">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年度无国有资本经营预算支出。</w:t>
      </w:r>
    </w:p>
    <w:p w14:paraId="66D902CC">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七、社会保险基金预算支出情况</w:t>
      </w:r>
    </w:p>
    <w:p w14:paraId="0ACBAE02">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202</w:t>
      </w:r>
      <w:r>
        <w:rPr>
          <w:rFonts w:hint="eastAsia" w:ascii="仿宋" w:hAnsi="仿宋" w:eastAsia="仿宋" w:cs="Segoe UI"/>
          <w:color w:val="auto"/>
          <w:kern w:val="0"/>
          <w:sz w:val="30"/>
          <w:szCs w:val="30"/>
          <w:lang w:val="en-US" w:eastAsia="zh-CN"/>
        </w:rPr>
        <w:t>5</w:t>
      </w:r>
      <w:r>
        <w:rPr>
          <w:rFonts w:ascii="仿宋" w:hAnsi="仿宋" w:eastAsia="仿宋" w:cs="Segoe UI"/>
          <w:color w:val="auto"/>
          <w:kern w:val="0"/>
          <w:sz w:val="30"/>
          <w:szCs w:val="30"/>
        </w:rPr>
        <w:t>年度无社会保险基金预算支出。</w:t>
      </w:r>
    </w:p>
    <w:p w14:paraId="7A5802BE">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八、部门整体支出绩效情况</w:t>
      </w:r>
    </w:p>
    <w:p w14:paraId="08110BAC">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（一）绩效目标完成情况</w:t>
      </w:r>
    </w:p>
    <w:p w14:paraId="35B7300A">
      <w:pPr>
        <w:widowControl/>
        <w:ind w:firstLine="842" w:firstLineChars="301"/>
        <w:jc w:val="left"/>
        <w:rPr>
          <w:rFonts w:hint="eastAsia" w:ascii="仿宋" w:hAnsi="仿宋" w:eastAsia="仿宋" w:cs="Segoe UI"/>
          <w:color w:val="auto"/>
          <w:kern w:val="0"/>
          <w:sz w:val="28"/>
          <w:szCs w:val="28"/>
          <w:shd w:val="clear" w:color="auto" w:fill="FFFFFF"/>
        </w:rPr>
      </w:pPr>
      <w:r>
        <w:rPr>
          <w:rFonts w:hint="eastAsia" w:ascii="仿宋" w:hAnsi="仿宋" w:eastAsia="仿宋" w:cs="Segoe UI"/>
          <w:color w:val="auto"/>
          <w:kern w:val="0"/>
          <w:sz w:val="28"/>
          <w:szCs w:val="28"/>
          <w:shd w:val="clear" w:color="auto" w:fill="FFFFFF"/>
        </w:rPr>
        <w:t>1. 化解劳动关系矛盾纠纷，建立和谐劳动关系。</w:t>
      </w:r>
    </w:p>
    <w:p w14:paraId="5037BC59">
      <w:pPr>
        <w:pStyle w:val="6"/>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kern w:val="0"/>
          <w:sz w:val="30"/>
          <w:szCs w:val="30"/>
          <w:shd w:val="clear" w:color="auto" w:fill="FFFFFF"/>
        </w:rPr>
      </w:pPr>
      <w:r>
        <w:rPr>
          <w:rFonts w:hint="eastAsia" w:ascii="仿宋" w:hAnsi="仿宋" w:eastAsia="仿宋" w:cs="仿宋"/>
          <w:color w:val="auto"/>
          <w:kern w:val="0"/>
          <w:sz w:val="30"/>
          <w:szCs w:val="30"/>
          <w:shd w:val="clear" w:color="auto" w:fill="FFFFFF"/>
        </w:rPr>
        <w:t xml:space="preserve"> </w:t>
      </w:r>
      <w:r>
        <w:rPr>
          <w:rFonts w:hint="eastAsia" w:ascii="仿宋" w:hAnsi="仿宋" w:eastAsia="仿宋" w:cs="仿宋"/>
          <w:sz w:val="30"/>
          <w:szCs w:val="30"/>
          <w:highlight w:val="none"/>
          <w:lang w:eastAsia="zh-CN"/>
        </w:rPr>
        <w:t>全</w:t>
      </w:r>
      <w:r>
        <w:rPr>
          <w:rFonts w:hint="eastAsia" w:ascii="仿宋" w:hAnsi="仿宋" w:eastAsia="仿宋" w:cs="仿宋"/>
          <w:sz w:val="30"/>
          <w:szCs w:val="30"/>
          <w:highlight w:val="none"/>
        </w:rPr>
        <w:t>市各级劳动人事争议仲裁机构共受理案件</w:t>
      </w:r>
      <w:r>
        <w:rPr>
          <w:rFonts w:hint="eastAsia" w:ascii="仿宋" w:hAnsi="仿宋" w:eastAsia="仿宋" w:cs="仿宋"/>
          <w:sz w:val="30"/>
          <w:szCs w:val="30"/>
          <w:highlight w:val="none"/>
          <w:lang w:val="en-US" w:eastAsia="zh-CN"/>
        </w:rPr>
        <w:t>1080</w:t>
      </w:r>
      <w:r>
        <w:rPr>
          <w:rFonts w:hint="eastAsia" w:ascii="仿宋" w:hAnsi="仿宋" w:eastAsia="仿宋" w:cs="仿宋"/>
          <w:sz w:val="30"/>
          <w:szCs w:val="30"/>
          <w:highlight w:val="none"/>
        </w:rPr>
        <w:t>件，涉及劳动者人数</w:t>
      </w:r>
      <w:r>
        <w:rPr>
          <w:rFonts w:hint="eastAsia" w:ascii="仿宋" w:hAnsi="仿宋" w:eastAsia="仿宋" w:cs="仿宋"/>
          <w:kern w:val="2"/>
          <w:sz w:val="30"/>
          <w:szCs w:val="30"/>
          <w:highlight w:val="none"/>
          <w:lang w:val="en-US" w:eastAsia="zh-CN" w:bidi="ar-SA"/>
        </w:rPr>
        <w:t>2102</w:t>
      </w:r>
      <w:r>
        <w:rPr>
          <w:rFonts w:hint="eastAsia" w:ascii="仿宋" w:hAnsi="仿宋" w:eastAsia="仿宋" w:cs="仿宋"/>
          <w:sz w:val="30"/>
          <w:szCs w:val="30"/>
          <w:highlight w:val="none"/>
        </w:rPr>
        <w:t>人，</w:t>
      </w:r>
      <w:r>
        <w:rPr>
          <w:rFonts w:hint="eastAsia" w:ascii="仿宋" w:hAnsi="仿宋" w:eastAsia="仿宋" w:cs="仿宋"/>
          <w:sz w:val="30"/>
          <w:szCs w:val="30"/>
          <w:highlight w:val="none"/>
          <w:lang w:eastAsia="zh-CN"/>
        </w:rPr>
        <w:t>涉及金额</w:t>
      </w:r>
      <w:r>
        <w:rPr>
          <w:rFonts w:hint="eastAsia" w:ascii="仿宋" w:hAnsi="仿宋" w:eastAsia="仿宋" w:cs="仿宋"/>
          <w:kern w:val="2"/>
          <w:sz w:val="30"/>
          <w:szCs w:val="30"/>
          <w:highlight w:val="none"/>
          <w:lang w:val="en-US" w:eastAsia="zh-CN" w:bidi="ar-SA"/>
        </w:rPr>
        <w:t>5759.38</w:t>
      </w:r>
      <w:r>
        <w:rPr>
          <w:rFonts w:hint="eastAsia" w:ascii="仿宋" w:hAnsi="仿宋" w:eastAsia="仿宋" w:cs="仿宋"/>
          <w:sz w:val="30"/>
          <w:szCs w:val="30"/>
          <w:highlight w:val="none"/>
        </w:rPr>
        <w:t>万元，结案率达98.</w:t>
      </w:r>
      <w:r>
        <w:rPr>
          <w:rFonts w:hint="eastAsia" w:ascii="仿宋" w:hAnsi="仿宋" w:eastAsia="仿宋" w:cs="仿宋"/>
          <w:sz w:val="30"/>
          <w:szCs w:val="30"/>
          <w:highlight w:val="none"/>
          <w:lang w:val="en-US" w:eastAsia="zh-CN"/>
        </w:rPr>
        <w:t>3</w:t>
      </w:r>
      <w:r>
        <w:rPr>
          <w:rFonts w:hint="eastAsia" w:ascii="仿宋" w:hAnsi="仿宋" w:eastAsia="仿宋" w:cs="仿宋"/>
          <w:sz w:val="30"/>
          <w:szCs w:val="30"/>
          <w:highlight w:val="none"/>
        </w:rPr>
        <w:t>%，调解成功率达</w:t>
      </w:r>
      <w:r>
        <w:rPr>
          <w:rFonts w:hint="eastAsia" w:ascii="仿宋" w:hAnsi="仿宋" w:eastAsia="仿宋" w:cs="仿宋"/>
          <w:sz w:val="30"/>
          <w:szCs w:val="30"/>
          <w:highlight w:val="none"/>
          <w:lang w:val="en-US" w:eastAsia="zh-CN"/>
        </w:rPr>
        <w:t>80.2</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w:t>
      </w:r>
      <w:r>
        <w:rPr>
          <w:rFonts w:hint="eastAsia" w:ascii="仿宋" w:hAnsi="仿宋" w:eastAsia="仿宋" w:cs="仿宋"/>
          <w:color w:val="auto"/>
          <w:sz w:val="30"/>
          <w:szCs w:val="30"/>
          <w:highlight w:val="none"/>
          <w:lang w:eastAsia="zh-CN"/>
        </w:rPr>
        <w:t>全市各级“工会</w:t>
      </w:r>
      <w:r>
        <w:rPr>
          <w:rFonts w:hint="eastAsia" w:ascii="仿宋" w:hAnsi="仿宋" w:eastAsia="仿宋" w:cs="仿宋"/>
          <w:color w:val="auto"/>
          <w:sz w:val="30"/>
          <w:szCs w:val="30"/>
          <w:highlight w:val="none"/>
          <w:lang w:val="en-US" w:eastAsia="zh-CN"/>
        </w:rPr>
        <w:t>+人社</w:t>
      </w:r>
      <w:r>
        <w:rPr>
          <w:rFonts w:hint="eastAsia" w:ascii="仿宋" w:hAnsi="仿宋" w:eastAsia="仿宋" w:cs="仿宋"/>
          <w:color w:val="auto"/>
          <w:sz w:val="30"/>
          <w:szCs w:val="30"/>
          <w:highlight w:val="none"/>
          <w:lang w:eastAsia="zh-CN"/>
        </w:rPr>
        <w:t>”劳动争议调解工作室累计化解劳动纠纷</w:t>
      </w:r>
      <w:r>
        <w:rPr>
          <w:rFonts w:hint="eastAsia" w:ascii="仿宋" w:hAnsi="仿宋" w:eastAsia="仿宋" w:cs="仿宋"/>
          <w:color w:val="auto"/>
          <w:sz w:val="30"/>
          <w:szCs w:val="30"/>
          <w:highlight w:val="none"/>
          <w:lang w:val="en-US" w:eastAsia="zh-CN"/>
        </w:rPr>
        <w:t>72起。</w:t>
      </w:r>
      <w:r>
        <w:rPr>
          <w:rFonts w:hint="eastAsia" w:ascii="仿宋" w:hAnsi="仿宋" w:eastAsia="仿宋" w:cs="仿宋"/>
          <w:color w:val="auto"/>
          <w:kern w:val="0"/>
          <w:sz w:val="30"/>
          <w:szCs w:val="30"/>
          <w:shd w:val="clear" w:color="auto" w:fill="FFFFFF"/>
        </w:rPr>
        <w:t>12333热线服务电话接听率达100%。</w:t>
      </w:r>
    </w:p>
    <w:p w14:paraId="41A859EA">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b w:val="0"/>
          <w:bCs w:val="0"/>
          <w:color w:val="auto"/>
          <w:sz w:val="30"/>
          <w:szCs w:val="30"/>
          <w:lang w:val="en-US" w:eastAsia="zh-CN"/>
        </w:rPr>
      </w:pPr>
      <w:r>
        <w:rPr>
          <w:rFonts w:hint="eastAsia" w:ascii="仿宋" w:hAnsi="仿宋" w:eastAsia="仿宋" w:cs="仿宋"/>
          <w:b w:val="0"/>
          <w:bCs w:val="0"/>
          <w:color w:val="auto"/>
          <w:sz w:val="30"/>
          <w:szCs w:val="30"/>
          <w:lang w:val="en-US" w:eastAsia="zh-CN"/>
        </w:rPr>
        <w:t>2、开展政府国企投资项目拖欠农民工工资问题专项整治行动。</w:t>
      </w:r>
      <w:r>
        <w:rPr>
          <w:rFonts w:hint="eastAsia" w:ascii="仿宋" w:hAnsi="仿宋" w:eastAsia="仿宋" w:cs="仿宋"/>
          <w:b w:val="0"/>
          <w:bCs w:val="0"/>
          <w:sz w:val="30"/>
          <w:szCs w:val="30"/>
          <w:lang w:val="en-US" w:eastAsia="zh-CN"/>
        </w:rPr>
        <w:t>聚焦住房城乡建设、交通运输、水利等各级政府投资、国企项目，</w:t>
      </w:r>
      <w:r>
        <w:rPr>
          <w:rFonts w:hint="eastAsia" w:ascii="仿宋" w:hAnsi="仿宋" w:eastAsia="仿宋" w:cs="仿宋"/>
          <w:sz w:val="30"/>
          <w:szCs w:val="30"/>
        </w:rPr>
        <w:t>对社会面各类欠薪风险进行拉网式、地毯式、起底式排查</w:t>
      </w:r>
      <w:r>
        <w:rPr>
          <w:rFonts w:hint="eastAsia" w:ascii="仿宋" w:hAnsi="仿宋" w:eastAsia="仿宋" w:cs="仿宋"/>
          <w:sz w:val="30"/>
          <w:szCs w:val="30"/>
          <w:lang w:eastAsia="zh-CN"/>
        </w:rPr>
        <w:t>，</w:t>
      </w:r>
      <w:r>
        <w:rPr>
          <w:rFonts w:hint="eastAsia" w:ascii="仿宋" w:hAnsi="仿宋" w:eastAsia="仿宋" w:cs="仿宋"/>
          <w:sz w:val="30"/>
          <w:szCs w:val="30"/>
        </w:rPr>
        <w:t>对排查出的各类风险，形成清单台账，实行销号制管理</w:t>
      </w:r>
      <w:r>
        <w:rPr>
          <w:rFonts w:hint="eastAsia" w:ascii="仿宋" w:hAnsi="仿宋" w:eastAsia="仿宋" w:cs="仿宋"/>
          <w:color w:val="auto"/>
          <w:kern w:val="2"/>
          <w:sz w:val="30"/>
          <w:szCs w:val="30"/>
          <w:lang w:val="en-US" w:eastAsia="zh-CN" w:bidi="ar-SA"/>
        </w:rPr>
        <w:t>。今年以来，</w:t>
      </w:r>
      <w:r>
        <w:rPr>
          <w:rFonts w:hint="eastAsia" w:ascii="仿宋" w:hAnsi="仿宋" w:eastAsia="仿宋" w:cs="仿宋"/>
          <w:sz w:val="30"/>
          <w:szCs w:val="30"/>
          <w:highlight w:val="none"/>
          <w:lang w:val="en-US" w:eastAsia="zh-CN"/>
        </w:rPr>
        <w:t>全市政府、国有企业投资项目欠薪风险线索共计173起，涉及农民工5076人，金额6587.87万元，</w:t>
      </w:r>
      <w:r>
        <w:rPr>
          <w:rFonts w:hint="eastAsia" w:ascii="仿宋" w:hAnsi="仿宋" w:eastAsia="仿宋" w:cs="仿宋"/>
          <w:color w:val="auto"/>
          <w:kern w:val="2"/>
          <w:sz w:val="30"/>
          <w:szCs w:val="30"/>
          <w:highlight w:val="none"/>
          <w:lang w:val="en-US" w:eastAsia="zh-CN" w:bidi="ar-SA"/>
        </w:rPr>
        <w:t>移送纪检监察部门立案共7起。</w:t>
      </w:r>
    </w:p>
    <w:p w14:paraId="0484161C">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color w:val="auto"/>
          <w:sz w:val="30"/>
          <w:szCs w:val="30"/>
        </w:rPr>
      </w:pPr>
      <w:r>
        <w:rPr>
          <w:rFonts w:hint="eastAsia" w:ascii="仿宋" w:hAnsi="仿宋" w:eastAsia="仿宋" w:cs="仿宋"/>
          <w:b w:val="0"/>
          <w:bCs w:val="0"/>
          <w:color w:val="auto"/>
          <w:sz w:val="30"/>
          <w:szCs w:val="30"/>
          <w:lang w:val="en-US" w:eastAsia="zh-CN"/>
        </w:rPr>
        <w:t>3、</w:t>
      </w:r>
      <w:r>
        <w:rPr>
          <w:rFonts w:hint="eastAsia" w:ascii="仿宋" w:hAnsi="仿宋" w:eastAsia="仿宋" w:cs="仿宋"/>
          <w:b/>
          <w:bCs/>
          <w:sz w:val="30"/>
          <w:szCs w:val="30"/>
          <w:lang w:val="en-US" w:eastAsia="zh-CN"/>
        </w:rPr>
        <w:t>常态化开展欠薪线索处理工作。</w:t>
      </w:r>
      <w:r>
        <w:rPr>
          <w:rFonts w:hint="eastAsia" w:ascii="仿宋" w:hAnsi="仿宋" w:eastAsia="仿宋" w:cs="仿宋"/>
          <w:sz w:val="30"/>
          <w:szCs w:val="30"/>
          <w:lang w:val="en-US" w:eastAsia="zh-CN"/>
        </w:rPr>
        <w:t>今年以来，</w:t>
      </w:r>
      <w:r>
        <w:rPr>
          <w:rFonts w:hint="eastAsia" w:ascii="仿宋" w:hAnsi="仿宋" w:eastAsia="仿宋" w:cs="仿宋"/>
          <w:sz w:val="30"/>
          <w:szCs w:val="30"/>
          <w:highlight w:val="none"/>
          <w:lang w:val="en-US" w:eastAsia="zh-CN"/>
        </w:rPr>
        <w:t>联合住建、交通、水利、公安等部门开展集中接访6次，接待信访事项98件，现场为355名农民工协调追回工资225.7万元。均已解决。市本级妥善处置中央巡视组交办的欠薪件10件，国家、省信访平台交办的欠薪信访件26件，12345热线共接收转办工单欠薪投诉671件，已处理662件，办结率98.66%。全国欠薪平台投诉400件，“码”上办欠薪投诉37件。</w:t>
      </w:r>
    </w:p>
    <w:p w14:paraId="4D123EEC">
      <w:pPr>
        <w:widowControl/>
        <w:ind w:firstLine="600" w:firstLineChars="200"/>
        <w:jc w:val="left"/>
        <w:rPr>
          <w:rFonts w:ascii="仿宋" w:hAnsi="仿宋" w:eastAsia="仿宋" w:cs="Segoe UI"/>
          <w:color w:val="auto"/>
          <w:kern w:val="0"/>
          <w:sz w:val="30"/>
          <w:szCs w:val="30"/>
        </w:rPr>
      </w:pPr>
      <w:r>
        <w:rPr>
          <w:rFonts w:ascii="仿宋" w:hAnsi="仿宋" w:eastAsia="仿宋" w:cs="Segoe UI"/>
          <w:color w:val="auto"/>
          <w:kern w:val="0"/>
          <w:sz w:val="30"/>
          <w:szCs w:val="30"/>
        </w:rPr>
        <w:t>（二）运行成本分析</w:t>
      </w:r>
    </w:p>
    <w:p w14:paraId="43548AA7">
      <w:pPr>
        <w:widowControl/>
        <w:ind w:firstLine="708" w:firstLineChars="236"/>
        <w:jc w:val="left"/>
        <w:rPr>
          <w:rFonts w:hint="default" w:ascii="仿宋" w:hAnsi="仿宋" w:eastAsia="仿宋" w:cs="Segoe UI"/>
          <w:color w:val="auto"/>
          <w:kern w:val="0"/>
          <w:sz w:val="30"/>
          <w:szCs w:val="30"/>
          <w:lang w:val="en-US" w:eastAsia="zh-CN"/>
        </w:rPr>
      </w:pPr>
      <w:r>
        <w:rPr>
          <w:rFonts w:ascii="仿宋" w:hAnsi="仿宋" w:eastAsia="仿宋" w:cs="Segoe UI"/>
          <w:color w:val="auto"/>
          <w:kern w:val="0"/>
          <w:sz w:val="30"/>
          <w:szCs w:val="30"/>
        </w:rPr>
        <w:t>资金执行：整体支出执行率</w:t>
      </w:r>
      <w:r>
        <w:rPr>
          <w:rFonts w:hint="eastAsia" w:ascii="仿宋" w:hAnsi="仿宋" w:eastAsia="仿宋" w:cs="Segoe UI"/>
          <w:color w:val="auto"/>
          <w:kern w:val="0"/>
          <w:sz w:val="30"/>
          <w:szCs w:val="30"/>
          <w:lang w:val="en-US" w:eastAsia="zh-CN"/>
        </w:rPr>
        <w:t>106.25</w:t>
      </w:r>
      <w:r>
        <w:rPr>
          <w:rFonts w:ascii="仿宋" w:hAnsi="仿宋" w:eastAsia="仿宋" w:cs="Segoe UI"/>
          <w:color w:val="auto"/>
          <w:kern w:val="0"/>
          <w:sz w:val="30"/>
          <w:szCs w:val="30"/>
        </w:rPr>
        <w:t>%，基本支出</w:t>
      </w:r>
      <w:r>
        <w:rPr>
          <w:rFonts w:hint="eastAsia" w:ascii="仿宋" w:hAnsi="仿宋" w:eastAsia="仿宋" w:cs="Segoe UI"/>
          <w:color w:val="auto"/>
          <w:kern w:val="0"/>
          <w:sz w:val="30"/>
          <w:szCs w:val="30"/>
          <w:lang w:eastAsia="zh-CN"/>
        </w:rPr>
        <w:t>稍微超预算</w:t>
      </w:r>
      <w:r>
        <w:rPr>
          <w:rFonts w:ascii="仿宋" w:hAnsi="仿宋" w:eastAsia="仿宋" w:cs="Segoe UI"/>
          <w:color w:val="auto"/>
          <w:kern w:val="0"/>
          <w:sz w:val="30"/>
          <w:szCs w:val="30"/>
        </w:rPr>
        <w:t>，项目支出中</w:t>
      </w:r>
      <w:r>
        <w:rPr>
          <w:rFonts w:hint="eastAsia" w:ascii="仿宋" w:hAnsi="仿宋" w:eastAsia="仿宋" w:cs="Segoe UI"/>
          <w:color w:val="auto"/>
          <w:kern w:val="0"/>
          <w:sz w:val="30"/>
          <w:szCs w:val="30"/>
          <w:lang w:eastAsia="zh-CN"/>
        </w:rPr>
        <w:t>劳动人事争议仲裁</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劳动保障监察</w:t>
      </w:r>
      <w:r>
        <w:rPr>
          <w:rFonts w:ascii="仿宋" w:hAnsi="仿宋" w:eastAsia="仿宋" w:cs="Segoe UI"/>
          <w:color w:val="auto"/>
          <w:kern w:val="0"/>
          <w:sz w:val="30"/>
          <w:szCs w:val="30"/>
        </w:rPr>
        <w:t>等重点领域资金占比</w:t>
      </w:r>
      <w:r>
        <w:rPr>
          <w:rFonts w:hint="eastAsia" w:ascii="仿宋" w:hAnsi="仿宋" w:eastAsia="仿宋" w:cs="Segoe UI"/>
          <w:color w:val="auto"/>
          <w:kern w:val="0"/>
          <w:sz w:val="30"/>
          <w:szCs w:val="30"/>
          <w:lang w:val="en-US" w:eastAsia="zh-CN"/>
        </w:rPr>
        <w:t>74.37</w:t>
      </w:r>
      <w:r>
        <w:rPr>
          <w:rFonts w:ascii="仿宋" w:hAnsi="仿宋" w:eastAsia="仿宋" w:cs="Segoe UI"/>
          <w:color w:val="auto"/>
          <w:kern w:val="0"/>
          <w:sz w:val="30"/>
          <w:szCs w:val="30"/>
        </w:rPr>
        <w:t>%，行政运行成本较上年</w:t>
      </w:r>
      <w:r>
        <w:rPr>
          <w:rFonts w:hint="eastAsia" w:ascii="仿宋" w:hAnsi="仿宋" w:eastAsia="仿宋" w:cs="Segoe UI"/>
          <w:color w:val="auto"/>
          <w:kern w:val="0"/>
          <w:sz w:val="30"/>
          <w:szCs w:val="30"/>
          <w:lang w:eastAsia="zh-CN"/>
        </w:rPr>
        <w:t>上涨</w:t>
      </w:r>
      <w:r>
        <w:rPr>
          <w:rFonts w:hint="eastAsia" w:ascii="仿宋" w:hAnsi="仿宋" w:eastAsia="仿宋" w:cs="Segoe UI"/>
          <w:color w:val="auto"/>
          <w:kern w:val="0"/>
          <w:sz w:val="30"/>
          <w:szCs w:val="30"/>
          <w:lang w:val="en-US" w:eastAsia="zh-CN"/>
        </w:rPr>
        <w:t>97.42</w:t>
      </w:r>
      <w:r>
        <w:rPr>
          <w:rFonts w:ascii="仿宋" w:hAnsi="仿宋" w:eastAsia="仿宋" w:cs="Segoe UI"/>
          <w:color w:val="auto"/>
          <w:kern w:val="0"/>
          <w:sz w:val="30"/>
          <w:szCs w:val="30"/>
        </w:rPr>
        <w:t>%</w:t>
      </w:r>
      <w:r>
        <w:rPr>
          <w:rFonts w:hint="eastAsia" w:ascii="仿宋" w:hAnsi="仿宋" w:eastAsia="仿宋" w:cs="Segoe UI"/>
          <w:color w:val="auto"/>
          <w:kern w:val="0"/>
          <w:sz w:val="30"/>
          <w:szCs w:val="30"/>
          <w:lang w:eastAsia="zh-CN"/>
        </w:rPr>
        <w:t>，主要是</w:t>
      </w:r>
      <w:r>
        <w:rPr>
          <w:rFonts w:hint="eastAsia" w:ascii="仿宋" w:hAnsi="仿宋" w:eastAsia="仿宋" w:cs="Segoe UI"/>
          <w:color w:val="auto"/>
          <w:kern w:val="0"/>
          <w:sz w:val="30"/>
          <w:szCs w:val="30"/>
          <w:lang w:val="en-US" w:eastAsia="zh-CN"/>
        </w:rPr>
        <w:t>2025年新增了7名工作人员的工资福利待遇及公用经费支出及2024年6月份与劳动监察支队合并后，2025年新增了一半的行政运行成本。</w:t>
      </w:r>
    </w:p>
    <w:p w14:paraId="3AB209BF">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（三）管理效率提升</w:t>
      </w:r>
    </w:p>
    <w:p w14:paraId="714F2CFB">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1.流程优化：启用“湖南省预算管理一体化系统”，资金审批周期从5天缩短至3天</w:t>
      </w:r>
      <w:r>
        <w:rPr>
          <w:rFonts w:hint="eastAsia" w:ascii="仿宋" w:hAnsi="仿宋" w:eastAsia="仿宋" w:cs="Segoe UI"/>
          <w:color w:val="auto"/>
          <w:kern w:val="0"/>
          <w:sz w:val="30"/>
          <w:szCs w:val="30"/>
          <w:lang w:eastAsia="zh-CN"/>
        </w:rPr>
        <w:t>，</w:t>
      </w:r>
      <w:r>
        <w:rPr>
          <w:rFonts w:ascii="仿宋" w:hAnsi="仿宋" w:eastAsia="仿宋" w:cs="Segoe UI"/>
          <w:color w:val="auto"/>
          <w:kern w:val="0"/>
          <w:sz w:val="30"/>
          <w:szCs w:val="30"/>
        </w:rPr>
        <w:t>效率提升50%。</w:t>
      </w:r>
    </w:p>
    <w:p w14:paraId="1DAB2426">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2.信息化管理：“码上办”平台覆盖133项业务，线上服务率85%，基层专干数字化操作能力从30%提升至70%。</w:t>
      </w:r>
    </w:p>
    <w:p w14:paraId="58898E88">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（四）履职效能与社会效应</w:t>
      </w:r>
    </w:p>
    <w:p w14:paraId="7378013D">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sz w:val="30"/>
          <w:szCs w:val="30"/>
          <w:lang w:val="en-US" w:eastAsia="zh-CN"/>
        </w:rPr>
      </w:pPr>
      <w:r>
        <w:rPr>
          <w:rFonts w:ascii="仿宋" w:hAnsi="仿宋" w:eastAsia="仿宋" w:cs="Segoe UI"/>
          <w:color w:val="auto"/>
          <w:kern w:val="0"/>
          <w:sz w:val="30"/>
          <w:szCs w:val="30"/>
        </w:rPr>
        <w:t>1.改革创新：</w:t>
      </w:r>
      <w:r>
        <w:rPr>
          <w:rFonts w:hint="eastAsia" w:ascii="仿宋" w:hAnsi="仿宋" w:eastAsia="仿宋" w:cs="仿宋"/>
          <w:sz w:val="30"/>
          <w:szCs w:val="30"/>
          <w:lang w:val="en-US" w:eastAsia="zh-CN"/>
        </w:rPr>
        <w:t>今年3月，怀化代表湖南省政府迎接国务院关于2024年根治拖欠农民工工资工作检查，国务院考核工作组对我市根治拖欠农民工工资工作给予了高度评价。</w:t>
      </w:r>
    </w:p>
    <w:p w14:paraId="6B81959C">
      <w:pPr>
        <w:widowControl/>
        <w:ind w:firstLine="708" w:firstLineChars="236"/>
        <w:jc w:val="left"/>
        <w:rPr>
          <w:rFonts w:hint="eastAsia" w:ascii="仿宋" w:hAnsi="仿宋" w:eastAsia="仿宋" w:cs="仿宋"/>
          <w:b w:val="0"/>
          <w:bCs w:val="0"/>
          <w:color w:val="auto"/>
          <w:sz w:val="30"/>
          <w:szCs w:val="30"/>
          <w:lang w:eastAsia="zh-CN"/>
        </w:rPr>
      </w:pPr>
      <w:r>
        <w:rPr>
          <w:rFonts w:ascii="仿宋" w:hAnsi="仿宋" w:eastAsia="仿宋" w:cs="Segoe UI"/>
          <w:color w:val="auto"/>
          <w:kern w:val="0"/>
          <w:sz w:val="30"/>
          <w:szCs w:val="30"/>
        </w:rPr>
        <w:t>2.民生保障：</w:t>
      </w:r>
      <w:r>
        <w:rPr>
          <w:rFonts w:hint="eastAsia" w:ascii="仿宋" w:hAnsi="仿宋" w:eastAsia="仿宋" w:cs="仿宋"/>
          <w:b w:val="0"/>
          <w:bCs w:val="0"/>
          <w:color w:val="auto"/>
          <w:sz w:val="30"/>
          <w:szCs w:val="30"/>
        </w:rPr>
        <w:t>开展怀化市企业、园区、工地“无欠薪”工作</w:t>
      </w:r>
      <w:r>
        <w:rPr>
          <w:rFonts w:hint="eastAsia" w:ascii="仿宋" w:hAnsi="仿宋" w:eastAsia="仿宋" w:cs="仿宋"/>
          <w:b w:val="0"/>
          <w:bCs w:val="0"/>
          <w:color w:val="auto"/>
          <w:sz w:val="30"/>
          <w:szCs w:val="30"/>
          <w:lang w:eastAsia="zh-CN"/>
        </w:rPr>
        <w:t>，</w:t>
      </w:r>
      <w:r>
        <w:rPr>
          <w:rFonts w:hint="eastAsia" w:ascii="仿宋" w:hAnsi="仿宋" w:eastAsia="仿宋" w:cs="仿宋"/>
          <w:color w:val="auto"/>
          <w:sz w:val="30"/>
          <w:szCs w:val="30"/>
        </w:rPr>
        <w:t>加强企业用工监管，以日常巡查、专项检查、专项督查为手段，摸清辖区内企业用工情况，切实提高企业规范用工意识，积极维护劳动者合法权益。</w:t>
      </w:r>
    </w:p>
    <w:p w14:paraId="0D10EAF3">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（五）可持续影响</w:t>
      </w:r>
    </w:p>
    <w:p w14:paraId="38794AEC">
      <w:pPr>
        <w:widowControl/>
        <w:ind w:firstLine="708" w:firstLineChars="236"/>
        <w:jc w:val="left"/>
        <w:rPr>
          <w:rFonts w:hint="eastAsia" w:ascii="仿宋" w:hAnsi="仿宋" w:eastAsia="仿宋" w:cs="仿宋"/>
          <w:color w:val="auto"/>
          <w:kern w:val="0"/>
          <w:sz w:val="30"/>
          <w:szCs w:val="30"/>
          <w:lang w:eastAsia="zh-CN"/>
        </w:rPr>
      </w:pPr>
      <w:r>
        <w:rPr>
          <w:rFonts w:ascii="仿宋" w:hAnsi="仿宋" w:eastAsia="仿宋" w:cs="Segoe UI"/>
          <w:color w:val="auto"/>
          <w:kern w:val="0"/>
          <w:sz w:val="30"/>
          <w:szCs w:val="30"/>
        </w:rPr>
        <w:t>1.制度长效化：</w:t>
      </w:r>
      <w:r>
        <w:rPr>
          <w:rFonts w:hint="eastAsia" w:ascii="仿宋" w:hAnsi="仿宋" w:eastAsia="仿宋" w:cs="仿宋"/>
          <w:sz w:val="30"/>
          <w:szCs w:val="30"/>
          <w:lang w:val="en-US" w:eastAsia="zh-CN"/>
        </w:rPr>
        <w:t>坚持两欠联动、两欠并重，联合市工信局下发了《关于联合开展清理拖欠企业账款和治理欠薪专项排查的通知》，</w:t>
      </w:r>
      <w:r>
        <w:rPr>
          <w:rFonts w:hint="eastAsia" w:ascii="仿宋" w:hAnsi="仿宋" w:eastAsia="仿宋" w:cs="仿宋"/>
          <w:sz w:val="30"/>
          <w:szCs w:val="30"/>
          <w:lang w:eastAsia="zh-CN"/>
        </w:rPr>
        <w:t>先后开展</w:t>
      </w:r>
      <w:r>
        <w:rPr>
          <w:rFonts w:hint="eastAsia" w:ascii="仿宋" w:hAnsi="仿宋" w:eastAsia="仿宋" w:cs="仿宋"/>
          <w:color w:val="auto"/>
          <w:sz w:val="30"/>
          <w:szCs w:val="30"/>
          <w:lang w:eastAsia="zh-CN"/>
        </w:rPr>
        <w:t>四轮</w:t>
      </w:r>
      <w:r>
        <w:rPr>
          <w:rFonts w:hint="eastAsia" w:ascii="仿宋" w:hAnsi="仿宋" w:eastAsia="仿宋" w:cs="仿宋"/>
          <w:sz w:val="30"/>
          <w:szCs w:val="30"/>
          <w:lang w:eastAsia="zh-CN"/>
        </w:rPr>
        <w:t>欠薪风险隐患大排查，</w:t>
      </w:r>
      <w:r>
        <w:rPr>
          <w:rFonts w:hint="eastAsia" w:ascii="仿宋" w:hAnsi="仿宋" w:eastAsia="仿宋" w:cs="仿宋"/>
          <w:sz w:val="30"/>
          <w:szCs w:val="30"/>
          <w:lang w:val="en-US" w:eastAsia="zh-CN"/>
        </w:rPr>
        <w:t>对拖欠企业账款台账开展“过筛式”核查，切实抓好“一制五清三落实”，全力保障农民工工资支付。</w:t>
      </w:r>
    </w:p>
    <w:p w14:paraId="1C3B90CE">
      <w:pPr>
        <w:spacing w:line="560" w:lineRule="exact"/>
        <w:ind w:firstLine="600" w:firstLineChars="200"/>
        <w:rPr>
          <w:rFonts w:hint="eastAsia" w:ascii="仿宋_GB2312" w:hAnsi="仿宋_GB2312" w:eastAsia="仿宋_GB2312" w:cs="仿宋_GB2312"/>
          <w:color w:val="auto"/>
          <w:sz w:val="32"/>
          <w:szCs w:val="32"/>
        </w:rPr>
      </w:pPr>
      <w:r>
        <w:rPr>
          <w:rFonts w:ascii="仿宋" w:hAnsi="仿宋" w:eastAsia="仿宋" w:cs="Segoe UI"/>
          <w:color w:val="auto"/>
          <w:kern w:val="0"/>
          <w:sz w:val="30"/>
          <w:szCs w:val="30"/>
        </w:rPr>
        <w:t>2.</w:t>
      </w:r>
      <w:r>
        <w:rPr>
          <w:rFonts w:hint="eastAsia" w:ascii="仿宋" w:hAnsi="仿宋" w:eastAsia="仿宋" w:cs="仿宋"/>
          <w:color w:val="auto"/>
          <w:sz w:val="30"/>
          <w:szCs w:val="30"/>
        </w:rPr>
        <w:t>深化调解仲裁与诉讼衔接</w:t>
      </w:r>
      <w:r>
        <w:rPr>
          <w:rFonts w:hint="eastAsia" w:ascii="仿宋_GB2312" w:hAnsi="仿宋_GB2312" w:eastAsia="仿宋_GB2312" w:cs="仿宋_GB2312"/>
          <w:color w:val="auto"/>
          <w:sz w:val="32"/>
          <w:szCs w:val="32"/>
          <w:lang w:eastAsia="zh-CN"/>
        </w:rPr>
        <w:t>：</w:t>
      </w:r>
      <w:r>
        <w:rPr>
          <w:rFonts w:hint="eastAsia" w:ascii="仿宋" w:hAnsi="仿宋" w:eastAsia="仿宋" w:cs="仿宋"/>
          <w:color w:val="auto"/>
          <w:sz w:val="30"/>
          <w:szCs w:val="30"/>
        </w:rPr>
        <w:t>持续推进“总对总”诉调对接工作，开展裁审信息比对工作，统一法律适用口径，提升裁审结果一致率。加强与法院、司法行政、工会、企业代表组织等部门沟通协调，建立健全重大集体争议案件应急联合调处机制。</w:t>
      </w:r>
    </w:p>
    <w:p w14:paraId="2F9747C8">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（六）服务对象满意度</w:t>
      </w:r>
    </w:p>
    <w:p w14:paraId="151C80C4">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1.群众满意度：</w:t>
      </w:r>
      <w:r>
        <w:rPr>
          <w:rFonts w:hint="eastAsia" w:ascii="仿宋" w:hAnsi="仿宋" w:eastAsia="仿宋" w:cs="Segoe UI"/>
          <w:color w:val="auto"/>
          <w:kern w:val="0"/>
          <w:sz w:val="30"/>
          <w:szCs w:val="30"/>
          <w:lang w:eastAsia="zh-CN"/>
        </w:rPr>
        <w:t>农民工</w:t>
      </w:r>
      <w:r>
        <w:rPr>
          <w:rFonts w:ascii="仿宋" w:hAnsi="仿宋" w:eastAsia="仿宋" w:cs="Segoe UI"/>
          <w:color w:val="auto"/>
          <w:kern w:val="0"/>
          <w:sz w:val="30"/>
          <w:szCs w:val="30"/>
        </w:rPr>
        <w:t>群</w:t>
      </w:r>
      <w:r>
        <w:rPr>
          <w:rFonts w:hint="eastAsia" w:ascii="仿宋" w:hAnsi="仿宋" w:eastAsia="仿宋" w:cs="Segoe UI"/>
          <w:color w:val="auto"/>
          <w:kern w:val="0"/>
          <w:sz w:val="30"/>
          <w:szCs w:val="30"/>
          <w:lang w:eastAsia="zh-CN"/>
        </w:rPr>
        <w:t>体</w:t>
      </w:r>
      <w:r>
        <w:rPr>
          <w:rFonts w:ascii="仿宋" w:hAnsi="仿宋" w:eastAsia="仿宋" w:cs="Segoe UI"/>
          <w:color w:val="auto"/>
          <w:kern w:val="0"/>
          <w:sz w:val="30"/>
          <w:szCs w:val="30"/>
        </w:rPr>
        <w:t>对</w:t>
      </w:r>
      <w:r>
        <w:rPr>
          <w:rFonts w:hint="eastAsia" w:ascii="仿宋" w:hAnsi="仿宋" w:eastAsia="仿宋" w:cs="Segoe UI"/>
          <w:color w:val="auto"/>
          <w:kern w:val="0"/>
          <w:sz w:val="30"/>
          <w:szCs w:val="30"/>
          <w:lang w:eastAsia="zh-CN"/>
        </w:rPr>
        <w:t>劳动保障监察执法</w:t>
      </w:r>
      <w:r>
        <w:rPr>
          <w:rFonts w:ascii="仿宋" w:hAnsi="仿宋" w:eastAsia="仿宋" w:cs="Segoe UI"/>
          <w:color w:val="auto"/>
          <w:kern w:val="0"/>
          <w:sz w:val="30"/>
          <w:szCs w:val="30"/>
        </w:rPr>
        <w:t>服务满意度9</w:t>
      </w:r>
      <w:r>
        <w:rPr>
          <w:rFonts w:hint="eastAsia" w:ascii="仿宋" w:hAnsi="仿宋" w:eastAsia="仿宋" w:cs="Segoe UI"/>
          <w:color w:val="auto"/>
          <w:kern w:val="0"/>
          <w:sz w:val="30"/>
          <w:szCs w:val="30"/>
          <w:lang w:val="en-US" w:eastAsia="zh-CN"/>
        </w:rPr>
        <w:t>0</w:t>
      </w:r>
      <w:r>
        <w:rPr>
          <w:rFonts w:ascii="仿宋" w:hAnsi="仿宋" w:eastAsia="仿宋" w:cs="Segoe UI"/>
          <w:color w:val="auto"/>
          <w:kern w:val="0"/>
          <w:sz w:val="30"/>
          <w:szCs w:val="30"/>
        </w:rPr>
        <w:t>%。</w:t>
      </w:r>
    </w:p>
    <w:p w14:paraId="188B8DC0">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2.企业满意度：用人单位对</w:t>
      </w:r>
      <w:r>
        <w:rPr>
          <w:rFonts w:hint="eastAsia" w:ascii="仿宋" w:hAnsi="仿宋" w:eastAsia="仿宋" w:cs="Segoe UI"/>
          <w:color w:val="auto"/>
          <w:kern w:val="0"/>
          <w:sz w:val="30"/>
          <w:szCs w:val="30"/>
          <w:lang w:eastAsia="zh-CN"/>
        </w:rPr>
        <w:t>劳动仲裁调解</w:t>
      </w:r>
      <w:r>
        <w:rPr>
          <w:rFonts w:ascii="仿宋" w:hAnsi="仿宋" w:eastAsia="仿宋" w:cs="Segoe UI"/>
          <w:color w:val="auto"/>
          <w:kern w:val="0"/>
          <w:sz w:val="30"/>
          <w:szCs w:val="30"/>
        </w:rPr>
        <w:t>满意度</w:t>
      </w:r>
      <w:r>
        <w:rPr>
          <w:rFonts w:hint="eastAsia" w:ascii="仿宋" w:hAnsi="仿宋" w:eastAsia="仿宋" w:cs="Segoe UI"/>
          <w:color w:val="auto"/>
          <w:kern w:val="0"/>
          <w:sz w:val="30"/>
          <w:szCs w:val="30"/>
          <w:lang w:val="en-US" w:eastAsia="zh-CN"/>
        </w:rPr>
        <w:t>98</w:t>
      </w:r>
      <w:r>
        <w:rPr>
          <w:rFonts w:ascii="仿宋" w:hAnsi="仿宋" w:eastAsia="仿宋" w:cs="Segoe UI"/>
          <w:color w:val="auto"/>
          <w:kern w:val="0"/>
          <w:sz w:val="30"/>
          <w:szCs w:val="30"/>
        </w:rPr>
        <w:t>%。</w:t>
      </w:r>
    </w:p>
    <w:p w14:paraId="65FB3F9E">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九、存在的问题及原因分析</w:t>
      </w:r>
    </w:p>
    <w:p w14:paraId="30D05BF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sz w:val="30"/>
          <w:szCs w:val="30"/>
          <w:lang w:val="en-US" w:eastAsia="zh-CN"/>
        </w:rPr>
      </w:pPr>
      <w:r>
        <w:rPr>
          <w:rFonts w:ascii="仿宋" w:hAnsi="仿宋" w:eastAsia="仿宋" w:cs="Segoe UI"/>
          <w:color w:val="auto"/>
          <w:kern w:val="0"/>
          <w:sz w:val="30"/>
          <w:szCs w:val="30"/>
        </w:rPr>
        <w:t>1.</w:t>
      </w:r>
      <w:r>
        <w:rPr>
          <w:rFonts w:hint="eastAsia" w:ascii="仿宋" w:hAnsi="仿宋" w:eastAsia="仿宋" w:cs="仿宋"/>
          <w:b/>
          <w:bCs/>
          <w:sz w:val="30"/>
          <w:szCs w:val="30"/>
          <w:lang w:val="en-US" w:eastAsia="zh-CN"/>
        </w:rPr>
        <w:t>治欠力量不足。</w:t>
      </w:r>
      <w:r>
        <w:rPr>
          <w:rFonts w:hint="eastAsia" w:ascii="仿宋" w:hAnsi="仿宋" w:eastAsia="仿宋" w:cs="仿宋"/>
          <w:sz w:val="30"/>
          <w:szCs w:val="30"/>
          <w:lang w:val="en-US" w:eastAsia="zh-CN"/>
        </w:rPr>
        <w:t>目前怀化人社系统担监察职能的编制数仅有39个，力量严重不足。特别是随着2024年机构改革后，按照行政执法体制改革要求，市县两级劳动保障监察机构撤销，部分地方的监察机构合并至劳动人事争议仲裁院，但还有相当一部分地区的劳动保障监察相关职责由人社局属其他参管单位承担，现市级仲裁工作对上同时接受省仲裁处和劳动保障监察局管理，对下收集相关信息数据都需要跨部门合作，劳动保障监察工作陷入由多部门指挥的尴尬境地。同时，县级劳动监察部门在取消了独立的机构后，大多成为人社局内部的一个股室，基层劳动监察执法力量削弱。</w:t>
      </w:r>
    </w:p>
    <w:p w14:paraId="4EA8E6E3">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sz w:val="30"/>
          <w:szCs w:val="30"/>
          <w:highlight w:val="none"/>
          <w:lang w:val="en-US" w:eastAsia="zh-CN"/>
        </w:rPr>
      </w:pPr>
      <w:r>
        <w:rPr>
          <w:rFonts w:hint="eastAsia" w:ascii="仿宋" w:hAnsi="仿宋" w:eastAsia="仿宋" w:cs="Segoe UI"/>
          <w:color w:val="auto"/>
          <w:kern w:val="0"/>
          <w:sz w:val="30"/>
          <w:szCs w:val="30"/>
        </w:rPr>
        <w:t>2</w:t>
      </w:r>
      <w:r>
        <w:rPr>
          <w:rFonts w:ascii="仿宋" w:hAnsi="仿宋" w:eastAsia="仿宋" w:cs="Segoe UI"/>
          <w:color w:val="auto"/>
          <w:kern w:val="0"/>
          <w:sz w:val="30"/>
          <w:szCs w:val="30"/>
        </w:rPr>
        <w:t>.</w:t>
      </w:r>
      <w:r>
        <w:rPr>
          <w:rFonts w:hint="eastAsia" w:ascii="仿宋" w:hAnsi="仿宋" w:eastAsia="仿宋" w:cs="仿宋"/>
          <w:b/>
          <w:bCs w:val="0"/>
          <w:snapToGrid w:val="0"/>
          <w:sz w:val="30"/>
          <w:szCs w:val="30"/>
          <w:lang w:val="en-US" w:eastAsia="zh-CN"/>
        </w:rPr>
        <w:t>用工乱象导致维权难。</w:t>
      </w:r>
      <w:r>
        <w:rPr>
          <w:rFonts w:hint="eastAsia" w:ascii="仿宋" w:hAnsi="仿宋" w:eastAsia="仿宋" w:cs="仿宋"/>
          <w:b w:val="0"/>
          <w:bCs/>
          <w:strike w:val="0"/>
          <w:dstrike w:val="0"/>
          <w:snapToGrid w:val="0"/>
          <w:sz w:val="30"/>
          <w:szCs w:val="30"/>
          <w:highlight w:val="none"/>
          <w:lang w:val="en-US" w:eastAsia="zh-CN"/>
        </w:rPr>
        <w:t>新就业形态下，用人单位无故辞退劳动者、用人单位不与劳动者签订劳动合同或签订了劳动合同但不给劳动者的现象常有存在，为劳动者维权带来困难。受经济环境影响，许多用人单位在支付经济补偿、劳动报酬、工伤待遇等方面有所欠缺。</w:t>
      </w:r>
      <w:r>
        <w:rPr>
          <w:rFonts w:hint="eastAsia" w:ascii="仿宋" w:hAnsi="仿宋" w:eastAsia="仿宋" w:cs="仿宋"/>
          <w:kern w:val="2"/>
          <w:sz w:val="30"/>
          <w:szCs w:val="30"/>
          <w:highlight w:val="none"/>
          <w:lang w:val="en-US" w:eastAsia="zh-CN" w:bidi="ar-SA"/>
        </w:rPr>
        <w:t>全年以来所处理的1080件案件中，私营企业占了990件，占立案总数的91.7%以上，凸显私营企业不够规范，在管理方面尚存在较大问题。</w:t>
      </w:r>
    </w:p>
    <w:p w14:paraId="6F87C014">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十、下一步改进措施</w:t>
      </w:r>
    </w:p>
    <w:p w14:paraId="686A5894">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color w:val="auto"/>
          <w:kern w:val="0"/>
          <w:sz w:val="30"/>
          <w:szCs w:val="30"/>
        </w:rPr>
        <w:t>1.</w:t>
      </w:r>
      <w:r>
        <w:rPr>
          <w:rFonts w:hint="eastAsia" w:ascii="仿宋" w:hAnsi="仿宋" w:eastAsia="仿宋" w:cs="仿宋"/>
          <w:b/>
          <w:bCs/>
          <w:sz w:val="30"/>
          <w:szCs w:val="30"/>
          <w:lang w:val="en-US" w:eastAsia="zh-CN"/>
        </w:rPr>
        <w:t>持续开展政府国企投资项目专项整治及“两欠”工作。</w:t>
      </w:r>
      <w:r>
        <w:rPr>
          <w:rFonts w:hint="eastAsia" w:ascii="仿宋" w:hAnsi="仿宋" w:eastAsia="仿宋" w:cs="仿宋"/>
          <w:b w:val="0"/>
          <w:bCs w:val="0"/>
          <w:sz w:val="30"/>
          <w:szCs w:val="30"/>
          <w:lang w:val="en-US" w:eastAsia="zh-CN"/>
        </w:rPr>
        <w:t>以《十二条措施》为抓手，持续强化源头管控，加强对工程款、工资支付全流程动态监管。</w:t>
      </w:r>
      <w:r>
        <w:rPr>
          <w:rFonts w:hint="eastAsia" w:ascii="仿宋" w:hAnsi="仿宋" w:eastAsia="仿宋" w:cs="仿宋"/>
          <w:sz w:val="30"/>
          <w:szCs w:val="30"/>
          <w:lang w:eastAsia="zh-CN" w:bidi="ar-SA"/>
        </w:rPr>
        <w:t>发挥好人社治理欠薪牵头单位职责，联动相关行业主管部门，严厉打击“三包一挂”违法行为</w:t>
      </w:r>
      <w:r>
        <w:rPr>
          <w:rFonts w:hint="eastAsia" w:ascii="仿宋" w:hAnsi="仿宋" w:eastAsia="仿宋" w:cs="仿宋"/>
          <w:b w:val="0"/>
          <w:bCs w:val="0"/>
          <w:sz w:val="30"/>
          <w:szCs w:val="30"/>
          <w:lang w:val="en-US" w:eastAsia="zh-CN"/>
        </w:rPr>
        <w:t>，推动政府国企投资项目工资支付规范化、长效化。</w:t>
      </w:r>
      <w:bookmarkStart w:id="0" w:name="OLE_LINK4"/>
      <w:r>
        <w:rPr>
          <w:rFonts w:hint="eastAsia" w:ascii="仿宋" w:hAnsi="仿宋" w:eastAsia="仿宋" w:cs="仿宋"/>
          <w:b w:val="0"/>
          <w:bCs w:val="0"/>
          <w:sz w:val="30"/>
          <w:szCs w:val="30"/>
          <w:lang w:val="en-US" w:eastAsia="zh-CN"/>
        </w:rPr>
        <w:t>健全常态化排查、会商督办、第三方评估等制度，巩固专项行动成果，从根本上防范“两欠”问题反弹。</w:t>
      </w:r>
    </w:p>
    <w:p w14:paraId="0F9FFCE4">
      <w:pPr>
        <w:keepNext w:val="0"/>
        <w:keepLines w:val="0"/>
        <w:pageBreakBefore w:val="0"/>
        <w:widowControl w:val="0"/>
        <w:kinsoku/>
        <w:wordWrap/>
        <w:overflowPunct/>
        <w:topLinePunct w:val="0"/>
        <w:autoSpaceDE/>
        <w:autoSpaceDN/>
        <w:bidi w:val="0"/>
        <w:adjustRightInd/>
        <w:spacing w:line="600" w:lineRule="exact"/>
        <w:ind w:firstLine="600" w:firstLineChars="200"/>
        <w:textAlignment w:val="auto"/>
        <w:rPr>
          <w:rFonts w:hint="eastAsia" w:ascii="仿宋" w:hAnsi="仿宋" w:eastAsia="仿宋" w:cs="仿宋"/>
          <w:color w:val="auto"/>
          <w:sz w:val="30"/>
          <w:szCs w:val="30"/>
        </w:rPr>
      </w:pPr>
      <w:r>
        <w:rPr>
          <w:rFonts w:hint="eastAsia" w:ascii="仿宋" w:hAnsi="仿宋" w:eastAsia="仿宋" w:cs="仿宋"/>
          <w:b/>
          <w:bCs/>
          <w:sz w:val="30"/>
          <w:szCs w:val="30"/>
          <w:lang w:val="en-US" w:eastAsia="zh-CN"/>
        </w:rPr>
        <w:t>2.</w:t>
      </w:r>
      <w:r>
        <w:rPr>
          <w:rFonts w:hint="eastAsia" w:ascii="仿宋" w:hAnsi="仿宋" w:eastAsia="仿宋" w:cs="仿宋"/>
          <w:b/>
          <w:bCs/>
          <w:color w:val="000000"/>
          <w:sz w:val="30"/>
          <w:szCs w:val="30"/>
          <w:lang w:val="en-US" w:eastAsia="zh-CN" w:bidi="ar-SA"/>
        </w:rPr>
        <w:t>强化部门联动。</w:t>
      </w:r>
      <w:r>
        <w:rPr>
          <w:rFonts w:hint="eastAsia" w:ascii="仿宋" w:hAnsi="仿宋" w:eastAsia="仿宋" w:cs="仿宋"/>
          <w:sz w:val="30"/>
          <w:szCs w:val="30"/>
          <w:lang w:eastAsia="zh-CN" w:bidi="ar-SA"/>
        </w:rPr>
        <w:t>发挥好人社治理欠薪牵头单位职责，联动相关行业主管部门，针对用工</w:t>
      </w:r>
      <w:r>
        <w:rPr>
          <w:rFonts w:hint="eastAsia" w:ascii="仿宋" w:hAnsi="仿宋" w:eastAsia="仿宋" w:cs="仿宋"/>
          <w:sz w:val="30"/>
          <w:szCs w:val="30"/>
          <w:lang w:bidi="ar-SA"/>
        </w:rPr>
        <w:t>管理混乱，“三包一</w:t>
      </w:r>
      <w:r>
        <w:rPr>
          <w:rFonts w:hint="eastAsia" w:ascii="仿宋" w:hAnsi="仿宋" w:eastAsia="仿宋" w:cs="仿宋"/>
          <w:sz w:val="30"/>
          <w:szCs w:val="30"/>
          <w:lang w:eastAsia="zh-CN" w:bidi="ar-SA"/>
        </w:rPr>
        <w:t>挂</w:t>
      </w:r>
      <w:r>
        <w:rPr>
          <w:rFonts w:hint="eastAsia" w:ascii="仿宋" w:hAnsi="仿宋" w:eastAsia="仿宋" w:cs="仿宋"/>
          <w:sz w:val="30"/>
          <w:szCs w:val="30"/>
          <w:lang w:bidi="ar-SA"/>
        </w:rPr>
        <w:t>”违法现象</w:t>
      </w:r>
      <w:r>
        <w:rPr>
          <w:rFonts w:hint="eastAsia" w:ascii="仿宋" w:hAnsi="仿宋" w:eastAsia="仿宋" w:cs="仿宋"/>
          <w:sz w:val="30"/>
          <w:szCs w:val="30"/>
          <w:lang w:eastAsia="zh-CN" w:bidi="ar-SA"/>
        </w:rPr>
        <w:t>开展专项整治，避免因</w:t>
      </w:r>
      <w:r>
        <w:rPr>
          <w:rFonts w:hint="eastAsia" w:ascii="仿宋" w:hAnsi="仿宋" w:eastAsia="仿宋" w:cs="仿宋"/>
          <w:sz w:val="30"/>
          <w:szCs w:val="30"/>
          <w:lang w:bidi="ar-SA"/>
        </w:rPr>
        <w:t>工程款被拖欠、工程量结算纠纷等问题，导致</w:t>
      </w:r>
      <w:r>
        <w:rPr>
          <w:rFonts w:hint="eastAsia" w:ascii="仿宋" w:hAnsi="仿宋" w:eastAsia="仿宋" w:cs="仿宋"/>
          <w:sz w:val="30"/>
          <w:szCs w:val="30"/>
          <w:lang w:eastAsia="zh-CN" w:bidi="ar-SA"/>
        </w:rPr>
        <w:t>拖欠</w:t>
      </w:r>
      <w:r>
        <w:rPr>
          <w:rFonts w:hint="eastAsia" w:ascii="仿宋" w:hAnsi="仿宋" w:eastAsia="仿宋" w:cs="仿宋"/>
          <w:sz w:val="30"/>
          <w:szCs w:val="30"/>
          <w:lang w:bidi="ar-SA"/>
        </w:rPr>
        <w:t>农民工工资。</w:t>
      </w:r>
      <w:r>
        <w:rPr>
          <w:rFonts w:hint="eastAsia" w:ascii="仿宋" w:hAnsi="仿宋" w:eastAsia="仿宋" w:cs="仿宋"/>
          <w:sz w:val="30"/>
          <w:szCs w:val="30"/>
        </w:rPr>
        <w:t>强化部门联动，形成合力，切实解决农民工工资被拖欠问题，维护我市和谐劳动关系，保障社会稳定。</w:t>
      </w:r>
      <w:bookmarkEnd w:id="0"/>
    </w:p>
    <w:p w14:paraId="0F1B0AED">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十一、绩效自评结果应用及公开情况</w:t>
      </w:r>
    </w:p>
    <w:p w14:paraId="0F0E6BBA">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1.结果应用：作为202</w:t>
      </w:r>
      <w:r>
        <w:rPr>
          <w:rFonts w:hint="eastAsia" w:ascii="仿宋" w:hAnsi="仿宋" w:eastAsia="仿宋" w:cs="Segoe UI"/>
          <w:color w:val="auto"/>
          <w:kern w:val="0"/>
          <w:sz w:val="30"/>
          <w:szCs w:val="30"/>
          <w:lang w:val="en-US" w:eastAsia="zh-CN"/>
        </w:rPr>
        <w:t>6</w:t>
      </w:r>
      <w:r>
        <w:rPr>
          <w:rFonts w:ascii="仿宋" w:hAnsi="仿宋" w:eastAsia="仿宋" w:cs="Segoe UI"/>
          <w:color w:val="auto"/>
          <w:kern w:val="0"/>
          <w:sz w:val="30"/>
          <w:szCs w:val="30"/>
        </w:rPr>
        <w:t>年预算编制依据，对绩效优良的</w:t>
      </w:r>
      <w:r>
        <w:rPr>
          <w:rFonts w:hint="eastAsia" w:ascii="仿宋" w:hAnsi="仿宋" w:eastAsia="仿宋" w:cs="Segoe UI"/>
          <w:color w:val="auto"/>
          <w:kern w:val="0"/>
          <w:sz w:val="30"/>
          <w:szCs w:val="30"/>
          <w:lang w:eastAsia="zh-CN"/>
        </w:rPr>
        <w:t>农民工工资维权、</w:t>
      </w:r>
      <w:r>
        <w:rPr>
          <w:rFonts w:hint="eastAsia" w:eastAsia="仿宋_GB2312"/>
          <w:color w:val="auto"/>
          <w:sz w:val="32"/>
          <w:szCs w:val="32"/>
          <w:lang w:val="en-US" w:eastAsia="zh-CN"/>
        </w:rPr>
        <w:t>劳动保障监察经费</w:t>
      </w:r>
      <w:r>
        <w:rPr>
          <w:rFonts w:ascii="仿宋" w:hAnsi="仿宋" w:eastAsia="仿宋" w:cs="Segoe UI"/>
          <w:color w:val="auto"/>
          <w:kern w:val="0"/>
          <w:sz w:val="30"/>
          <w:szCs w:val="30"/>
        </w:rPr>
        <w:t>增加预算20%；</w:t>
      </w:r>
    </w:p>
    <w:p w14:paraId="54D9CD74">
      <w:pPr>
        <w:widowControl/>
        <w:ind w:firstLine="708" w:firstLineChars="236"/>
        <w:jc w:val="left"/>
        <w:rPr>
          <w:rFonts w:ascii="仿宋" w:hAnsi="仿宋" w:eastAsia="仿宋" w:cs="Segoe UI"/>
          <w:color w:val="auto"/>
          <w:kern w:val="0"/>
          <w:sz w:val="30"/>
          <w:szCs w:val="30"/>
        </w:rPr>
      </w:pPr>
      <w:r>
        <w:rPr>
          <w:rFonts w:ascii="仿宋" w:hAnsi="仿宋" w:eastAsia="仿宋" w:cs="Segoe UI"/>
          <w:color w:val="auto"/>
          <w:kern w:val="0"/>
          <w:sz w:val="30"/>
          <w:szCs w:val="30"/>
        </w:rPr>
        <w:t>2.公开情况：自评报告经</w:t>
      </w:r>
      <w:r>
        <w:rPr>
          <w:rFonts w:hint="eastAsia" w:ascii="仿宋" w:hAnsi="仿宋" w:eastAsia="仿宋" w:cs="Segoe UI"/>
          <w:color w:val="auto"/>
          <w:kern w:val="0"/>
          <w:sz w:val="30"/>
          <w:szCs w:val="30"/>
          <w:lang w:eastAsia="zh-CN"/>
        </w:rPr>
        <w:t>院领导</w:t>
      </w:r>
      <w:r>
        <w:rPr>
          <w:rFonts w:ascii="仿宋" w:hAnsi="仿宋" w:eastAsia="仿宋" w:cs="Segoe UI"/>
          <w:color w:val="auto"/>
          <w:kern w:val="0"/>
          <w:sz w:val="30"/>
          <w:szCs w:val="30"/>
        </w:rPr>
        <w:t>审议后，于202</w:t>
      </w:r>
      <w:r>
        <w:rPr>
          <w:rFonts w:hint="eastAsia" w:ascii="仿宋" w:hAnsi="仿宋" w:eastAsia="仿宋" w:cs="Segoe UI"/>
          <w:color w:val="auto"/>
          <w:kern w:val="0"/>
          <w:sz w:val="30"/>
          <w:szCs w:val="30"/>
          <w:lang w:val="en-US" w:eastAsia="zh-CN"/>
        </w:rPr>
        <w:t>6</w:t>
      </w:r>
      <w:r>
        <w:rPr>
          <w:rFonts w:ascii="仿宋" w:hAnsi="仿宋" w:eastAsia="仿宋" w:cs="Segoe UI"/>
          <w:color w:val="auto"/>
          <w:kern w:val="0"/>
          <w:sz w:val="30"/>
          <w:szCs w:val="30"/>
        </w:rPr>
        <w:t>年</w:t>
      </w:r>
      <w:r>
        <w:rPr>
          <w:rFonts w:hint="eastAsia" w:ascii="仿宋" w:hAnsi="仿宋" w:eastAsia="仿宋" w:cs="Segoe UI"/>
          <w:color w:val="auto"/>
          <w:kern w:val="0"/>
          <w:sz w:val="30"/>
          <w:szCs w:val="30"/>
          <w:lang w:val="en-US" w:eastAsia="zh-CN"/>
        </w:rPr>
        <w:t>6</w:t>
      </w:r>
      <w:r>
        <w:rPr>
          <w:rFonts w:ascii="仿宋" w:hAnsi="仿宋" w:eastAsia="仿宋" w:cs="Segoe UI"/>
          <w:color w:val="auto"/>
          <w:kern w:val="0"/>
          <w:sz w:val="30"/>
          <w:szCs w:val="30"/>
        </w:rPr>
        <w:t>月3</w:t>
      </w:r>
      <w:r>
        <w:rPr>
          <w:rFonts w:hint="eastAsia" w:ascii="仿宋" w:hAnsi="仿宋" w:eastAsia="仿宋" w:cs="Segoe UI"/>
          <w:color w:val="auto"/>
          <w:kern w:val="0"/>
          <w:sz w:val="30"/>
          <w:szCs w:val="30"/>
          <w:lang w:val="en-US" w:eastAsia="zh-CN"/>
        </w:rPr>
        <w:t>0</w:t>
      </w:r>
      <w:r>
        <w:rPr>
          <w:rFonts w:ascii="仿宋" w:hAnsi="仿宋" w:eastAsia="仿宋" w:cs="Segoe UI"/>
          <w:color w:val="auto"/>
          <w:kern w:val="0"/>
          <w:sz w:val="30"/>
          <w:szCs w:val="30"/>
        </w:rPr>
        <w:t>日前在官网公示，公示期5个工作日，报送市财政局备案。</w:t>
      </w:r>
    </w:p>
    <w:p w14:paraId="3D1F92E7">
      <w:pPr>
        <w:widowControl/>
        <w:ind w:firstLine="708" w:firstLineChars="236"/>
        <w:jc w:val="left"/>
        <w:rPr>
          <w:rFonts w:ascii="仿宋" w:hAnsi="仿宋" w:eastAsia="仿宋" w:cs="Segoe UI"/>
          <w:b/>
          <w:bCs/>
          <w:color w:val="auto"/>
          <w:kern w:val="0"/>
          <w:sz w:val="30"/>
          <w:szCs w:val="30"/>
        </w:rPr>
      </w:pPr>
      <w:r>
        <w:rPr>
          <w:rFonts w:ascii="仿宋" w:hAnsi="仿宋" w:eastAsia="仿宋" w:cs="Segoe UI"/>
          <w:b/>
          <w:bCs/>
          <w:color w:val="auto"/>
          <w:kern w:val="0"/>
          <w:sz w:val="30"/>
          <w:szCs w:val="30"/>
        </w:rPr>
        <w:t>十二、其他需要说明的事项</w:t>
      </w:r>
    </w:p>
    <w:p w14:paraId="63632D2B">
      <w:pPr>
        <w:ind w:firstLine="708" w:firstLineChars="236"/>
        <w:rPr>
          <w:rFonts w:hint="eastAsia" w:ascii="仿宋" w:hAnsi="仿宋" w:eastAsia="仿宋"/>
          <w:color w:val="auto"/>
          <w:sz w:val="30"/>
          <w:szCs w:val="30"/>
          <w:lang w:eastAsia="zh-CN"/>
        </w:rPr>
      </w:pPr>
      <w:r>
        <w:rPr>
          <w:rFonts w:hint="eastAsia" w:ascii="仿宋" w:hAnsi="仿宋" w:eastAsia="仿宋" w:cs="Segoe UI"/>
          <w:color w:val="auto"/>
          <w:kern w:val="0"/>
          <w:sz w:val="30"/>
          <w:szCs w:val="30"/>
          <w:lang w:eastAsia="zh-CN"/>
        </w:rPr>
        <w:t>无。</w:t>
      </w:r>
    </w:p>
    <w:p w14:paraId="1E4DDE6B">
      <w:pPr>
        <w:pStyle w:val="14"/>
        <w:jc w:val="center"/>
        <w:rPr>
          <w:rFonts w:ascii="Times New Roman" w:hAnsi="Times New Roman" w:cs="Times New Roman"/>
          <w:sz w:val="72"/>
          <w:szCs w:val="72"/>
        </w:rPr>
      </w:pPr>
    </w:p>
    <w:p w14:paraId="6A1C57E4">
      <w:pPr>
        <w:pStyle w:val="14"/>
        <w:jc w:val="center"/>
        <w:rPr>
          <w:rFonts w:ascii="Times New Roman" w:hAnsi="Times New Roman" w:cs="Times New Roman"/>
          <w:sz w:val="72"/>
          <w:szCs w:val="72"/>
        </w:rPr>
      </w:pPr>
    </w:p>
    <w:p w14:paraId="4CA6F90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92F7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4E0D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E6B99">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228C">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E7AB1F">
                          <w:pPr>
                            <w:pStyle w:val="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8E7AB1F">
                    <w:pPr>
                      <w:pStyle w:val="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46FE00"/>
    <w:multiLevelType w:val="singleLevel"/>
    <w:tmpl w:val="E546FE00"/>
    <w:lvl w:ilvl="0" w:tentative="0">
      <w:start w:val="7"/>
      <w:numFmt w:val="chineseCounting"/>
      <w:suff w:val="nothing"/>
      <w:lvlText w:val="%1、"/>
      <w:lvlJc w:val="left"/>
      <w:rPr>
        <w:rFonts w:hint="eastAsia"/>
      </w:rPr>
    </w:lvl>
  </w:abstractNum>
  <w:abstractNum w:abstractNumId="1">
    <w:nsid w:val="11A0BEF1"/>
    <w:multiLevelType w:val="singleLevel"/>
    <w:tmpl w:val="11A0BEF1"/>
    <w:lvl w:ilvl="0" w:tentative="0">
      <w:start w:val="3"/>
      <w:numFmt w:val="decimal"/>
      <w:lvlText w:val="%1."/>
      <w:lvlJc w:val="left"/>
      <w:pPr>
        <w:tabs>
          <w:tab w:val="left" w:pos="312"/>
        </w:tabs>
      </w:pPr>
    </w:lvl>
  </w:abstractNum>
  <w:abstractNum w:abstractNumId="2">
    <w:nsid w:val="14081446"/>
    <w:multiLevelType w:val="singleLevel"/>
    <w:tmpl w:val="14081446"/>
    <w:lvl w:ilvl="0" w:tentative="0">
      <w:start w:val="4"/>
      <w:numFmt w:val="decimal"/>
      <w:suff w:val="nothing"/>
      <w:lvlText w:val="%1、"/>
      <w:lvlJc w:val="left"/>
    </w:lvl>
  </w:abstractNum>
  <w:abstractNum w:abstractNumId="3">
    <w:nsid w:val="3D8E9A95"/>
    <w:multiLevelType w:val="singleLevel"/>
    <w:tmpl w:val="3D8E9A95"/>
    <w:lvl w:ilvl="0" w:tentative="0">
      <w:start w:val="3"/>
      <w:numFmt w:val="chineseCounting"/>
      <w:suff w:val="nothing"/>
      <w:lvlText w:val="%1、"/>
      <w:lvlJc w:val="left"/>
      <w:rPr>
        <w:rFonts w:hint="eastAsia"/>
      </w:rPr>
    </w:lvl>
  </w:abstractNum>
  <w:abstractNum w:abstractNumId="4">
    <w:nsid w:val="7CC5F5AB"/>
    <w:multiLevelType w:val="singleLevel"/>
    <w:tmpl w:val="7CC5F5AB"/>
    <w:lvl w:ilvl="0" w:tentative="0">
      <w:start w:val="2"/>
      <w:numFmt w:val="chineseCounting"/>
      <w:suff w:val="space"/>
      <w:lvlText w:val="第%1部分"/>
      <w:lvlJc w:val="left"/>
      <w:rPr>
        <w:rFonts w:hint="eastAsia"/>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406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F05A45"/>
    <w:rsid w:val="05CF1B9B"/>
    <w:rsid w:val="05E22A33"/>
    <w:rsid w:val="13EB084A"/>
    <w:rsid w:val="1D97DEFF"/>
    <w:rsid w:val="1DFF72E5"/>
    <w:rsid w:val="1EFC6F07"/>
    <w:rsid w:val="24CD275C"/>
    <w:rsid w:val="2F584EEE"/>
    <w:rsid w:val="2FDF85B8"/>
    <w:rsid w:val="2FFFEE04"/>
    <w:rsid w:val="33944286"/>
    <w:rsid w:val="34DF85B0"/>
    <w:rsid w:val="38FE7A29"/>
    <w:rsid w:val="3B8F36BC"/>
    <w:rsid w:val="3BDC7462"/>
    <w:rsid w:val="41313092"/>
    <w:rsid w:val="44AE0556"/>
    <w:rsid w:val="45997458"/>
    <w:rsid w:val="491FF225"/>
    <w:rsid w:val="49F64E79"/>
    <w:rsid w:val="4FFD214C"/>
    <w:rsid w:val="548E5CAE"/>
    <w:rsid w:val="54A27ABA"/>
    <w:rsid w:val="5777D4F5"/>
    <w:rsid w:val="59DD8326"/>
    <w:rsid w:val="5DEF592A"/>
    <w:rsid w:val="5FC6BB1E"/>
    <w:rsid w:val="5FF720F1"/>
    <w:rsid w:val="628F5A13"/>
    <w:rsid w:val="65C178C8"/>
    <w:rsid w:val="67FF5C0B"/>
    <w:rsid w:val="6A8A7046"/>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0441B"/>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13"/>
    <w:unhideWhenUsed/>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Plain Text"/>
    <w:basedOn w:val="1"/>
    <w:qFormat/>
    <w:uiPriority w:val="0"/>
    <w:rPr>
      <w:rFonts w:ascii="宋体" w:hAnsi="Courier New" w:cs="Courier New"/>
      <w:szCs w:val="21"/>
    </w:rPr>
  </w:style>
  <w:style w:type="paragraph" w:styleId="7">
    <w:name w:val="Balloon Text"/>
    <w:basedOn w:val="1"/>
    <w:link w:val="16"/>
    <w:semiHidden/>
    <w:unhideWhenUsed/>
    <w:qFormat/>
    <w:uiPriority w:val="99"/>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2"/>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7"/>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4692</Words>
  <Characters>5186</Characters>
  <Lines>69</Lines>
  <Paragraphs>19</Paragraphs>
  <TotalTime>0</TotalTime>
  <ScaleCrop>false</ScaleCrop>
  <LinksUpToDate>false</LinksUpToDate>
  <CharactersWithSpaces>5221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2026-09-21T03:41:23Z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2BE6F6DB4BB7457A9B83CBA781B7D243_13</vt:lpwstr>
  </property>
  <property fmtid="{D5CDD505-2E9C-101B-9397-08002B2CF9AE}" pid="4" name="KSOTemplateDocerSaveRecord">
    <vt:lpwstr>eyJoZGlkIjoiNWQ4MWNhNjYwYjJkZTBmMDYyMTM5ODYzZjhmZmY4NTAiLCJ1c2VySWQiOiI1NDU2OTYwMzYifQ==</vt:lpwstr>
  </property>
</Properties>
</file>