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b/>
          <w:sz w:val="36"/>
          <w:szCs w:val="28"/>
        </w:rPr>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怀化市养老和工伤保险服务中心</w:t>
      </w:r>
      <w:r>
        <w:rPr>
          <w:rFonts w:ascii="Times New Roman" w:hAnsi="Times New Roman" w:eastAsia="方正小标宋简体" w:cs="Times New Roman"/>
          <w:sz w:val="72"/>
          <w:szCs w:val="72"/>
        </w:rPr>
        <w:t>部门决</w:t>
      </w:r>
      <w:r>
        <w:rPr>
          <w:rFonts w:hint="eastAsia" w:ascii="Times New Roman" w:hAnsi="Times New Roman" w:eastAsia="方正小标宋简体" w:cs="Times New Roman"/>
          <w:sz w:val="72"/>
          <w:szCs w:val="72"/>
          <w:lang w:eastAsia="zh-CN"/>
        </w:rPr>
        <w:t>算</w:t>
      </w: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rPr>
        <w:t>怀化市养老和工伤保险服务中心</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w:t>
      </w:r>
      <w:r>
        <w:rPr>
          <w:rFonts w:hint="eastAsia" w:ascii="Times New Roman" w:hAnsi="Times New Roman" w:eastAsia="方正小标宋_GBK" w:cs="Times New Roman"/>
          <w:sz w:val="52"/>
          <w:szCs w:val="52"/>
        </w:rPr>
        <w:t>养老和工伤保险服务中心</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(一)贯彻落实中央、省、市及上级人力资源和社会保障部 门的有关政策和法律法规，为社会保险行政管理提供服务保障。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(二)承担市本级养老保险</w:t>
      </w:r>
      <w:r>
        <w:rPr>
          <w:rFonts w:hint="eastAsia" w:ascii="仿宋" w:hAnsi="仿宋" w:eastAsia="仿宋" w:cs="仿宋"/>
          <w:sz w:val="32"/>
          <w:szCs w:val="32"/>
          <w:lang w:eastAsia="zh-CN"/>
        </w:rPr>
        <w:t>、</w:t>
      </w:r>
      <w:r>
        <w:rPr>
          <w:rFonts w:hint="eastAsia" w:ascii="仿宋" w:hAnsi="仿宋" w:eastAsia="仿宋" w:cs="仿宋"/>
          <w:sz w:val="32"/>
          <w:szCs w:val="32"/>
        </w:rPr>
        <w:t>工伤保险经办相关服务工作。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(三)承担市本级养老保险</w:t>
      </w:r>
      <w:r>
        <w:rPr>
          <w:rFonts w:hint="eastAsia" w:ascii="仿宋" w:hAnsi="仿宋" w:eastAsia="仿宋" w:cs="仿宋"/>
          <w:sz w:val="32"/>
          <w:szCs w:val="32"/>
          <w:lang w:eastAsia="zh-CN"/>
        </w:rPr>
        <w:t>、</w:t>
      </w:r>
      <w:r>
        <w:rPr>
          <w:rFonts w:hint="eastAsia" w:ascii="仿宋" w:hAnsi="仿宋" w:eastAsia="仿宋" w:cs="仿宋"/>
          <w:sz w:val="32"/>
          <w:szCs w:val="32"/>
        </w:rPr>
        <w:t>工伤保险基金风险防范及市本 级养老保险、工伤保险稽核的事务性工作。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(四)承担市本级参保人员养老保险、工伤保险个人权益记 录管理与服务工作；参与养老保险</w:t>
      </w:r>
      <w:r>
        <w:rPr>
          <w:rFonts w:hint="eastAsia" w:ascii="仿宋" w:hAnsi="仿宋" w:eastAsia="仿宋" w:cs="仿宋"/>
          <w:sz w:val="32"/>
          <w:szCs w:val="32"/>
          <w:lang w:eastAsia="zh-CN"/>
        </w:rPr>
        <w:t>、</w:t>
      </w:r>
      <w:r>
        <w:rPr>
          <w:rFonts w:hint="eastAsia" w:ascii="仿宋" w:hAnsi="仿宋" w:eastAsia="仿宋" w:cs="仿宋"/>
          <w:sz w:val="32"/>
          <w:szCs w:val="32"/>
        </w:rPr>
        <w:t>工伤保险信息化建设和维护</w:t>
      </w:r>
      <w:r>
        <w:rPr>
          <w:rFonts w:hint="eastAsia" w:ascii="仿宋" w:hAnsi="仿宋" w:eastAsia="仿宋" w:cs="仿宋"/>
          <w:sz w:val="32"/>
          <w:szCs w:val="32"/>
          <w:lang w:eastAsia="zh-CN"/>
        </w:rPr>
        <w:t>；</w:t>
      </w:r>
      <w:r>
        <w:rPr>
          <w:rFonts w:hint="eastAsia" w:ascii="仿宋" w:hAnsi="仿宋" w:eastAsia="仿宋" w:cs="仿宋"/>
          <w:sz w:val="32"/>
          <w:szCs w:val="32"/>
        </w:rPr>
        <w:t xml:space="preserve">承担全市参保人员养老保险、工伤保险数据信息资源的集中管理 和分析应用。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(五)承担企业职工基本养老保险和工伤保险省级统筹相关 的市级经办工作</w:t>
      </w:r>
      <w:r>
        <w:rPr>
          <w:rFonts w:hint="eastAsia" w:ascii="仿宋" w:hAnsi="仿宋" w:eastAsia="仿宋" w:cs="仿宋"/>
          <w:sz w:val="32"/>
          <w:szCs w:val="32"/>
          <w:lang w:eastAsia="zh-CN"/>
        </w:rPr>
        <w:t>；</w:t>
      </w:r>
      <w:r>
        <w:rPr>
          <w:rFonts w:hint="eastAsia" w:ascii="仿宋" w:hAnsi="仿宋" w:eastAsia="仿宋" w:cs="仿宋"/>
          <w:sz w:val="32"/>
          <w:szCs w:val="32"/>
        </w:rPr>
        <w:t>承担企业职工基本养老保险中央调剂金、工伤保险省级调剂金制度相关的市级经办工作。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(六)承担市本级养老保险</w:t>
      </w:r>
      <w:r>
        <w:rPr>
          <w:rFonts w:hint="eastAsia" w:ascii="仿宋" w:hAnsi="仿宋" w:eastAsia="仿宋" w:cs="仿宋"/>
          <w:sz w:val="32"/>
          <w:szCs w:val="32"/>
          <w:lang w:eastAsia="zh-CN"/>
        </w:rPr>
        <w:t>、</w:t>
      </w:r>
      <w:r>
        <w:rPr>
          <w:rFonts w:hint="eastAsia" w:ascii="仿宋" w:hAnsi="仿宋" w:eastAsia="仿宋" w:cs="仿宋"/>
          <w:sz w:val="32"/>
          <w:szCs w:val="32"/>
        </w:rPr>
        <w:t>工伤保险的参保登记，市本级 养老保险参保对象的个人账户管理和权益记录，市本级工伤调查及待遇支付的事务性工作。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(七)承担市本级参保人员待遇领取资格审核、待遇核定以 及养老金社会化发放的事务性工作。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(八)承担市本级职业年金的归集、经办和待遇核定的事务性工作。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(九)承担老工伤人员资格认定和审核老工伤人员工伤保险 待遇等事务性工作。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(十)编制、汇总、上报全市养老保险、工伤保险基金预决 算、财务和统计报表，开展养老保险和工伤保险政策咨询服务。</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(十一)完成市人力资源和社会保障局交办的其他任务。</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rPr>
        <w:t>（一）内设机构设置。怀化市养老和工伤保险服务中心作为怀化市人力资源和社会保障局的二级部门预算单位，内设</w:t>
      </w:r>
      <w:r>
        <w:rPr>
          <w:rFonts w:hint="eastAsia" w:ascii="仿宋" w:hAnsi="仿宋" w:eastAsia="仿宋" w:cs="仿宋"/>
          <w:bCs/>
          <w:kern w:val="0"/>
          <w:sz w:val="32"/>
          <w:szCs w:val="32"/>
          <w:lang w:eastAsia="zh-CN"/>
        </w:rPr>
        <w:t>机构</w:t>
      </w:r>
      <w:r>
        <w:rPr>
          <w:rFonts w:hint="eastAsia" w:ascii="仿宋" w:hAnsi="仿宋" w:eastAsia="仿宋" w:cs="仿宋"/>
          <w:bCs/>
          <w:kern w:val="0"/>
          <w:sz w:val="32"/>
          <w:szCs w:val="32"/>
        </w:rPr>
        <w:t>为：综合部、财务部、基金管理部、业务一部、业务二部、业务三部、</w:t>
      </w:r>
      <w:r>
        <w:rPr>
          <w:rFonts w:hint="eastAsia" w:ascii="仿宋" w:hAnsi="仿宋" w:eastAsia="仿宋" w:cs="仿宋"/>
          <w:bCs/>
          <w:color w:val="auto"/>
          <w:kern w:val="0"/>
          <w:sz w:val="32"/>
          <w:szCs w:val="32"/>
          <w:highlight w:val="none"/>
          <w:lang w:eastAsia="zh-CN"/>
        </w:rPr>
        <w:t>业务四部、</w:t>
      </w:r>
      <w:r>
        <w:rPr>
          <w:rFonts w:hint="eastAsia" w:ascii="仿宋" w:hAnsi="仿宋" w:eastAsia="仿宋" w:cs="仿宋"/>
          <w:bCs/>
          <w:kern w:val="0"/>
          <w:sz w:val="32"/>
          <w:szCs w:val="32"/>
          <w:highlight w:val="none"/>
        </w:rPr>
        <w:t>待</w:t>
      </w:r>
      <w:r>
        <w:rPr>
          <w:rFonts w:hint="eastAsia" w:ascii="仿宋" w:hAnsi="仿宋" w:eastAsia="仿宋" w:cs="仿宋"/>
          <w:bCs/>
          <w:kern w:val="0"/>
          <w:sz w:val="32"/>
          <w:szCs w:val="32"/>
        </w:rPr>
        <w:t>遇一部、待遇二部、待遇三部</w:t>
      </w:r>
      <w:r>
        <w:rPr>
          <w:rFonts w:hint="eastAsia" w:ascii="仿宋" w:hAnsi="仿宋" w:eastAsia="仿宋" w:cs="仿宋"/>
          <w:bCs/>
          <w:kern w:val="0"/>
          <w:sz w:val="32"/>
          <w:szCs w:val="32"/>
          <w:lang w:eastAsia="zh-CN"/>
        </w:rPr>
        <w:t>、</w:t>
      </w:r>
      <w:r>
        <w:rPr>
          <w:rFonts w:hint="eastAsia" w:ascii="仿宋" w:hAnsi="仿宋" w:eastAsia="仿宋" w:cs="仿宋"/>
          <w:bCs/>
          <w:kern w:val="0"/>
          <w:sz w:val="32"/>
          <w:szCs w:val="32"/>
        </w:rPr>
        <w:t>工伤调查部</w:t>
      </w:r>
      <w:r>
        <w:rPr>
          <w:rFonts w:hint="eastAsia" w:ascii="仿宋" w:hAnsi="仿宋" w:eastAsia="仿宋" w:cs="仿宋"/>
          <w:bCs/>
          <w:kern w:val="0"/>
          <w:sz w:val="32"/>
          <w:szCs w:val="32"/>
          <w:lang w:eastAsia="zh-CN"/>
        </w:rPr>
        <w:t>，设立</w:t>
      </w:r>
      <w:r>
        <w:rPr>
          <w:rFonts w:hint="eastAsia" w:ascii="仿宋" w:hAnsi="仿宋" w:eastAsia="仿宋" w:cs="仿宋"/>
          <w:bCs/>
          <w:kern w:val="0"/>
          <w:sz w:val="32"/>
          <w:szCs w:val="32"/>
        </w:rPr>
        <w:t>市养老和工伤保险基金稽核中心，为市养老和工 伤保险服务中心下设不具备独立法人资格的正科级分支机构</w:t>
      </w:r>
      <w:r>
        <w:rPr>
          <w:rFonts w:hint="eastAsia" w:ascii="仿宋" w:hAnsi="仿宋" w:eastAsia="仿宋" w:cs="仿宋"/>
          <w:bCs/>
          <w:kern w:val="0"/>
          <w:sz w:val="32"/>
          <w:szCs w:val="32"/>
          <w:lang w:eastAsia="zh-CN"/>
        </w:rPr>
        <w:t>。</w:t>
      </w:r>
      <w:r>
        <w:rPr>
          <w:rFonts w:hint="eastAsia" w:ascii="仿宋" w:hAnsi="仿宋" w:eastAsia="仿宋" w:cs="仿宋"/>
          <w:bCs/>
          <w:kern w:val="0"/>
          <w:sz w:val="32"/>
          <w:szCs w:val="32"/>
          <w:lang w:val="en-US" w:eastAsia="zh-CN"/>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Cs/>
          <w:kern w:val="0"/>
          <w:sz w:val="32"/>
          <w:szCs w:val="32"/>
        </w:rPr>
      </w:pPr>
      <w:r>
        <w:rPr>
          <w:rFonts w:hint="eastAsia" w:ascii="仿宋" w:hAnsi="仿宋" w:eastAsia="仿宋" w:cs="仿宋"/>
          <w:bCs/>
          <w:kern w:val="0"/>
          <w:sz w:val="32"/>
          <w:szCs w:val="32"/>
        </w:rPr>
        <w:t>（二）决算单位构成。怀化市养老和工伤保险服务中心202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年部门决算汇总公开单位构成包括：怀化市养老和工伤保险服务中心。</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p>
    <w:p>
      <w:pPr>
        <w:pStyle w:val="13"/>
        <w:jc w:val="center"/>
        <w:rPr>
          <w:rFonts w:ascii="Times New Roman" w:hAnsi="Times New Roman" w:eastAsia="方正小标宋_GBK" w:cs="Times New Roman"/>
          <w:sz w:val="52"/>
          <w:szCs w:val="52"/>
        </w:rPr>
      </w:pPr>
    </w:p>
    <w:p>
      <w:pPr>
        <w:pStyle w:val="13"/>
        <w:jc w:val="center"/>
        <w:rPr>
          <w:rFonts w:ascii="Times New Roman" w:hAnsi="Times New Roman" w:eastAsia="方正小标宋_GBK" w:cs="Times New Roman"/>
          <w:sz w:val="52"/>
          <w:szCs w:val="52"/>
        </w:rPr>
      </w:pPr>
    </w:p>
    <w:p>
      <w:pPr>
        <w:pStyle w:val="13"/>
        <w:jc w:val="center"/>
        <w:rPr>
          <w:rFonts w:ascii="Times New Roman" w:hAnsi="Times New Roman" w:eastAsia="方正小标宋_GBK" w:cs="Times New Roman"/>
          <w:sz w:val="52"/>
          <w:szCs w:val="52"/>
        </w:r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eastAsia="黑体" w:cs="Times New Roman"/>
          <w:color w:val="000000"/>
          <w:kern w:val="0"/>
          <w:sz w:val="36"/>
          <w:szCs w:val="36"/>
          <w:lang w:val="en-US" w:eastAsia="zh-CN" w:bidi="ar"/>
        </w:rPr>
        <w:t xml:space="preserve">                               </w:t>
      </w:r>
      <w:r>
        <w:rPr>
          <w:rFonts w:hint="eastAsia" w:ascii="Times New Roman" w:hAnsi="Times New Roman" w:eastAsia="黑体" w:cs="Times New Roman"/>
          <w:color w:val="000000"/>
          <w:kern w:val="0"/>
          <w:sz w:val="36"/>
          <w:szCs w:val="36"/>
          <w:lang w:eastAsia="zh-CN" w:bidi="ar"/>
        </w:rPr>
        <w:t>（见附件）</w:t>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p>
    <w:p>
      <w:pPr>
        <w:pStyle w:val="13"/>
        <w:rPr>
          <w:rFonts w:ascii="Times New Roman" w:hAnsi="Times New Roman" w:cs="Times New Roman"/>
          <w:sz w:val="72"/>
          <w:szCs w:val="72"/>
        </w:rPr>
      </w:pPr>
      <w:r>
        <w:rPr>
          <w:rFonts w:ascii="Times New Roman" w:hAnsi="Times New Roman" w:eastAsia="仿宋_GB2312" w:cs="Times New Roman"/>
          <w:color w:val="000000"/>
          <w:sz w:val="24"/>
          <w:szCs w:val="24"/>
        </w:rPr>
        <w:tab/>
      </w: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支总计</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71.42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7.65</w:t>
      </w:r>
      <w:r>
        <w:rPr>
          <w:rFonts w:ascii="Times New Roman" w:hAnsi="Times New Roman" w:eastAsia="仿宋_GB2312" w:cs="Times New Roman"/>
          <w:sz w:val="32"/>
          <w:szCs w:val="32"/>
        </w:rPr>
        <w:t>%，主要是因为</w:t>
      </w:r>
      <w:r>
        <w:rPr>
          <w:rFonts w:ascii="Times New Roman" w:hAnsi="Times New Roman" w:eastAsia="仿宋_GB2312" w:cs="Times New Roman"/>
          <w:sz w:val="32"/>
          <w:szCs w:val="32"/>
          <w:highlight w:val="none"/>
        </w:rPr>
        <w:t>工作需要追加了部分工作经费</w:t>
      </w:r>
      <w:r>
        <w:rPr>
          <w:rFonts w:hint="eastAsia" w:ascii="Times New Roman" w:hAnsi="Times New Roman" w:eastAsia="仿宋_GB2312" w:cs="Times New Roman"/>
          <w:sz w:val="32"/>
          <w:szCs w:val="32"/>
          <w:lang w:eastAsia="zh-CN"/>
        </w:rPr>
        <w:t>。</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行政运行、社会保险经办机构、机关事业单位基本养老保险缴费支出等重点支出，体现在有关支出科目中。</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860.58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85.63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144.41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14.37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年度财政拨款收、支总计</w:t>
      </w:r>
      <w:r>
        <w:rPr>
          <w:rFonts w:hint="eastAsia" w:ascii="Times New Roman" w:hAnsi="Times New Roman" w:eastAsia="仿宋_GB2312" w:cs="Times New Roman"/>
          <w:sz w:val="32"/>
          <w:szCs w:val="32"/>
          <w:highlight w:val="none"/>
          <w:lang w:val="en-US" w:eastAsia="zh-CN"/>
        </w:rPr>
        <w:t>1005</w:t>
      </w:r>
      <w:r>
        <w:rPr>
          <w:rFonts w:ascii="Times New Roman" w:hAnsi="Times New Roman" w:eastAsia="仿宋_GB2312" w:cs="Times New Roman"/>
          <w:sz w:val="32"/>
          <w:szCs w:val="32"/>
          <w:highlight w:val="none"/>
        </w:rPr>
        <w:t>万元，与上年相比，增加</w:t>
      </w:r>
      <w:r>
        <w:rPr>
          <w:rFonts w:hint="eastAsia" w:ascii="Times New Roman" w:hAnsi="Times New Roman" w:eastAsia="仿宋_GB2312" w:cs="Times New Roman"/>
          <w:sz w:val="32"/>
          <w:szCs w:val="32"/>
          <w:highlight w:val="none"/>
          <w:lang w:val="en-US" w:eastAsia="zh-CN"/>
        </w:rPr>
        <w:t>71.42</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7.65</w:t>
      </w:r>
      <w:r>
        <w:rPr>
          <w:rFonts w:ascii="Times New Roman" w:hAnsi="Times New Roman" w:eastAsia="仿宋_GB2312" w:cs="Times New Roman"/>
          <w:sz w:val="32"/>
          <w:szCs w:val="32"/>
          <w:highlight w:val="none"/>
        </w:rPr>
        <w:t>%，主要是因为工作需要追加了部分工作经费。</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71.42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7.65</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主要是因为工作需要追加了部分工作经费。</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highlight w:val="none"/>
        </w:rPr>
        <w:t>（二）一般公共预算财政拨款支出决算结构情</w:t>
      </w:r>
      <w:r>
        <w:rPr>
          <w:rFonts w:ascii="Times New Roman" w:hAnsi="Times New Roman" w:eastAsia="楷体_GB2312" w:cs="Times New Roman"/>
          <w:b/>
          <w:sz w:val="32"/>
          <w:szCs w:val="32"/>
        </w:rPr>
        <w:t>况</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lang w:val="en-US" w:eastAsia="zh-CN"/>
        </w:rPr>
        <w:t>70.63万元，占7.03%；</w:t>
      </w:r>
      <w:r>
        <w:rPr>
          <w:rFonts w:ascii="仿宋_GB2312" w:hAnsi="宋体" w:eastAsia="仿宋_GB2312" w:cs="仿宋_GB2312"/>
          <w:i w:val="0"/>
          <w:iCs w:val="0"/>
          <w:caps w:val="0"/>
          <w:color w:val="000000"/>
          <w:spacing w:val="0"/>
          <w:sz w:val="32"/>
          <w:szCs w:val="32"/>
          <w:shd w:val="clear" w:fill="FFFFFF"/>
        </w:rPr>
        <w:t>社会保障和就业（类）支出</w:t>
      </w:r>
      <w:r>
        <w:rPr>
          <w:rFonts w:hint="eastAsia" w:ascii="Times New Roman" w:hAnsi="Times New Roman" w:eastAsia="仿宋_GB2312" w:cs="Times New Roman"/>
          <w:i w:val="0"/>
          <w:iCs w:val="0"/>
          <w:caps w:val="0"/>
          <w:color w:val="000000"/>
          <w:spacing w:val="0"/>
          <w:sz w:val="32"/>
          <w:szCs w:val="32"/>
          <w:shd w:val="clear" w:fill="FFFFFF"/>
          <w:lang w:val="en-US" w:eastAsia="zh-CN"/>
        </w:rPr>
        <w:t>843.76</w:t>
      </w:r>
      <w:r>
        <w:rPr>
          <w:rFonts w:hint="default" w:ascii="仿宋_GB2312" w:hAnsi="宋体" w:eastAsia="仿宋_GB2312" w:cs="仿宋_GB2312"/>
          <w:i w:val="0"/>
          <w:iCs w:val="0"/>
          <w:caps w:val="0"/>
          <w:color w:val="000000"/>
          <w:spacing w:val="0"/>
          <w:sz w:val="32"/>
          <w:szCs w:val="32"/>
          <w:shd w:val="clear" w:fill="FFFFFF"/>
        </w:rPr>
        <w:t>万元，占</w:t>
      </w:r>
      <w:r>
        <w:rPr>
          <w:rFonts w:hint="eastAsia" w:ascii="仿宋_GB2312" w:hAnsi="宋体" w:eastAsia="仿宋_GB2312" w:cs="仿宋_GB2312"/>
          <w:i w:val="0"/>
          <w:iCs w:val="0"/>
          <w:caps w:val="0"/>
          <w:color w:val="000000"/>
          <w:spacing w:val="0"/>
          <w:sz w:val="32"/>
          <w:szCs w:val="32"/>
          <w:shd w:val="clear" w:fill="FFFFFF"/>
          <w:lang w:val="en-US" w:eastAsia="zh-CN"/>
        </w:rPr>
        <w:t>83.96</w:t>
      </w:r>
      <w:r>
        <w:rPr>
          <w:rFonts w:hint="default" w:ascii="Times New Roman" w:hAnsi="Times New Roman" w:eastAsia="宋体" w:cs="Times New Roman"/>
          <w:i w:val="0"/>
          <w:iCs w:val="0"/>
          <w:caps w:val="0"/>
          <w:color w:val="000000"/>
          <w:spacing w:val="0"/>
          <w:sz w:val="32"/>
          <w:szCs w:val="32"/>
          <w:shd w:val="clear" w:fill="FFFFFF"/>
        </w:rPr>
        <w:t>%</w:t>
      </w:r>
      <w:r>
        <w:rPr>
          <w:rFonts w:hint="default" w:ascii="仿宋_GB2312" w:hAnsi="宋体" w:eastAsia="仿宋_GB2312" w:cs="仿宋_GB2312"/>
          <w:i w:val="0"/>
          <w:iCs w:val="0"/>
          <w:caps w:val="0"/>
          <w:color w:val="000000"/>
          <w:spacing w:val="0"/>
          <w:sz w:val="32"/>
          <w:szCs w:val="32"/>
          <w:shd w:val="clear" w:fill="FFFFFF"/>
        </w:rPr>
        <w:t>；卫生健康（类）支出</w:t>
      </w:r>
      <w:r>
        <w:rPr>
          <w:rFonts w:hint="default" w:ascii="Times New Roman" w:hAnsi="Times New Roman" w:eastAsia="仿宋_GB2312" w:cs="Times New Roman"/>
          <w:i w:val="0"/>
          <w:iCs w:val="0"/>
          <w:caps w:val="0"/>
          <w:color w:val="000000"/>
          <w:spacing w:val="0"/>
          <w:sz w:val="32"/>
          <w:szCs w:val="32"/>
          <w:shd w:val="clear" w:fill="FFFFFF"/>
        </w:rPr>
        <w:t>2</w:t>
      </w:r>
      <w:r>
        <w:rPr>
          <w:rFonts w:hint="eastAsia" w:ascii="Times New Roman" w:hAnsi="Times New Roman" w:eastAsia="仿宋_GB2312" w:cs="Times New Roman"/>
          <w:i w:val="0"/>
          <w:iCs w:val="0"/>
          <w:caps w:val="0"/>
          <w:color w:val="000000"/>
          <w:spacing w:val="0"/>
          <w:sz w:val="32"/>
          <w:szCs w:val="32"/>
          <w:shd w:val="clear" w:fill="FFFFFF"/>
          <w:lang w:val="en-US" w:eastAsia="zh-CN"/>
        </w:rPr>
        <w:t>8.14</w:t>
      </w:r>
      <w:r>
        <w:rPr>
          <w:rFonts w:hint="default" w:ascii="仿宋_GB2312" w:hAnsi="宋体" w:eastAsia="仿宋_GB2312" w:cs="仿宋_GB2312"/>
          <w:i w:val="0"/>
          <w:iCs w:val="0"/>
          <w:caps w:val="0"/>
          <w:color w:val="000000"/>
          <w:spacing w:val="0"/>
          <w:sz w:val="32"/>
          <w:szCs w:val="32"/>
          <w:shd w:val="clear" w:fill="FFFFFF"/>
        </w:rPr>
        <w:t>万元，占</w:t>
      </w:r>
      <w:r>
        <w:rPr>
          <w:rFonts w:hint="eastAsia" w:ascii="仿宋_GB2312" w:hAnsi="宋体" w:eastAsia="仿宋_GB2312" w:cs="仿宋_GB2312"/>
          <w:i w:val="0"/>
          <w:iCs w:val="0"/>
          <w:caps w:val="0"/>
          <w:color w:val="000000"/>
          <w:spacing w:val="0"/>
          <w:sz w:val="32"/>
          <w:szCs w:val="32"/>
          <w:shd w:val="clear" w:fill="FFFFFF"/>
          <w:lang w:val="en-US" w:eastAsia="zh-CN"/>
        </w:rPr>
        <w:t>2.80</w:t>
      </w:r>
      <w:r>
        <w:rPr>
          <w:rFonts w:hint="default" w:ascii="Times New Roman" w:hAnsi="Times New Roman" w:eastAsia="宋体" w:cs="Times New Roman"/>
          <w:i w:val="0"/>
          <w:iCs w:val="0"/>
          <w:caps w:val="0"/>
          <w:color w:val="000000"/>
          <w:spacing w:val="0"/>
          <w:sz w:val="32"/>
          <w:szCs w:val="32"/>
          <w:shd w:val="clear" w:fill="FFFFFF"/>
        </w:rPr>
        <w:t>%</w:t>
      </w:r>
      <w:r>
        <w:rPr>
          <w:rFonts w:hint="default" w:ascii="仿宋_GB2312" w:hAnsi="宋体" w:eastAsia="仿宋_GB2312" w:cs="仿宋_GB2312"/>
          <w:i w:val="0"/>
          <w:iCs w:val="0"/>
          <w:caps w:val="0"/>
          <w:color w:val="000000"/>
          <w:spacing w:val="0"/>
          <w:sz w:val="32"/>
          <w:szCs w:val="32"/>
          <w:shd w:val="clear" w:fill="FFFFFF"/>
        </w:rPr>
        <w:t>；</w:t>
      </w:r>
      <w:r>
        <w:rPr>
          <w:rFonts w:hint="eastAsia" w:ascii="仿宋_GB2312" w:hAnsi="宋体" w:eastAsia="仿宋_GB2312" w:cs="仿宋_GB2312"/>
          <w:i w:val="0"/>
          <w:iCs w:val="0"/>
          <w:caps w:val="0"/>
          <w:color w:val="000000"/>
          <w:spacing w:val="0"/>
          <w:sz w:val="32"/>
          <w:szCs w:val="32"/>
          <w:shd w:val="clear" w:fill="FFFFFF"/>
          <w:lang w:val="en-US" w:eastAsia="zh-CN"/>
        </w:rPr>
        <w:t>住房保障（类）支出59.46</w:t>
      </w:r>
      <w:r>
        <w:rPr>
          <w:rFonts w:hint="eastAsia" w:ascii="仿宋_GB2312" w:hAnsi="宋体" w:eastAsia="仿宋_GB2312" w:cs="仿宋_GB2312"/>
          <w:i w:val="0"/>
          <w:iCs w:val="0"/>
          <w:caps w:val="0"/>
          <w:color w:val="auto"/>
          <w:spacing w:val="0"/>
          <w:sz w:val="32"/>
          <w:szCs w:val="32"/>
          <w:highlight w:val="none"/>
          <w:shd w:val="clear" w:fill="FFFFFF"/>
          <w:lang w:val="en-US" w:eastAsia="zh-CN"/>
        </w:rPr>
        <w:t>万元，</w:t>
      </w:r>
      <w:r>
        <w:rPr>
          <w:rFonts w:hint="default" w:ascii="Times New Roman" w:hAnsi="Times New Roman" w:eastAsia="仿宋_GB2312" w:cs="Times New Roman"/>
          <w:sz w:val="32"/>
          <w:szCs w:val="32"/>
          <w:lang w:eastAsia="zh-CN"/>
        </w:rPr>
        <w:t>占</w:t>
      </w:r>
      <w:r>
        <w:rPr>
          <w:rFonts w:hint="eastAsia" w:ascii="Times New Roman" w:hAnsi="Times New Roman" w:eastAsia="仿宋_GB2312" w:cs="Times New Roman"/>
          <w:sz w:val="32"/>
          <w:szCs w:val="32"/>
          <w:lang w:val="en-US" w:eastAsia="zh-CN"/>
        </w:rPr>
        <w:t>5.91</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；资源勘探工业信息等支出</w:t>
      </w:r>
      <w:r>
        <w:rPr>
          <w:rFonts w:hint="eastAsia" w:ascii="Times New Roman" w:hAnsi="Times New Roman" w:eastAsia="仿宋_GB2312" w:cs="Times New Roman"/>
          <w:sz w:val="32"/>
          <w:szCs w:val="32"/>
          <w:lang w:val="en-US" w:eastAsia="zh-CN"/>
        </w:rPr>
        <w:t>3万元，占0.30%。</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900.66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111.58</w:t>
      </w:r>
      <w:r>
        <w:rPr>
          <w:rFonts w:ascii="Times New Roman" w:hAnsi="Times New Roman" w:eastAsia="仿宋_GB2312" w:cs="Times New Roman"/>
          <w:sz w:val="32"/>
          <w:szCs w:val="32"/>
        </w:rPr>
        <w:t>%，其中：</w:t>
      </w:r>
    </w:p>
    <w:p>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Autospacing="0" w:afterAutospacing="0" w:line="600" w:lineRule="exact"/>
        <w:ind w:left="0" w:leftChars="0" w:right="0" w:firstLine="640" w:firstLineChars="0"/>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社会保障和就业支出</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年初预算为824.15万元，支出决算为843.76万元，</w:t>
      </w:r>
      <w:r>
        <w:rPr>
          <w:rFonts w:ascii="Times New Roman" w:hAnsi="Times New Roman" w:eastAsia="仿宋_GB2312" w:cs="Times New Roman"/>
          <w:color w:val="000000"/>
          <w:kern w:val="0"/>
          <w:sz w:val="32"/>
          <w:szCs w:val="32"/>
          <w:highlight w:val="none"/>
          <w:lang w:val="en-US" w:eastAsia="zh-CN" w:bidi="ar-SA"/>
        </w:rPr>
        <w:t>完成年初预算的</w:t>
      </w:r>
      <w:r>
        <w:rPr>
          <w:rFonts w:hint="eastAsia" w:ascii="Times New Roman" w:hAnsi="Times New Roman" w:eastAsia="仿宋_GB2312" w:cs="Times New Roman"/>
          <w:color w:val="000000"/>
          <w:kern w:val="0"/>
          <w:sz w:val="32"/>
          <w:szCs w:val="32"/>
          <w:highlight w:val="none"/>
          <w:lang w:val="en-US" w:eastAsia="zh-CN" w:bidi="ar-SA"/>
        </w:rPr>
        <w:t>102.38</w:t>
      </w:r>
      <w:r>
        <w:rPr>
          <w:rFonts w:ascii="Times New Roman" w:hAnsi="Times New Roman" w:eastAsia="仿宋_GB2312" w:cs="Times New Roman"/>
          <w:color w:val="000000"/>
          <w:kern w:val="0"/>
          <w:sz w:val="32"/>
          <w:szCs w:val="32"/>
          <w:highlight w:val="none"/>
          <w:lang w:val="en-US" w:eastAsia="zh-CN" w:bidi="ar-SA"/>
        </w:rPr>
        <w:t>%，决算数大于年初预算数的主要原因是：</w:t>
      </w:r>
      <w:r>
        <w:rPr>
          <w:rFonts w:hint="eastAsia" w:ascii="Times New Roman" w:hAnsi="Times New Roman" w:eastAsia="仿宋_GB2312" w:cs="Times New Roman"/>
          <w:color w:val="000000"/>
          <w:kern w:val="0"/>
          <w:sz w:val="32"/>
          <w:szCs w:val="32"/>
          <w:highlight w:val="none"/>
          <w:lang w:val="en-US" w:eastAsia="zh-CN" w:bidi="ar-SA"/>
        </w:rPr>
        <w:t>人员增加，新招录2名公务员；养老保险缴费基数上调。</w:t>
      </w:r>
    </w:p>
    <w:p>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Autospacing="0" w:afterAutospacing="0" w:line="600" w:lineRule="exact"/>
        <w:ind w:left="0" w:leftChars="0" w:right="0" w:firstLine="640" w:firstLineChars="0"/>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卫生健康支出</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年初预算为26.57万元，支出决算为28.14万元，</w:t>
      </w:r>
      <w:r>
        <w:rPr>
          <w:rFonts w:ascii="Times New Roman" w:hAnsi="Times New Roman" w:eastAsia="仿宋_GB2312" w:cs="Times New Roman"/>
          <w:color w:val="000000"/>
          <w:kern w:val="0"/>
          <w:sz w:val="32"/>
          <w:szCs w:val="32"/>
          <w:highlight w:val="none"/>
          <w:lang w:val="en-US" w:eastAsia="zh-CN" w:bidi="ar-SA"/>
        </w:rPr>
        <w:t>完成年初预算的</w:t>
      </w:r>
      <w:r>
        <w:rPr>
          <w:rFonts w:hint="eastAsia" w:ascii="Times New Roman" w:hAnsi="Times New Roman" w:eastAsia="仿宋_GB2312" w:cs="Times New Roman"/>
          <w:color w:val="000000"/>
          <w:kern w:val="0"/>
          <w:sz w:val="32"/>
          <w:szCs w:val="32"/>
          <w:highlight w:val="none"/>
          <w:lang w:val="en-US" w:eastAsia="zh-CN" w:bidi="ar-SA"/>
        </w:rPr>
        <w:t>105.91%，</w:t>
      </w:r>
      <w:r>
        <w:rPr>
          <w:rFonts w:ascii="Times New Roman" w:hAnsi="Times New Roman" w:eastAsia="仿宋_GB2312" w:cs="Times New Roman"/>
          <w:color w:val="000000"/>
          <w:kern w:val="0"/>
          <w:sz w:val="32"/>
          <w:szCs w:val="32"/>
          <w:highlight w:val="none"/>
          <w:lang w:val="en-US" w:eastAsia="zh-CN" w:bidi="ar-SA"/>
        </w:rPr>
        <w:t>决算数大于年初预算数的主要原因是：</w:t>
      </w:r>
      <w:r>
        <w:rPr>
          <w:rFonts w:hint="eastAsia" w:ascii="Times New Roman" w:hAnsi="Times New Roman" w:eastAsia="仿宋_GB2312" w:cs="Times New Roman"/>
          <w:color w:val="000000"/>
          <w:kern w:val="0"/>
          <w:sz w:val="32"/>
          <w:szCs w:val="32"/>
          <w:highlight w:val="none"/>
          <w:lang w:val="en-US" w:eastAsia="zh-CN" w:bidi="ar-SA"/>
        </w:rPr>
        <w:t>人员增加，新招录2名公务员。</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Autospacing="0" w:afterAutospacing="0" w:line="600" w:lineRule="exact"/>
        <w:ind w:left="0" w:right="0" w:rightChars="0"/>
        <w:textAlignment w:val="auto"/>
        <w:rPr>
          <w:rFonts w:hint="default" w:ascii="Times New Roman" w:hAnsi="Times New Roman" w:eastAsia="仿宋_GB2312" w:cs="Times New Roman"/>
          <w:color w:val="000000"/>
          <w:kern w:val="0"/>
          <w:sz w:val="32"/>
          <w:szCs w:val="32"/>
          <w:highlight w:val="none"/>
          <w:lang w:val="en-US" w:eastAsia="zh-CN" w:bidi="ar-SA"/>
        </w:rPr>
      </w:pPr>
    </w:p>
    <w:p>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Autospacing="0" w:afterAutospacing="0" w:line="600" w:lineRule="exact"/>
        <w:ind w:left="0" w:leftChars="0" w:right="0" w:firstLine="640" w:firstLineChars="0"/>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住房保障支出</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年初预算为49.94万元，支出决算为59.46万元，</w:t>
      </w:r>
      <w:r>
        <w:rPr>
          <w:rFonts w:ascii="Times New Roman" w:hAnsi="Times New Roman" w:eastAsia="仿宋_GB2312" w:cs="Times New Roman"/>
          <w:color w:val="000000"/>
          <w:kern w:val="0"/>
          <w:sz w:val="32"/>
          <w:szCs w:val="32"/>
          <w:highlight w:val="none"/>
          <w:lang w:val="en-US" w:eastAsia="zh-CN" w:bidi="ar-SA"/>
        </w:rPr>
        <w:t>完成年初预算的</w:t>
      </w:r>
      <w:r>
        <w:rPr>
          <w:rFonts w:hint="eastAsia" w:ascii="Times New Roman" w:hAnsi="Times New Roman" w:eastAsia="仿宋_GB2312" w:cs="Times New Roman"/>
          <w:color w:val="000000"/>
          <w:kern w:val="0"/>
          <w:sz w:val="32"/>
          <w:szCs w:val="32"/>
          <w:highlight w:val="none"/>
          <w:lang w:val="en-US" w:eastAsia="zh-CN" w:bidi="ar-SA"/>
        </w:rPr>
        <w:t>119.06%，</w:t>
      </w:r>
      <w:r>
        <w:rPr>
          <w:rFonts w:ascii="Times New Roman" w:hAnsi="Times New Roman" w:eastAsia="仿宋_GB2312" w:cs="Times New Roman"/>
          <w:color w:val="000000"/>
          <w:kern w:val="0"/>
          <w:sz w:val="32"/>
          <w:szCs w:val="32"/>
          <w:highlight w:val="none"/>
          <w:lang w:val="en-US" w:eastAsia="zh-CN" w:bidi="ar-SA"/>
        </w:rPr>
        <w:t>决算数大于年初预算数的主要原因是：</w:t>
      </w:r>
      <w:r>
        <w:rPr>
          <w:rFonts w:hint="eastAsia" w:ascii="Times New Roman" w:hAnsi="Times New Roman" w:eastAsia="仿宋_GB2312" w:cs="Times New Roman"/>
          <w:color w:val="000000"/>
          <w:kern w:val="0"/>
          <w:sz w:val="32"/>
          <w:szCs w:val="32"/>
          <w:highlight w:val="none"/>
          <w:lang w:val="en-US" w:eastAsia="zh-CN" w:bidi="ar-SA"/>
        </w:rPr>
        <w:t>人员增加，新招录2名公务员。</w:t>
      </w:r>
    </w:p>
    <w:p>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Autospacing="0" w:afterAutospacing="0" w:line="600" w:lineRule="exact"/>
        <w:ind w:left="0" w:leftChars="0" w:right="0" w:firstLine="640" w:firstLineChars="0"/>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一般公共服务支出（类）</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default"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年初预算为0万元，支出决算为70.63万元，决算数大于年初预算数的主要原因是：2025年1月补发了2024年7-12月工资调标部分等。</w:t>
      </w:r>
    </w:p>
    <w:p>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Autospacing="0" w:afterAutospacing="0" w:line="600" w:lineRule="exact"/>
        <w:ind w:left="0" w:leftChars="0" w:right="0" w:firstLine="640" w:firstLineChars="0"/>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资源勘探工业信息等支出</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年初预算为0万元，支出决算为3万元，决算数大于年初</w:t>
      </w:r>
    </w:p>
    <w:p>
      <w:pPr>
        <w:pStyle w:val="13"/>
        <w:keepNext w:val="0"/>
        <w:keepLines w:val="0"/>
        <w:pageBreakBefore w:val="0"/>
        <w:kinsoku/>
        <w:wordWrap/>
        <w:overflowPunct w:val="0"/>
        <w:topLinePunct w:val="0"/>
        <w:autoSpaceDE/>
        <w:autoSpaceDN/>
        <w:bidi w:val="0"/>
        <w:spacing w:line="600" w:lineRule="exact"/>
        <w:jc w:val="both"/>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预算数的主要原因是进行国产电脑替换。</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color w:val="000000"/>
          <w:kern w:val="0"/>
          <w:sz w:val="32"/>
          <w:szCs w:val="32"/>
          <w:highlight w:val="none"/>
          <w:lang w:val="en-US" w:eastAsia="zh-CN" w:bidi="ar-SA"/>
        </w:rPr>
        <w:t>按照支出功能分类，社会保障和就业支出方面的支出规模较大，主要是：</w:t>
      </w:r>
      <w:r>
        <w:rPr>
          <w:rFonts w:hint="eastAsia" w:ascii="Times New Roman" w:hAnsi="Times New Roman" w:eastAsia="仿宋_GB2312" w:cs="Times New Roman"/>
          <w:sz w:val="32"/>
          <w:szCs w:val="32"/>
          <w:highlight w:val="none"/>
          <w:lang w:eastAsia="zh-CN"/>
        </w:rPr>
        <w:t>工资福利支出</w:t>
      </w:r>
      <w:r>
        <w:rPr>
          <w:rFonts w:hint="eastAsia" w:ascii="Times New Roman" w:hAnsi="Times New Roman" w:eastAsia="仿宋_GB2312" w:cs="Times New Roman"/>
          <w:sz w:val="32"/>
          <w:szCs w:val="32"/>
          <w:highlight w:val="none"/>
        </w:rPr>
        <w:t>，2025年度决算数为</w:t>
      </w:r>
      <w:r>
        <w:rPr>
          <w:rFonts w:hint="eastAsia" w:ascii="Times New Roman" w:hAnsi="Times New Roman" w:eastAsia="仿宋_GB2312" w:cs="Times New Roman"/>
          <w:sz w:val="32"/>
          <w:szCs w:val="32"/>
          <w:highlight w:val="none"/>
          <w:lang w:val="en-US" w:eastAsia="zh-CN"/>
        </w:rPr>
        <w:t>786.80</w:t>
      </w:r>
      <w:r>
        <w:rPr>
          <w:rFonts w:hint="eastAsia" w:ascii="Times New Roman" w:hAnsi="Times New Roman" w:eastAsia="仿宋_GB2312" w:cs="Times New Roman"/>
          <w:sz w:val="32"/>
          <w:szCs w:val="32"/>
          <w:highlight w:val="none"/>
        </w:rPr>
        <w:t>万元，占财政拨款支出总额的</w:t>
      </w:r>
      <w:r>
        <w:rPr>
          <w:rFonts w:hint="eastAsia" w:ascii="Times New Roman" w:hAnsi="Times New Roman" w:eastAsia="仿宋_GB2312" w:cs="Times New Roman"/>
          <w:sz w:val="32"/>
          <w:szCs w:val="32"/>
          <w:highlight w:val="none"/>
          <w:lang w:val="en-US" w:eastAsia="zh-CN"/>
        </w:rPr>
        <w:t>78.29</w:t>
      </w:r>
      <w:r>
        <w:rPr>
          <w:rFonts w:hint="eastAsia" w:ascii="Times New Roman" w:hAnsi="Times New Roman" w:eastAsia="仿宋_GB2312" w:cs="Times New Roman"/>
          <w:sz w:val="32"/>
          <w:szCs w:val="32"/>
          <w:highlight w:val="none"/>
        </w:rPr>
        <w:t>%，主要用于</w:t>
      </w:r>
      <w:r>
        <w:rPr>
          <w:rFonts w:hint="eastAsia" w:ascii="Times New Roman" w:hAnsi="Times New Roman" w:eastAsia="仿宋_GB2312" w:cs="Times New Roman"/>
          <w:sz w:val="32"/>
          <w:szCs w:val="32"/>
          <w:highlight w:val="none"/>
          <w:lang w:eastAsia="zh-CN"/>
        </w:rPr>
        <w:t>人员工资支出。</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highlight w:val="none"/>
        </w:rPr>
      </w:pPr>
      <w:r>
        <w:rPr>
          <w:rFonts w:ascii="Times New Roman" w:hAnsi="Times New Roman" w:cs="Times New Roman"/>
          <w:bCs/>
          <w:sz w:val="32"/>
          <w:szCs w:val="32"/>
          <w:highlight w:val="none"/>
        </w:rPr>
        <w:t>六、一般公共预算财政拨款基本支出决算情况说明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年度一般公共预算财政拨款基本支出</w:t>
      </w:r>
      <w:r>
        <w:rPr>
          <w:rFonts w:hint="eastAsia" w:ascii="Times New Roman" w:hAnsi="Times New Roman" w:eastAsia="仿宋_GB2312" w:cs="Times New Roman"/>
          <w:sz w:val="32"/>
          <w:szCs w:val="32"/>
          <w:highlight w:val="none"/>
          <w:lang w:val="en-US" w:eastAsia="zh-CN"/>
        </w:rPr>
        <w:t>860.58</w:t>
      </w:r>
      <w:r>
        <w:rPr>
          <w:rFonts w:ascii="Times New Roman" w:hAnsi="Times New Roman" w:eastAsia="仿宋_GB2312" w:cs="Times New Roman"/>
          <w:sz w:val="32"/>
          <w:szCs w:val="32"/>
          <w:highlight w:val="none"/>
        </w:rPr>
        <w:t>万元，其中：</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770.83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89.57</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、机关事业单位基本养老保险缴费、职工基本医疗保险缴费、</w:t>
      </w:r>
      <w:r>
        <w:rPr>
          <w:rFonts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val="en-US" w:eastAsia="zh-CN"/>
        </w:rPr>
        <w:t>住房公积金、</w:t>
      </w:r>
      <w:r>
        <w:rPr>
          <w:rFonts w:ascii="Times New Roman" w:hAnsi="Times New Roman" w:eastAsia="仿宋_GB2312" w:cs="Times New Roman"/>
          <w:sz w:val="32"/>
          <w:szCs w:val="32"/>
        </w:rPr>
        <w:t>其他工资福利支出、对个人和家庭的补助。</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89.75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%，主要包括劳务费、工会经费、其他交通费用、其他商品</w:t>
      </w:r>
      <w:r>
        <w:rPr>
          <w:rFonts w:hint="eastAsia" w:ascii="Times New Roman" w:hAnsi="Times New Roman" w:eastAsia="仿宋_GB2312" w:cs="Times New Roman"/>
          <w:sz w:val="32"/>
          <w:szCs w:val="32"/>
          <w:lang w:val="en-US" w:eastAsia="zh-CN"/>
        </w:rPr>
        <w:t>和</w:t>
      </w:r>
      <w:r>
        <w:rPr>
          <w:rFonts w:ascii="Times New Roman" w:hAnsi="Times New Roman" w:eastAsia="仿宋_GB2312" w:cs="Times New Roman"/>
          <w:sz w:val="32"/>
          <w:szCs w:val="32"/>
        </w:rPr>
        <w:t>服务支出。</w:t>
      </w:r>
    </w:p>
    <w:p>
      <w:pPr>
        <w:pStyle w:val="13"/>
        <w:keepNext w:val="0"/>
        <w:keepLines w:val="0"/>
        <w:pageBreakBefore w:val="0"/>
        <w:numPr>
          <w:ilvl w:val="0"/>
          <w:numId w:val="2"/>
        </w:numPr>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3"/>
        <w:keepNext w:val="0"/>
        <w:keepLines w:val="0"/>
        <w:pageBreakBefore w:val="0"/>
        <w:numPr>
          <w:ilvl w:val="0"/>
          <w:numId w:val="0"/>
        </w:numPr>
        <w:kinsoku/>
        <w:wordWrap/>
        <w:overflowPunct w:val="0"/>
        <w:topLinePunct w:val="0"/>
        <w:autoSpaceDE/>
        <w:autoSpaceDN/>
        <w:bidi w:val="0"/>
        <w:spacing w:line="600" w:lineRule="exact"/>
        <w:ind w:left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54.34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14.03</w:t>
      </w:r>
      <w:r>
        <w:rPr>
          <w:rFonts w:ascii="Times New Roman" w:hAnsi="Times New Roman" w:eastAsia="仿宋_GB2312" w:cs="Times New Roman"/>
          <w:sz w:val="32"/>
          <w:szCs w:val="32"/>
        </w:rPr>
        <w:t>%。决算数小于预算数</w:t>
      </w:r>
      <w:r>
        <w:rPr>
          <w:rFonts w:hint="eastAsia" w:ascii="Times New Roman" w:hAnsi="Times New Roman" w:eastAsia="仿宋_GB2312" w:cs="Times New Roman"/>
          <w:sz w:val="32"/>
          <w:szCs w:val="32"/>
          <w:lang w:eastAsia="zh-CN"/>
        </w:rPr>
        <w:t>和小于上年数</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eastAsia="zh-CN"/>
        </w:rPr>
        <w:t>厉行勤俭节约</w:t>
      </w:r>
      <w:r>
        <w:rPr>
          <w:rFonts w:ascii="Times New Roman" w:hAnsi="Times New Roman" w:eastAsia="仿宋_GB2312" w:cs="Times New Roman"/>
          <w:sz w:val="32"/>
          <w:szCs w:val="32"/>
        </w:rPr>
        <w:t>，压缩</w:t>
      </w:r>
      <w:r>
        <w:rPr>
          <w:rFonts w:hint="eastAsia" w:ascii="Times New Roman" w:hAnsi="Times New Roman" w:eastAsia="仿宋_GB2312" w:cs="Times New Roman"/>
          <w:sz w:val="32"/>
          <w:szCs w:val="32"/>
          <w:lang w:val="en-US" w:eastAsia="zh-CN"/>
        </w:rPr>
        <w:t>经费</w:t>
      </w:r>
      <w:r>
        <w:rPr>
          <w:rFonts w:ascii="Times New Roman" w:hAnsi="Times New Roman" w:eastAsia="仿宋_GB2312" w:cs="Times New Roman"/>
          <w:sz w:val="32"/>
          <w:szCs w:val="32"/>
        </w:rPr>
        <w:t>开支。</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0.5万元</w:t>
      </w:r>
      <w:r>
        <w:rPr>
          <w:rFonts w:ascii="Times New Roman" w:hAnsi="Times New Roman" w:eastAsia="仿宋_GB2312" w:cs="Times New Roman"/>
          <w:sz w:val="32"/>
          <w:szCs w:val="32"/>
        </w:rPr>
        <w:t>。其中：</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万元，</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主要是</w:t>
      </w:r>
      <w:r>
        <w:rPr>
          <w:rFonts w:hint="eastAsia" w:ascii="Times New Roman" w:hAnsi="Times New Roman" w:eastAsia="仿宋_GB2312" w:cs="Times New Roman"/>
          <w:sz w:val="32"/>
          <w:szCs w:val="32"/>
          <w:highlight w:val="none"/>
          <w:lang w:eastAsia="zh-CN"/>
        </w:rPr>
        <w:t>车辆维修费、保险费、过料费、油料费等</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与上年相比增加</w:t>
      </w:r>
      <w:r>
        <w:rPr>
          <w:rFonts w:hint="eastAsia" w:ascii="Times New Roman" w:hAnsi="Times New Roman" w:eastAsia="仿宋_GB2312" w:cs="Times New Roman"/>
          <w:sz w:val="32"/>
          <w:szCs w:val="32"/>
          <w:highlight w:val="none"/>
          <w:lang w:val="en-US" w:eastAsia="zh-CN"/>
        </w:rPr>
        <w:t>0.5</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21.74</w:t>
      </w:r>
      <w:r>
        <w:rPr>
          <w:rFonts w:ascii="Times New Roman" w:hAnsi="Times New Roman" w:eastAsia="仿宋_GB2312" w:cs="Times New Roman"/>
          <w:sz w:val="32"/>
          <w:szCs w:val="32"/>
          <w:highlight w:val="none"/>
        </w:rPr>
        <w:t>%。决算数大于上年数的主要原因是</w:t>
      </w:r>
      <w:r>
        <w:rPr>
          <w:rFonts w:hint="eastAsia" w:ascii="Times New Roman" w:hAnsi="Times New Roman" w:eastAsia="仿宋_GB2312" w:cs="Times New Roman"/>
          <w:sz w:val="32"/>
          <w:szCs w:val="32"/>
          <w:highlight w:val="none"/>
          <w:lang w:eastAsia="zh-CN"/>
        </w:rPr>
        <w:t>本部门公务用车于</w:t>
      </w:r>
      <w:r>
        <w:rPr>
          <w:rFonts w:hint="eastAsia" w:ascii="Times New Roman" w:hAnsi="Times New Roman" w:eastAsia="仿宋_GB2312" w:cs="Times New Roman"/>
          <w:sz w:val="32"/>
          <w:szCs w:val="32"/>
          <w:highlight w:val="none"/>
          <w:lang w:val="en-US" w:eastAsia="zh-CN"/>
        </w:rPr>
        <w:t>2024年下半年到位，2025年全年使用，投入使用时间差异导致2025年</w:t>
      </w:r>
      <w:r>
        <w:rPr>
          <w:rFonts w:ascii="Times New Roman" w:hAnsi="Times New Roman" w:eastAsia="仿宋_GB2312" w:cs="Times New Roman"/>
          <w:sz w:val="32"/>
          <w:szCs w:val="32"/>
          <w:highlight w:val="none"/>
        </w:rPr>
        <w:t>公务用车运行维护费支出</w:t>
      </w:r>
      <w:r>
        <w:rPr>
          <w:rFonts w:hint="eastAsia" w:ascii="Times New Roman" w:hAnsi="Times New Roman" w:eastAsia="仿宋_GB2312" w:cs="Times New Roman"/>
          <w:sz w:val="32"/>
          <w:szCs w:val="32"/>
          <w:highlight w:val="none"/>
          <w:lang w:eastAsia="zh-CN"/>
        </w:rPr>
        <w:t>大于</w:t>
      </w:r>
      <w:r>
        <w:rPr>
          <w:rFonts w:hint="eastAsia" w:ascii="Times New Roman" w:hAnsi="Times New Roman" w:eastAsia="仿宋_GB2312" w:cs="Times New Roman"/>
          <w:sz w:val="32"/>
          <w:szCs w:val="32"/>
          <w:highlight w:val="none"/>
          <w:lang w:val="en-US" w:eastAsia="zh-CN"/>
        </w:rPr>
        <w:t>2024年。</w:t>
      </w:r>
      <w:r>
        <w:rPr>
          <w:rFonts w:ascii="Times New Roman" w:hAnsi="Times New Roman" w:eastAsia="仿宋_GB2312" w:cs="Times New Roman"/>
          <w:sz w:val="32"/>
          <w:szCs w:val="32"/>
          <w:highlight w:val="none"/>
        </w:rPr>
        <w:t>截止202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公务接待费支出预算为</w:t>
      </w:r>
      <w:r>
        <w:rPr>
          <w:rFonts w:hint="eastAsia" w:ascii="Times New Roman" w:hAnsi="Times New Roman" w:eastAsia="仿宋_GB2312" w:cs="Times New Roman"/>
          <w:sz w:val="32"/>
          <w:szCs w:val="32"/>
          <w:highlight w:val="none"/>
          <w:lang w:val="en-US" w:eastAsia="zh-CN"/>
        </w:rPr>
        <w:t>2.50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0.08</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3.20</w:t>
      </w:r>
      <w:r>
        <w:rPr>
          <w:rFonts w:ascii="Times New Roman" w:hAnsi="Times New Roman" w:eastAsia="仿宋_GB2312" w:cs="Times New Roman"/>
          <w:sz w:val="32"/>
          <w:szCs w:val="32"/>
          <w:highlight w:val="none"/>
        </w:rPr>
        <w:t>%；与上年相比</w:t>
      </w:r>
      <w:r>
        <w:rPr>
          <w:rFonts w:hint="eastAsia" w:ascii="Times New Roman" w:hAnsi="Times New Roman" w:eastAsia="仿宋_GB2312" w:cs="Times New Roman"/>
          <w:sz w:val="32"/>
          <w:szCs w:val="32"/>
          <w:highlight w:val="none"/>
          <w:lang w:eastAsia="zh-CN"/>
        </w:rPr>
        <w:t>减少</w:t>
      </w:r>
      <w:r>
        <w:rPr>
          <w:rFonts w:hint="eastAsia" w:ascii="Times New Roman" w:hAnsi="Times New Roman" w:eastAsia="仿宋_GB2312" w:cs="Times New Roman"/>
          <w:sz w:val="32"/>
          <w:szCs w:val="32"/>
          <w:highlight w:val="none"/>
          <w:lang w:val="en-US" w:eastAsia="zh-CN"/>
        </w:rPr>
        <w:t>0.97</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92.38</w:t>
      </w:r>
      <w:r>
        <w:rPr>
          <w:rFonts w:ascii="Times New Roman" w:hAnsi="Times New Roman" w:eastAsia="仿宋_GB2312" w:cs="Times New Roman"/>
          <w:sz w:val="32"/>
          <w:szCs w:val="32"/>
          <w:highlight w:val="none"/>
        </w:rPr>
        <w:t>%。决算数小于预算数的主要原因是</w:t>
      </w:r>
      <w:r>
        <w:rPr>
          <w:rFonts w:hint="eastAsia" w:ascii="Times New Roman" w:hAnsi="Times New Roman" w:eastAsia="仿宋_GB2312" w:cs="Times New Roman"/>
          <w:sz w:val="32"/>
          <w:szCs w:val="32"/>
          <w:highlight w:val="none"/>
          <w:lang w:eastAsia="zh-CN"/>
        </w:rPr>
        <w:t>厉行勤俭节约</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减少</w:t>
      </w:r>
      <w:r>
        <w:rPr>
          <w:rFonts w:ascii="Times New Roman" w:hAnsi="Times New Roman" w:eastAsia="仿宋_GB2312" w:cs="Times New Roman"/>
          <w:sz w:val="32"/>
          <w:szCs w:val="32"/>
          <w:highlight w:val="none"/>
        </w:rPr>
        <w:t>公务接待</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压缩</w:t>
      </w:r>
      <w:r>
        <w:rPr>
          <w:rFonts w:hint="eastAsia" w:ascii="Times New Roman" w:hAnsi="Times New Roman" w:eastAsia="仿宋_GB2312" w:cs="Times New Roman"/>
          <w:sz w:val="32"/>
          <w:szCs w:val="32"/>
          <w:highlight w:val="none"/>
          <w:lang w:val="en-US" w:eastAsia="zh-CN"/>
        </w:rPr>
        <w:t>经费</w:t>
      </w:r>
      <w:r>
        <w:rPr>
          <w:rFonts w:ascii="Times New Roman" w:hAnsi="Times New Roman" w:eastAsia="仿宋_GB2312" w:cs="Times New Roman"/>
          <w:sz w:val="32"/>
          <w:szCs w:val="32"/>
          <w:highlight w:val="none"/>
        </w:rPr>
        <w:t>开支。决算数小于上年数的主要原因是按照“三公”经费“只减不增”原则，从严控制“三公”经费预算。</w:t>
      </w: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人次，</w:t>
      </w:r>
      <w:r>
        <w:rPr>
          <w:rFonts w:hint="eastAsia" w:ascii="Times New Roman" w:hAnsi="Times New Roman" w:eastAsia="仿宋_GB2312" w:cs="Times New Roman"/>
          <w:sz w:val="32"/>
          <w:szCs w:val="32"/>
          <w:highlight w:val="none"/>
          <w:lang w:eastAsia="zh-CN"/>
        </w:rPr>
        <w:t>为</w:t>
      </w:r>
      <w:r>
        <w:rPr>
          <w:rFonts w:ascii="Times New Roman" w:hAnsi="Times New Roman" w:eastAsia="仿宋_GB2312" w:cs="Times New Roman"/>
          <w:sz w:val="32"/>
          <w:szCs w:val="32"/>
          <w:highlight w:val="none"/>
        </w:rPr>
        <w:t>县市区汇报学习经办业务</w:t>
      </w:r>
      <w:r>
        <w:rPr>
          <w:rFonts w:hint="eastAsia" w:ascii="Times New Roman" w:hAnsi="Times New Roman" w:eastAsia="仿宋_GB2312" w:cs="Times New Roman"/>
          <w:sz w:val="32"/>
          <w:szCs w:val="32"/>
          <w:highlight w:val="none"/>
          <w:lang w:eastAsia="zh-CN"/>
        </w:rPr>
        <w:t>以及与创智公司沟通人社一体化平台运行</w:t>
      </w:r>
      <w:r>
        <w:rPr>
          <w:rFonts w:ascii="Times New Roman" w:hAnsi="Times New Roman" w:eastAsia="仿宋_GB2312" w:cs="Times New Roman"/>
          <w:sz w:val="32"/>
          <w:szCs w:val="32"/>
          <w:highlight w:val="none"/>
        </w:rPr>
        <w:t>发生的接待支出。</w:t>
      </w:r>
    </w:p>
    <w:p>
      <w:pPr>
        <w:pStyle w:val="13"/>
        <w:keepNext w:val="0"/>
        <w:keepLines w:val="0"/>
        <w:pageBreakBefore w:val="0"/>
        <w:numPr>
          <w:ilvl w:val="0"/>
          <w:numId w:val="0"/>
        </w:numPr>
        <w:kinsoku/>
        <w:wordWrap/>
        <w:overflowPunct w:val="0"/>
        <w:topLinePunct w:val="0"/>
        <w:autoSpaceDE/>
        <w:autoSpaceDN/>
        <w:bidi w:val="0"/>
        <w:spacing w:line="600" w:lineRule="exact"/>
        <w:ind w:left="640" w:leftChars="0"/>
        <w:jc w:val="both"/>
        <w:textAlignment w:val="auto"/>
        <w:rPr>
          <w:rFonts w:ascii="Times New Roman" w:hAnsi="Times New Roman" w:cs="Times New Roman"/>
          <w:bCs/>
          <w:sz w:val="32"/>
          <w:szCs w:val="32"/>
          <w:highlight w:val="none"/>
        </w:rPr>
      </w:pPr>
      <w:r>
        <w:rPr>
          <w:rFonts w:ascii="Times New Roman" w:hAnsi="Times New Roman" w:cs="Times New Roman"/>
          <w:bCs/>
          <w:sz w:val="32"/>
          <w:szCs w:val="32"/>
          <w:highlight w:val="none"/>
        </w:rPr>
        <w:t>八、政府性基金预算收入支出决算情况</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sz w:val="32"/>
          <w:szCs w:val="32"/>
          <w:highlight w:val="none"/>
        </w:rPr>
      </w:pPr>
      <w:r>
        <w:rPr>
          <w:rFonts w:hint="default" w:ascii="Times New Roman" w:hAnsi="Times New Roman" w:eastAsia="仿宋_GB2312" w:cs="Times New Roman"/>
          <w:i w:val="0"/>
          <w:iCs w:val="0"/>
          <w:caps w:val="0"/>
          <w:color w:val="000000"/>
          <w:spacing w:val="0"/>
          <w:sz w:val="32"/>
          <w:szCs w:val="32"/>
          <w:highlight w:val="none"/>
          <w:shd w:val="clear" w:fill="FFFFFF"/>
        </w:rPr>
        <w:t>202</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5</w:t>
      </w:r>
      <w:r>
        <w:rPr>
          <w:rFonts w:hint="default" w:ascii="仿宋_GB2312" w:hAnsi="宋体" w:eastAsia="仿宋_GB2312" w:cs="仿宋_GB2312"/>
          <w:i w:val="0"/>
          <w:iCs w:val="0"/>
          <w:caps w:val="0"/>
          <w:color w:val="000000"/>
          <w:spacing w:val="0"/>
          <w:sz w:val="32"/>
          <w:szCs w:val="32"/>
          <w:highlight w:val="none"/>
          <w:shd w:val="clear" w:fill="FFFFFF"/>
        </w:rPr>
        <w:t>年度我</w:t>
      </w:r>
      <w:r>
        <w:rPr>
          <w:rFonts w:hint="eastAsia" w:ascii="仿宋_GB2312" w:hAnsi="宋体" w:eastAsia="仿宋_GB2312" w:cs="仿宋_GB2312"/>
          <w:i w:val="0"/>
          <w:iCs w:val="0"/>
          <w:caps w:val="0"/>
          <w:color w:val="000000"/>
          <w:spacing w:val="0"/>
          <w:sz w:val="32"/>
          <w:szCs w:val="32"/>
          <w:highlight w:val="none"/>
          <w:shd w:val="clear" w:fill="FFFFFF"/>
          <w:lang w:val="en-US" w:eastAsia="zh-CN"/>
        </w:rPr>
        <w:t>部门</w:t>
      </w:r>
      <w:r>
        <w:rPr>
          <w:rFonts w:hint="default" w:ascii="仿宋_GB2312" w:hAnsi="宋体" w:eastAsia="仿宋_GB2312" w:cs="仿宋_GB2312"/>
          <w:i w:val="0"/>
          <w:iCs w:val="0"/>
          <w:caps w:val="0"/>
          <w:color w:val="000000"/>
          <w:spacing w:val="0"/>
          <w:sz w:val="32"/>
          <w:szCs w:val="32"/>
          <w:highlight w:val="none"/>
          <w:shd w:val="clear" w:fill="FFFFFF"/>
        </w:rPr>
        <w:t>无政府性基金预算财政拨款收入。</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highlight w:val="none"/>
        </w:rPr>
      </w:pPr>
      <w:r>
        <w:rPr>
          <w:rFonts w:ascii="Times New Roman" w:hAnsi="Times New Roman" w:cs="Times New Roman"/>
          <w:bCs/>
          <w:sz w:val="32"/>
          <w:szCs w:val="32"/>
          <w:highlight w:val="none"/>
        </w:rPr>
        <w:t>九、关于机关运行经费支出说明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年度机关运行经费支出</w:t>
      </w:r>
      <w:r>
        <w:rPr>
          <w:rFonts w:hint="eastAsia" w:ascii="Times New Roman" w:hAnsi="Times New Roman" w:eastAsia="仿宋_GB2312" w:cs="Times New Roman"/>
          <w:sz w:val="32"/>
          <w:szCs w:val="32"/>
          <w:highlight w:val="none"/>
          <w:lang w:val="en-US" w:eastAsia="zh-CN"/>
        </w:rPr>
        <w:t>89.75</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比上年决算数减少</w:t>
      </w:r>
      <w:r>
        <w:rPr>
          <w:rFonts w:hint="eastAsia" w:ascii="Times New Roman" w:hAnsi="Times New Roman" w:eastAsia="仿宋_GB2312" w:cs="Times New Roman"/>
          <w:sz w:val="32"/>
          <w:szCs w:val="32"/>
          <w:highlight w:val="none"/>
          <w:lang w:val="en-US" w:eastAsia="zh-CN"/>
        </w:rPr>
        <w:t>10.02</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10.04</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rPr>
        <w:t>落实过紧日子要求压减支出</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机关运行经费支出</w:t>
      </w:r>
      <w:r>
        <w:rPr>
          <w:rFonts w:hint="eastAsia" w:ascii="Times New Roman" w:hAnsi="Times New Roman" w:eastAsia="仿宋_GB2312" w:cs="Times New Roman"/>
          <w:sz w:val="32"/>
          <w:szCs w:val="32"/>
          <w:highlight w:val="none"/>
          <w:lang w:eastAsia="zh-CN"/>
        </w:rPr>
        <w:t>减少。</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highlight w:val="none"/>
        </w:rPr>
      </w:pPr>
      <w:r>
        <w:rPr>
          <w:rFonts w:ascii="Times New Roman" w:hAnsi="Times New Roman" w:cs="Times New Roman"/>
          <w:bCs/>
          <w:sz w:val="32"/>
          <w:szCs w:val="32"/>
          <w:highlight w:val="none"/>
        </w:rPr>
        <w:t>十、一般性支出情况说明</w:t>
      </w:r>
    </w:p>
    <w:p>
      <w:pPr>
        <w:pStyle w:val="13"/>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0.055</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rPr>
        <w:t>用于</w:t>
      </w:r>
      <w:r>
        <w:rPr>
          <w:rFonts w:hint="eastAsia" w:ascii="Times New Roman" w:hAnsi="Times New Roman" w:eastAsia="仿宋_GB2312" w:cs="Times New Roman"/>
          <w:sz w:val="32"/>
          <w:szCs w:val="32"/>
          <w:highlight w:val="none"/>
          <w:lang w:eastAsia="zh-CN"/>
        </w:rPr>
        <w:t>召开关于开展参保缴费人员基础信息数据治理工作视频培训</w:t>
      </w:r>
      <w:r>
        <w:rPr>
          <w:rFonts w:hint="eastAsia"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30</w:t>
      </w:r>
      <w:r>
        <w:rPr>
          <w:rFonts w:hint="eastAsia" w:ascii="Times New Roman" w:hAnsi="Times New Roman" w:eastAsia="仿宋_GB2312" w:cs="Times New Roman"/>
          <w:sz w:val="32"/>
          <w:szCs w:val="32"/>
          <w:highlight w:val="none"/>
        </w:rPr>
        <w:t>余人</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sz w:val="32"/>
          <w:szCs w:val="32"/>
          <w:highlight w:val="none"/>
        </w:rPr>
      </w:pPr>
      <w:r>
        <w:rPr>
          <w:rFonts w:ascii="Times New Roman" w:hAnsi="Times New Roman" w:cs="Times New Roman"/>
          <w:bCs/>
          <w:sz w:val="32"/>
          <w:szCs w:val="32"/>
          <w:highlight w:val="none"/>
        </w:rPr>
        <w:t>十一、关于政府采购支出说明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color w:val="auto"/>
          <w:sz w:val="32"/>
          <w:szCs w:val="32"/>
          <w:highlight w:val="yellow"/>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pPr>
        <w:pStyle w:val="13"/>
        <w:keepNext w:val="0"/>
        <w:keepLines w:val="0"/>
        <w:pageBreakBefore w:val="0"/>
        <w:kinsoku/>
        <w:wordWrap/>
        <w:overflowPunct w:val="0"/>
        <w:topLinePunct w:val="0"/>
        <w:autoSpaceDE/>
        <w:autoSpaceDN/>
        <w:bidi w:val="0"/>
        <w:spacing w:line="600" w:lineRule="exact"/>
        <w:ind w:left="0"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keepNext w:val="0"/>
        <w:keepLines w:val="0"/>
        <w:pageBreakBefore w:val="0"/>
        <w:kinsoku/>
        <w:wordWrap/>
        <w:overflowPunct w:val="0"/>
        <w:topLinePunct w:val="0"/>
        <w:bidi w:val="0"/>
        <w:spacing w:line="600" w:lineRule="exact"/>
        <w:ind w:left="0" w:firstLine="640" w:firstLineChars="200"/>
        <w:textAlignment w:val="auto"/>
        <w:rPr>
          <w:rFonts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auto"/>
          <w:kern w:val="0"/>
          <w:sz w:val="32"/>
          <w:szCs w:val="32"/>
          <w:lang w:val="en-US" w:eastAsia="zh-CN" w:bidi="ar-SA"/>
        </w:rPr>
        <w:t>（一）绩效评价工作开展情况。一是绩效自评开展情况。组织对202</w:t>
      </w:r>
      <w:r>
        <w:rPr>
          <w:rFonts w:hint="eastAsia" w:ascii="Times New Roman" w:hAnsi="Times New Roman" w:eastAsia="仿宋_GB2312" w:cs="Times New Roman"/>
          <w:color w:val="auto"/>
          <w:kern w:val="0"/>
          <w:sz w:val="32"/>
          <w:szCs w:val="32"/>
          <w:lang w:val="en-US" w:eastAsia="zh-CN" w:bidi="ar-SA"/>
        </w:rPr>
        <w:t>5</w:t>
      </w:r>
      <w:r>
        <w:rPr>
          <w:rFonts w:ascii="Times New Roman" w:hAnsi="Times New Roman" w:eastAsia="仿宋_GB2312" w:cs="Times New Roman"/>
          <w:color w:val="auto"/>
          <w:kern w:val="0"/>
          <w:sz w:val="32"/>
          <w:szCs w:val="32"/>
          <w:lang w:val="en-US" w:eastAsia="zh-CN" w:bidi="ar-SA"/>
        </w:rPr>
        <w:t>年度本部门（单位）整体支出开展绩效自评，涉及项目</w:t>
      </w:r>
      <w:r>
        <w:rPr>
          <w:rFonts w:hint="eastAsia" w:ascii="Times New Roman" w:hAnsi="Times New Roman" w:eastAsia="仿宋_GB2312" w:cs="Times New Roman"/>
          <w:color w:val="auto"/>
          <w:kern w:val="0"/>
          <w:sz w:val="32"/>
          <w:szCs w:val="32"/>
          <w:lang w:val="en-US" w:eastAsia="zh-CN" w:bidi="ar-SA"/>
        </w:rPr>
        <w:t>6</w:t>
      </w:r>
      <w:r>
        <w:rPr>
          <w:rFonts w:ascii="Times New Roman" w:hAnsi="Times New Roman" w:eastAsia="仿宋_GB2312" w:cs="Times New Roman"/>
          <w:color w:val="auto"/>
          <w:kern w:val="0"/>
          <w:sz w:val="32"/>
          <w:szCs w:val="32"/>
          <w:lang w:val="en-US" w:eastAsia="zh-CN" w:bidi="ar-SA"/>
        </w:rPr>
        <w:t>个，共涉及资金</w:t>
      </w:r>
      <w:r>
        <w:rPr>
          <w:rFonts w:hint="eastAsia" w:ascii="Times New Roman" w:hAnsi="Times New Roman" w:eastAsia="仿宋_GB2312" w:cs="Times New Roman"/>
          <w:color w:val="auto"/>
          <w:kern w:val="0"/>
          <w:sz w:val="32"/>
          <w:szCs w:val="32"/>
          <w:lang w:val="en-US" w:eastAsia="zh-CN" w:bidi="ar-SA"/>
        </w:rPr>
        <w:t>144.41</w:t>
      </w:r>
      <w:r>
        <w:rPr>
          <w:rFonts w:ascii="Times New Roman" w:hAnsi="Times New Roman" w:eastAsia="仿宋_GB2312" w:cs="Times New Roman"/>
          <w:color w:val="auto"/>
          <w:kern w:val="0"/>
          <w:sz w:val="32"/>
          <w:szCs w:val="32"/>
          <w:lang w:val="en-US" w:eastAsia="zh-CN" w:bidi="ar-SA"/>
        </w:rPr>
        <w:t>万元。其中，一般公共预算项目</w:t>
      </w:r>
      <w:r>
        <w:rPr>
          <w:rFonts w:hint="eastAsia" w:ascii="Times New Roman" w:hAnsi="Times New Roman" w:eastAsia="仿宋_GB2312" w:cs="Times New Roman"/>
          <w:color w:val="auto"/>
          <w:kern w:val="0"/>
          <w:sz w:val="32"/>
          <w:szCs w:val="32"/>
          <w:lang w:val="en-US" w:eastAsia="zh-CN" w:bidi="ar-SA"/>
        </w:rPr>
        <w:t>6</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144.41</w:t>
      </w:r>
      <w:r>
        <w:rPr>
          <w:rFonts w:ascii="Times New Roman" w:hAnsi="Times New Roman" w:eastAsia="仿宋_GB2312" w:cs="Times New Roman"/>
          <w:color w:val="auto"/>
          <w:kern w:val="0"/>
          <w:sz w:val="32"/>
          <w:szCs w:val="32"/>
          <w:lang w:val="en-US" w:eastAsia="zh-CN" w:bidi="ar-SA"/>
        </w:rPr>
        <w:t>万元，占一般公共预算支出总额的</w:t>
      </w:r>
      <w:r>
        <w:rPr>
          <w:rFonts w:hint="eastAsia" w:ascii="Times New Roman" w:hAnsi="Times New Roman" w:eastAsia="仿宋_GB2312" w:cs="Times New Roman"/>
          <w:color w:val="auto"/>
          <w:kern w:val="0"/>
          <w:sz w:val="32"/>
          <w:szCs w:val="32"/>
          <w:lang w:val="en-US" w:eastAsia="zh-CN" w:bidi="ar-SA"/>
        </w:rPr>
        <w:t>14.37</w:t>
      </w:r>
      <w:r>
        <w:rPr>
          <w:rFonts w:ascii="Times New Roman" w:hAnsi="Times New Roman" w:eastAsia="仿宋_GB2312" w:cs="Times New Roman"/>
          <w:color w:val="auto"/>
          <w:kern w:val="0"/>
          <w:sz w:val="32"/>
          <w:szCs w:val="32"/>
          <w:lang w:val="en-US" w:eastAsia="zh-CN" w:bidi="ar-SA"/>
        </w:rPr>
        <w:t>%；政府性基金预算项目</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万元，占政府性基金预算支出总额的</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%；国有资本经营预算项目</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万元，占国有资本经营预算支出总额的</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%；社会保险基金预算项目</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万元</w:t>
      </w:r>
      <w:r>
        <w:rPr>
          <w:rFonts w:hint="eastAsia" w:ascii="Times New Roman" w:hAnsi="Times New Roman" w:eastAsia="仿宋_GB2312" w:cs="Times New Roman"/>
          <w:color w:val="auto"/>
          <w:kern w:val="0"/>
          <w:sz w:val="32"/>
          <w:szCs w:val="32"/>
          <w:lang w:val="en-US" w:eastAsia="zh-CN" w:bidi="ar-SA"/>
        </w:rPr>
        <w:t>，</w:t>
      </w:r>
      <w:r>
        <w:rPr>
          <w:rFonts w:ascii="Times New Roman" w:hAnsi="Times New Roman" w:eastAsia="仿宋_GB2312" w:cs="Times New Roman"/>
          <w:color w:val="auto"/>
          <w:kern w:val="0"/>
          <w:sz w:val="32"/>
          <w:szCs w:val="32"/>
          <w:lang w:val="en-US" w:eastAsia="zh-CN" w:bidi="ar-SA"/>
        </w:rPr>
        <w:t>占社会保险基金预算支出总额的</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w:t>
      </w:r>
    </w:p>
    <w:p>
      <w:pPr>
        <w:keepNext w:val="0"/>
        <w:keepLines w:val="0"/>
        <w:pageBreakBefore w:val="0"/>
        <w:kinsoku/>
        <w:wordWrap/>
        <w:topLinePunct w:val="0"/>
        <w:bidi w:val="0"/>
        <w:spacing w:line="600" w:lineRule="exact"/>
        <w:ind w:left="0" w:firstLine="640" w:firstLineChars="200"/>
        <w:textAlignment w:val="auto"/>
        <w:rPr>
          <w:rFonts w:hint="default" w:ascii="Times New Roman" w:hAnsi="Times New Roman" w:eastAsia="仿宋_GB2312" w:cs="Times New Roman"/>
          <w:sz w:val="32"/>
          <w:szCs w:val="32"/>
          <w:lang w:val="en"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1023.15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98.23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97.82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紧扣“完善覆盖全民、统筹城乡、公平统一、可持续的多层次社会保障体系”目标，以党建为引领，以安全为底线，以服务为抓手，以创新为动力，</w:t>
      </w:r>
      <w:bookmarkStart w:id="0" w:name="OLE_LINK1"/>
      <w:r>
        <w:rPr>
          <w:rFonts w:hint="eastAsia" w:ascii="Times New Roman" w:hAnsi="Times New Roman" w:eastAsia="仿宋_GB2312" w:cs="Times New Roman"/>
          <w:sz w:val="32"/>
          <w:szCs w:val="32"/>
          <w:lang w:val="en-US" w:eastAsia="zh-CN"/>
        </w:rPr>
        <w:t>确保基金平稳运行</w:t>
      </w:r>
      <w:r>
        <w:rPr>
          <w:rFonts w:hint="default" w:ascii="Times New Roman" w:hAnsi="Times New Roman" w:eastAsia="仿宋_GB2312" w:cs="Times New Roman"/>
          <w:sz w:val="32"/>
          <w:szCs w:val="32"/>
          <w:lang w:val="en" w:eastAsia="zh-CN"/>
        </w:rPr>
        <w:t>,</w:t>
      </w:r>
      <w:r>
        <w:rPr>
          <w:rFonts w:hint="eastAsia" w:ascii="Times New Roman" w:hAnsi="Times New Roman" w:eastAsia="仿宋_GB2312" w:cs="Times New Roman"/>
          <w:sz w:val="32"/>
          <w:szCs w:val="32"/>
          <w:lang w:val="en-US" w:eastAsia="zh-CN"/>
        </w:rPr>
        <w:t>各项社保基金收支有序，不断提升</w:t>
      </w:r>
      <w:r>
        <w:rPr>
          <w:rFonts w:hint="default" w:ascii="Times New Roman" w:hAnsi="Times New Roman" w:eastAsia="仿宋_GB2312" w:cs="Times New Roman"/>
          <w:sz w:val="32"/>
          <w:szCs w:val="32"/>
          <w:lang w:val="en-US" w:eastAsia="zh-CN"/>
        </w:rPr>
        <w:t>经办工作质效</w:t>
      </w:r>
      <w:r>
        <w:rPr>
          <w:rFonts w:hint="eastAsia" w:ascii="Times New Roman" w:hAnsi="Times New Roman" w:eastAsia="仿宋_GB2312" w:cs="Times New Roman"/>
          <w:sz w:val="32"/>
          <w:szCs w:val="32"/>
          <w:lang w:val="en-US" w:eastAsia="zh-CN"/>
        </w:rPr>
        <w:t>。</w:t>
      </w:r>
      <w:bookmarkEnd w:id="0"/>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Autospacing="0" w:afterAutospacing="0" w:line="600" w:lineRule="exact"/>
        <w:ind w:left="0" w:right="0"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lang w:eastAsia="zh-CN"/>
        </w:rPr>
        <w:t>：一是</w:t>
      </w:r>
      <w:r>
        <w:rPr>
          <w:rFonts w:hint="eastAsia" w:ascii="Times New Roman" w:hAnsi="Times New Roman" w:eastAsia="仿宋_GB2312" w:cs="Times New Roman"/>
          <w:sz w:val="32"/>
          <w:szCs w:val="32"/>
          <w:highlight w:val="none"/>
          <w:lang w:val="en-US" w:eastAsia="zh-CN"/>
        </w:rPr>
        <w:t>年初预算安排与部分工作任务不匹配，</w:t>
      </w:r>
      <w:r>
        <w:rPr>
          <w:rFonts w:hint="default" w:ascii="Times New Roman" w:hAnsi="Times New Roman" w:eastAsia="仿宋_GB2312" w:cs="Times New Roman"/>
          <w:sz w:val="32"/>
          <w:szCs w:val="32"/>
          <w:highlight w:val="none"/>
        </w:rPr>
        <w:t>经费保障存在缺口</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在编制年初预算时，部分工作</w:t>
      </w:r>
      <w:r>
        <w:rPr>
          <w:rFonts w:hint="default" w:ascii="Times New Roman" w:hAnsi="Times New Roman" w:eastAsia="仿宋_GB2312" w:cs="Times New Roman"/>
          <w:sz w:val="32"/>
          <w:szCs w:val="32"/>
        </w:rPr>
        <w:t>任务尚处于谋划或启动阶段，对工作量的预估不够充分，导致预算安排与实际执行需求之间出现偏差。</w:t>
      </w:r>
      <w:r>
        <w:rPr>
          <w:rFonts w:hint="eastAsia" w:ascii="Times New Roman" w:hAnsi="Times New Roman" w:eastAsia="仿宋_GB2312" w:cs="Times New Roman"/>
          <w:sz w:val="32"/>
          <w:szCs w:val="32"/>
          <w:lang w:val="en-US" w:eastAsia="zh-CN"/>
        </w:rPr>
        <w:t>二是部分项目</w:t>
      </w:r>
      <w:r>
        <w:rPr>
          <w:rFonts w:hint="default" w:ascii="Times New Roman" w:hAnsi="Times New Roman" w:eastAsia="仿宋_GB2312" w:cs="Times New Roman"/>
          <w:sz w:val="32"/>
          <w:szCs w:val="32"/>
        </w:rPr>
        <w:t>在绩效评估过程中，</w:t>
      </w:r>
      <w:r>
        <w:rPr>
          <w:rFonts w:hint="eastAsia" w:ascii="Times New Roman" w:hAnsi="Times New Roman" w:eastAsia="仿宋_GB2312" w:cs="Times New Roman"/>
          <w:sz w:val="32"/>
          <w:szCs w:val="32"/>
          <w:lang w:val="en-US" w:eastAsia="zh-CN"/>
        </w:rPr>
        <w:t>仅依据财务支出数据进行</w:t>
      </w:r>
      <w:r>
        <w:rPr>
          <w:rFonts w:hint="default" w:ascii="Times New Roman" w:hAnsi="Times New Roman" w:eastAsia="仿宋_GB2312" w:cs="Times New Roman"/>
          <w:sz w:val="32"/>
          <w:szCs w:val="32"/>
        </w:rPr>
        <w:t>衡量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对项目实施过程中的社会效益、服务对象满意度、政策落地效果等非财务指标关注不够</w:t>
      </w:r>
      <w:r>
        <w:rPr>
          <w:rFonts w:hint="eastAsia" w:ascii="Times New Roman" w:hAnsi="Times New Roman" w:eastAsia="仿宋_GB2312" w:cs="Times New Roman"/>
          <w:sz w:val="32"/>
          <w:szCs w:val="32"/>
          <w:lang w:val="en-US" w:eastAsia="zh-CN"/>
        </w:rPr>
        <w:t>。</w:t>
      </w:r>
    </w:p>
    <w:p>
      <w:pPr>
        <w:pStyle w:val="8"/>
        <w:keepNext w:val="0"/>
        <w:keepLines w:val="0"/>
        <w:pageBreakBefore w:val="0"/>
        <w:widowControl/>
        <w:suppressLineNumbers w:val="0"/>
        <w:shd w:val="clear" w:fill="FFFFFF"/>
        <w:kinsoku/>
        <w:wordWrap/>
        <w:topLinePunct w:val="0"/>
        <w:bidi w:val="0"/>
        <w:spacing w:beforeAutospacing="0" w:afterAutospacing="0" w:line="600" w:lineRule="exact"/>
        <w:ind w:left="0" w:right="0"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highlight w:val="none"/>
          <w:lang w:val="en-US" w:eastAsia="zh-CN" w:bidi="ar-SA"/>
        </w:rPr>
        <w:t>下一步改进措施：一是</w:t>
      </w:r>
      <w:r>
        <w:rPr>
          <w:rFonts w:hint="default" w:ascii="Times New Roman" w:hAnsi="Times New Roman" w:eastAsia="仿宋_GB2312" w:cs="Times New Roman"/>
          <w:kern w:val="2"/>
          <w:sz w:val="32"/>
          <w:szCs w:val="32"/>
          <w:highlight w:val="none"/>
          <w:lang w:val="en-US" w:eastAsia="zh-CN" w:bidi="ar-SA"/>
        </w:rPr>
        <w:t>进一步加强预算编制前的调研和测算工作，紧密结合年度重点工作任务、政策调整情况以及以往年度执行实际，合理预测资金需求，提高预算安排的前瞻性和精准性</w:t>
      </w:r>
      <w:r>
        <w:rPr>
          <w:rFonts w:hint="eastAsia" w:ascii="Times New Roman" w:hAnsi="Times New Roman" w:eastAsia="仿宋_GB2312" w:cs="Times New Roman"/>
          <w:kern w:val="2"/>
          <w:sz w:val="32"/>
          <w:szCs w:val="32"/>
          <w:highlight w:val="none"/>
          <w:lang w:val="en-US" w:eastAsia="zh-CN" w:bidi="ar-SA"/>
        </w:rPr>
        <w:t>；二是</w:t>
      </w:r>
      <w:r>
        <w:rPr>
          <w:rFonts w:hint="default" w:ascii="Times New Roman" w:hAnsi="Times New Roman" w:eastAsia="仿宋_GB2312" w:cs="Times New Roman"/>
          <w:kern w:val="2"/>
          <w:sz w:val="32"/>
          <w:szCs w:val="32"/>
          <w:highlight w:val="none"/>
          <w:lang w:val="en-US" w:eastAsia="zh-CN" w:bidi="ar-SA"/>
        </w:rPr>
        <w:t>加强预算执行动态监控</w:t>
      </w:r>
      <w:r>
        <w:rPr>
          <w:rFonts w:hint="eastAsia" w:ascii="Times New Roman" w:hAnsi="Times New Roman" w:eastAsia="仿宋_GB2312" w:cs="Times New Roman"/>
          <w:kern w:val="2"/>
          <w:sz w:val="32"/>
          <w:szCs w:val="32"/>
          <w:highlight w:val="none"/>
          <w:lang w:val="en-US" w:eastAsia="zh-CN" w:bidi="ar-SA"/>
        </w:rPr>
        <w:t>和</w:t>
      </w:r>
      <w:r>
        <w:rPr>
          <w:rFonts w:hint="default" w:ascii="Times New Roman" w:hAnsi="Times New Roman" w:eastAsia="仿宋_GB2312" w:cs="Times New Roman"/>
          <w:kern w:val="2"/>
          <w:sz w:val="32"/>
          <w:szCs w:val="32"/>
          <w:highlight w:val="none"/>
          <w:lang w:val="en-US" w:eastAsia="zh-CN" w:bidi="ar-SA"/>
        </w:rPr>
        <w:t>资金调度管理，保障单位日常运转和专项工作有序推进</w:t>
      </w:r>
      <w:r>
        <w:rPr>
          <w:rFonts w:hint="eastAsia" w:ascii="Times New Roman" w:hAnsi="Times New Roman" w:eastAsia="仿宋_GB2312" w:cs="Times New Roman"/>
          <w:kern w:val="2"/>
          <w:sz w:val="32"/>
          <w:szCs w:val="32"/>
          <w:highlight w:val="none"/>
          <w:lang w:val="en-US" w:eastAsia="zh-CN" w:bidi="ar-SA"/>
        </w:rPr>
        <w:t>；三是</w:t>
      </w:r>
      <w:r>
        <w:rPr>
          <w:rFonts w:hint="default" w:ascii="Times New Roman" w:hAnsi="Times New Roman" w:eastAsia="仿宋_GB2312" w:cs="Times New Roman"/>
          <w:kern w:val="2"/>
          <w:sz w:val="32"/>
          <w:szCs w:val="32"/>
          <w:highlight w:val="none"/>
          <w:lang w:val="en-US" w:eastAsia="zh-CN" w:bidi="ar-SA"/>
        </w:rPr>
        <w:t>在现有财务数据分析基础上，进一步丰富绩效评估方式，综合运用问卷调查、实地走访、座谈交流、服务对象满意度测评等方法，广泛收集社会效益、政策实施效果、群众满意度等非财务</w:t>
      </w:r>
      <w:r>
        <w:rPr>
          <w:rFonts w:hint="default" w:ascii="Times New Roman" w:hAnsi="Times New Roman" w:eastAsia="仿宋_GB2312" w:cs="Times New Roman"/>
          <w:kern w:val="2"/>
          <w:sz w:val="32"/>
          <w:szCs w:val="32"/>
          <w:lang w:val="en-US" w:eastAsia="zh-CN" w:bidi="ar-SA"/>
        </w:rPr>
        <w:t>指标数据。通过定量与定性相结合、财务指标与非财务指标相补充的方式，更加全面、客观地反映项目实际效果，为后续预算安排和项目管理提供更有力的参考依据。</w:t>
      </w:r>
    </w:p>
    <w:p>
      <w:pPr>
        <w:pStyle w:val="13"/>
        <w:keepNext w:val="0"/>
        <w:keepLines w:val="0"/>
        <w:pageBreakBefore w:val="0"/>
        <w:numPr>
          <w:ilvl w:val="0"/>
          <w:numId w:val="3"/>
        </w:numPr>
        <w:kinsoku/>
        <w:wordWrap/>
        <w:overflowPunct w:val="0"/>
        <w:topLinePunct w:val="0"/>
        <w:autoSpaceDE/>
        <w:autoSpaceDN/>
        <w:bidi w:val="0"/>
        <w:spacing w:line="600" w:lineRule="exact"/>
        <w:ind w:left="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评价结果应用情况。</w:t>
      </w:r>
    </w:p>
    <w:p>
      <w:pPr>
        <w:pStyle w:val="8"/>
        <w:keepNext w:val="0"/>
        <w:keepLines w:val="0"/>
        <w:pageBreakBefore w:val="0"/>
        <w:widowControl/>
        <w:suppressLineNumbers w:val="0"/>
        <w:shd w:val="clear" w:fill="FFFFFF"/>
        <w:kinsoku/>
        <w:wordWrap/>
        <w:topLinePunct w:val="0"/>
        <w:bidi w:val="0"/>
        <w:spacing w:beforeAutospacing="0" w:afterAutospacing="0" w:line="600" w:lineRule="exact"/>
        <w:ind w:left="0" w:right="0"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1.绩效目标：</w:t>
      </w:r>
    </w:p>
    <w:p>
      <w:pPr>
        <w:pStyle w:val="8"/>
        <w:keepNext w:val="0"/>
        <w:keepLines w:val="0"/>
        <w:pageBreakBefore w:val="0"/>
        <w:widowControl/>
        <w:suppressLineNumbers w:val="0"/>
        <w:shd w:val="clear" w:fill="FFFFFF"/>
        <w:kinsoku/>
        <w:wordWrap/>
        <w:topLinePunct w:val="0"/>
        <w:bidi w:val="0"/>
        <w:spacing w:beforeAutospacing="0" w:afterAutospacing="0" w:line="600" w:lineRule="exact"/>
        <w:ind w:left="0" w:right="0"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围绕养老和工伤保险经办服务职责，统筹使用部门预算安排的各项经费，保障扩面征缴、风险防控、经办服务、</w:t>
      </w:r>
      <w:bookmarkStart w:id="1" w:name="_GoBack"/>
      <w:bookmarkEnd w:id="1"/>
      <w:r>
        <w:rPr>
          <w:rFonts w:hint="default" w:ascii="Times New Roman" w:hAnsi="Times New Roman" w:eastAsia="仿宋_GB2312" w:cs="Times New Roman"/>
          <w:kern w:val="2"/>
          <w:sz w:val="32"/>
          <w:szCs w:val="32"/>
          <w:lang w:val="en-US" w:eastAsia="zh-CN" w:bidi="ar-SA"/>
        </w:rPr>
        <w:t>信息化建设等重点工作有序开展。通过合理配置人员经费、公用经费和项目经费，提升预算执行效率和资金使用效益，推动实现应保尽保、基金安全、服务便捷、群众满意，为养老和工伤保险事业高质量发展提供坚实经费保障</w:t>
      </w:r>
      <w:r>
        <w:rPr>
          <w:rFonts w:hint="eastAsia"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sz w:val="32"/>
          <w:szCs w:val="32"/>
          <w:lang w:val="en-US" w:eastAsia="zh-CN"/>
        </w:rPr>
        <w:t>确保基金平稳运行</w:t>
      </w:r>
      <w:r>
        <w:rPr>
          <w:rFonts w:hint="default" w:ascii="Times New Roman" w:hAnsi="Times New Roman" w:eastAsia="仿宋_GB2312" w:cs="Times New Roman"/>
          <w:sz w:val="32"/>
          <w:szCs w:val="32"/>
          <w:lang w:val="en" w:eastAsia="zh-CN"/>
        </w:rPr>
        <w:t>,</w:t>
      </w:r>
      <w:r>
        <w:rPr>
          <w:rFonts w:hint="eastAsia" w:ascii="Times New Roman" w:hAnsi="Times New Roman" w:eastAsia="仿宋_GB2312" w:cs="Times New Roman"/>
          <w:sz w:val="32"/>
          <w:szCs w:val="32"/>
          <w:lang w:val="en-US" w:eastAsia="zh-CN"/>
        </w:rPr>
        <w:t>各项社保基金收支有序，不断提升</w:t>
      </w:r>
      <w:r>
        <w:rPr>
          <w:rFonts w:hint="default" w:ascii="Times New Roman" w:hAnsi="Times New Roman" w:eastAsia="仿宋_GB2312" w:cs="Times New Roman"/>
          <w:sz w:val="32"/>
          <w:szCs w:val="32"/>
          <w:lang w:val="en-US" w:eastAsia="zh-CN"/>
        </w:rPr>
        <w:t>经办工作质效</w:t>
      </w:r>
      <w:r>
        <w:rPr>
          <w:rFonts w:hint="eastAsia" w:ascii="Times New Roman" w:hAnsi="Times New Roman" w:eastAsia="仿宋_GB2312" w:cs="Times New Roman"/>
          <w:sz w:val="32"/>
          <w:szCs w:val="32"/>
          <w:lang w:val="en-US" w:eastAsia="zh-CN"/>
        </w:rPr>
        <w:t>。</w:t>
      </w:r>
    </w:p>
    <w:p>
      <w:pPr>
        <w:pStyle w:val="8"/>
        <w:keepNext w:val="0"/>
        <w:keepLines w:val="0"/>
        <w:pageBreakBefore w:val="0"/>
        <w:widowControl/>
        <w:suppressLineNumbers w:val="0"/>
        <w:shd w:val="clear" w:fill="FFFFFF"/>
        <w:kinsoku/>
        <w:wordWrap/>
        <w:topLinePunct w:val="0"/>
        <w:bidi w:val="0"/>
        <w:spacing w:beforeAutospacing="0" w:afterAutospacing="0" w:line="600" w:lineRule="exact"/>
        <w:ind w:left="0" w:right="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支出结构调整方面</w:t>
      </w:r>
    </w:p>
    <w:p>
      <w:pPr>
        <w:pStyle w:val="8"/>
        <w:keepNext w:val="0"/>
        <w:keepLines w:val="0"/>
        <w:pageBreakBefore w:val="0"/>
        <w:widowControl/>
        <w:suppressLineNumbers w:val="0"/>
        <w:shd w:val="clear" w:fill="FFFFFF"/>
        <w:kinsoku/>
        <w:wordWrap/>
        <w:topLinePunct w:val="0"/>
        <w:bidi w:val="0"/>
        <w:spacing w:beforeAutospacing="0" w:afterAutospacing="0" w:line="600" w:lineRule="exact"/>
        <w:ind w:left="0" w:right="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优化支出结构</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合理压减一般性、非急需支出，坚持勤俭节约，统筹安排相关经费，确保资金保障到位、支出结构更加合理。</w:t>
      </w:r>
    </w:p>
    <w:p>
      <w:pPr>
        <w:pStyle w:val="8"/>
        <w:keepNext w:val="0"/>
        <w:keepLines w:val="0"/>
        <w:pageBreakBefore w:val="0"/>
        <w:widowControl/>
        <w:suppressLineNumbers w:val="0"/>
        <w:shd w:val="clear" w:fill="FFFFFF"/>
        <w:kinsoku/>
        <w:wordWrap/>
        <w:topLinePunct w:val="0"/>
        <w:bidi w:val="0"/>
        <w:spacing w:beforeAutospacing="0" w:afterAutospacing="0" w:line="600" w:lineRule="exact"/>
        <w:ind w:left="0" w:right="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资金管理方面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80" w:lineRule="atLeast"/>
        <w:ind w:left="0" w:right="0" w:firstLine="71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val="en-US" w:eastAsia="zh-CN"/>
        </w:rPr>
        <w:t>是严格执行</w:t>
      </w:r>
      <w:r>
        <w:rPr>
          <w:rFonts w:hint="eastAsia" w:ascii="Times New Roman" w:hAnsi="Times New Roman" w:eastAsia="仿宋_GB2312" w:cs="Times New Roman"/>
          <w:sz w:val="32"/>
          <w:szCs w:val="32"/>
          <w:lang w:val="en-US" w:eastAsia="zh-CN"/>
        </w:rPr>
        <w:t>政策</w:t>
      </w:r>
      <w:r>
        <w:rPr>
          <w:rFonts w:hint="default" w:ascii="Times New Roman" w:hAnsi="Times New Roman" w:eastAsia="仿宋_GB2312" w:cs="Times New Roman"/>
          <w:sz w:val="32"/>
          <w:szCs w:val="32"/>
          <w:lang w:val="en-US" w:eastAsia="zh-CN"/>
        </w:rPr>
        <w:t>法规</w:t>
      </w:r>
      <w:r>
        <w:rPr>
          <w:rFonts w:hint="eastAsia" w:ascii="Times New Roman" w:hAnsi="Times New Roman" w:eastAsia="仿宋_GB2312" w:cs="Times New Roman"/>
          <w:sz w:val="32"/>
          <w:szCs w:val="32"/>
          <w:lang w:val="en-US" w:eastAsia="zh-CN"/>
        </w:rPr>
        <w:t>规定</w:t>
      </w:r>
      <w:r>
        <w:rPr>
          <w:rFonts w:hint="default" w:ascii="Times New Roman" w:hAnsi="Times New Roman" w:eastAsia="仿宋_GB2312" w:cs="Times New Roman"/>
          <w:sz w:val="32"/>
          <w:szCs w:val="32"/>
          <w:lang w:val="en-US" w:eastAsia="zh-CN"/>
        </w:rPr>
        <w:t>和内部财务管理制度，进一步规范财务报账审批、合同协议审批，明确物资、项目采购要求和流程，确保各项支出合法合规</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color w:val="000000"/>
          <w:kern w:val="0"/>
          <w:sz w:val="32"/>
          <w:szCs w:val="32"/>
          <w:highlight w:val="none"/>
          <w:lang w:val="en-US" w:eastAsia="zh-CN" w:bidi="ar-SA"/>
        </w:rPr>
        <w:t>坚持勤俭节约、非必要不采购和廉洁自律纪律要求</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val="en-US" w:eastAsia="zh-CN"/>
        </w:rPr>
        <w:t>是加强预算执行动态监控，定期跟踪项目进展和资金使用情况，提高资金使用效益。</w:t>
      </w:r>
    </w:p>
    <w:p>
      <w:pPr>
        <w:pStyle w:val="8"/>
        <w:keepNext w:val="0"/>
        <w:keepLines w:val="0"/>
        <w:pageBreakBefore w:val="0"/>
        <w:widowControl/>
        <w:suppressLineNumbers w:val="0"/>
        <w:shd w:val="clear" w:fill="FFFFFF"/>
        <w:kinsoku/>
        <w:wordWrap/>
        <w:topLinePunct w:val="0"/>
        <w:bidi w:val="0"/>
        <w:spacing w:beforeAutospacing="0" w:afterAutospacing="0" w:line="600" w:lineRule="exact"/>
        <w:ind w:left="0" w:right="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制度建设方面</w:t>
      </w:r>
    </w:p>
    <w:p>
      <w:pPr>
        <w:pStyle w:val="8"/>
        <w:keepNext w:val="0"/>
        <w:keepLines w:val="0"/>
        <w:pageBreakBefore w:val="0"/>
        <w:widowControl/>
        <w:suppressLineNumbers w:val="0"/>
        <w:shd w:val="clear" w:fill="FFFFFF"/>
        <w:kinsoku/>
        <w:wordWrap/>
        <w:topLinePunct w:val="0"/>
        <w:bidi w:val="0"/>
        <w:spacing w:beforeAutospacing="0" w:afterAutospacing="0" w:line="600" w:lineRule="exact"/>
        <w:ind w:left="0" w:righ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以评价结果为导向，持续完善</w:t>
      </w:r>
      <w:r>
        <w:rPr>
          <w:rFonts w:hint="eastAsia" w:ascii="Times New Roman" w:hAnsi="Times New Roman" w:eastAsia="仿宋_GB2312" w:cs="Times New Roman"/>
          <w:sz w:val="32"/>
          <w:szCs w:val="32"/>
          <w:lang w:val="en-US" w:eastAsia="zh-CN"/>
        </w:rPr>
        <w:t>财务</w:t>
      </w:r>
      <w:r>
        <w:rPr>
          <w:rFonts w:hint="default" w:ascii="Times New Roman" w:hAnsi="Times New Roman" w:eastAsia="仿宋_GB2312" w:cs="Times New Roman"/>
          <w:sz w:val="32"/>
          <w:szCs w:val="32"/>
          <w:lang w:val="en-US" w:eastAsia="zh-CN"/>
        </w:rPr>
        <w:t>内部管理制度和绩效管理体系。一是严格执行《怀化市本级财政专项资金管理办法》《怀化市本级政府投资项目工程预结（决）算管理办法》等相关制度，实行项目责任制管理，单位主要领导负责项目日常检查和监督，认真做好项目管理。二是丰富绩效评估方法，在财务数据基础上，综合运用问卷调查、实地走访等方式，收集服务对象满意度、政策实施效果等非财务指标，全面评估项目绩效。</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是强化资产管理，坚持资产统一采购、定期盘点、集中处置，确保账账相符、账实相符。</w:t>
      </w:r>
    </w:p>
    <w:p>
      <w:pPr>
        <w:pStyle w:val="13"/>
        <w:keepNext w:val="0"/>
        <w:keepLines w:val="0"/>
        <w:pageBreakBefore w:val="0"/>
        <w:kinsoku/>
        <w:wordWrap/>
        <w:topLinePunct w:val="0"/>
        <w:bidi w:val="0"/>
        <w:spacing w:line="600" w:lineRule="exact"/>
        <w:ind w:left="0"/>
        <w:jc w:val="center"/>
        <w:textAlignment w:val="auto"/>
        <w:rPr>
          <w:rFonts w:ascii="Times New Roman" w:hAnsi="Times New Roman" w:cs="Times New Roman"/>
          <w:sz w:val="72"/>
          <w:szCs w:val="72"/>
        </w:rPr>
      </w:pPr>
    </w:p>
    <w:p>
      <w:pPr>
        <w:pStyle w:val="13"/>
        <w:keepNext w:val="0"/>
        <w:keepLines w:val="0"/>
        <w:pageBreakBefore w:val="0"/>
        <w:kinsoku/>
        <w:wordWrap/>
        <w:topLinePunct w:val="0"/>
        <w:bidi w:val="0"/>
        <w:spacing w:line="600" w:lineRule="exact"/>
        <w:ind w:left="0"/>
        <w:jc w:val="center"/>
        <w:textAlignment w:val="auto"/>
        <w:rPr>
          <w:rFonts w:ascii="Times New Roman" w:hAnsi="Times New Roman" w:eastAsia="方正小标宋_GBK" w:cs="Times New Roman"/>
          <w:sz w:val="52"/>
          <w:szCs w:val="52"/>
        </w:rPr>
      </w:pPr>
    </w:p>
    <w:p>
      <w:pPr>
        <w:pStyle w:val="13"/>
        <w:keepNext w:val="0"/>
        <w:keepLines w:val="0"/>
        <w:pageBreakBefore w:val="0"/>
        <w:kinsoku/>
        <w:wordWrap/>
        <w:topLinePunct w:val="0"/>
        <w:bidi w:val="0"/>
        <w:spacing w:line="600" w:lineRule="exact"/>
        <w:ind w:left="0"/>
        <w:jc w:val="center"/>
        <w:textAlignment w:val="auto"/>
        <w:rPr>
          <w:rFonts w:hint="eastAsia" w:ascii="Times New Roman" w:hAnsi="Times New Roman" w:eastAsia="方正小标宋_GBK" w:cs="Times New Roman"/>
          <w:sz w:val="52"/>
          <w:szCs w:val="52"/>
          <w:lang w:eastAsia="zh-CN"/>
        </w:rPr>
      </w:pPr>
      <w:r>
        <w:rPr>
          <w:rFonts w:ascii="Times New Roman" w:hAnsi="Times New Roman" w:eastAsia="方正小标宋_GBK" w:cs="Times New Roman"/>
          <w:sz w:val="52"/>
          <w:szCs w:val="52"/>
        </w:rPr>
        <w:t>第</w:t>
      </w:r>
      <w:r>
        <w:rPr>
          <w:rFonts w:hint="eastAsia" w:ascii="Times New Roman" w:hAnsi="Times New Roman" w:eastAsia="方正小标宋_GBK" w:cs="Times New Roman"/>
          <w:sz w:val="52"/>
          <w:szCs w:val="52"/>
          <w:lang w:eastAsia="zh-CN"/>
        </w:rPr>
        <w:t>四</w:t>
      </w:r>
      <w:r>
        <w:rPr>
          <w:rFonts w:ascii="Times New Roman" w:hAnsi="Times New Roman" w:eastAsia="方正小标宋_GBK" w:cs="Times New Roman"/>
          <w:sz w:val="52"/>
          <w:szCs w:val="52"/>
        </w:rPr>
        <w:t xml:space="preserve">部分   </w:t>
      </w:r>
      <w:r>
        <w:rPr>
          <w:rFonts w:hint="eastAsia" w:ascii="Times New Roman" w:hAnsi="Times New Roman" w:eastAsia="方正小标宋_GBK" w:cs="Times New Roman"/>
          <w:sz w:val="52"/>
          <w:szCs w:val="52"/>
          <w:lang w:eastAsia="zh-CN"/>
        </w:rPr>
        <w:t>名词解释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Autospacing="0" w:afterAutospacing="0" w:line="600" w:lineRule="exact"/>
        <w:ind w:left="0" w:right="0" w:firstLine="643"/>
        <w:jc w:val="left"/>
        <w:textAlignment w:val="auto"/>
        <w:rPr>
          <w:rFonts w:ascii="楷体_GB2312" w:hAnsi="微软雅黑" w:eastAsia="楷体_GB2312" w:cs="楷体_GB2312"/>
          <w:b/>
          <w:bCs/>
          <w:i w:val="0"/>
          <w:iCs w:val="0"/>
          <w:caps w:val="0"/>
          <w:color w:val="3D3D3D"/>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Autospacing="0" w:afterAutospacing="0" w:line="600" w:lineRule="exact"/>
        <w:ind w:left="0" w:right="0" w:firstLine="643"/>
        <w:jc w:val="left"/>
        <w:textAlignment w:val="auto"/>
        <w:rPr>
          <w:rFonts w:ascii="微软雅黑" w:hAnsi="微软雅黑" w:eastAsia="微软雅黑" w:cs="微软雅黑"/>
          <w:i w:val="0"/>
          <w:iCs w:val="0"/>
          <w:caps w:val="0"/>
          <w:color w:val="3D3D3D"/>
          <w:spacing w:val="0"/>
          <w:sz w:val="24"/>
          <w:szCs w:val="24"/>
        </w:rPr>
      </w:pPr>
      <w:r>
        <w:rPr>
          <w:rFonts w:ascii="楷体_GB2312" w:hAnsi="微软雅黑" w:eastAsia="楷体_GB2312" w:cs="楷体_GB2312"/>
          <w:b/>
          <w:bCs/>
          <w:i w:val="0"/>
          <w:iCs w:val="0"/>
          <w:caps w:val="0"/>
          <w:color w:val="3D3D3D"/>
          <w:spacing w:val="0"/>
          <w:kern w:val="0"/>
          <w:sz w:val="32"/>
          <w:szCs w:val="32"/>
          <w:shd w:val="clear" w:fill="FFFFFF"/>
          <w:lang w:val="en-US" w:eastAsia="zh-CN" w:bidi="ar"/>
        </w:rPr>
        <w:t>1.机关运行经费：</w:t>
      </w:r>
      <w:r>
        <w:rPr>
          <w:rFonts w:hint="eastAsia" w:ascii="Times New Roman" w:hAnsi="Times New Roman" w:eastAsia="仿宋_GB2312" w:cs="Times New Roman"/>
          <w:color w:val="000000"/>
          <w:kern w:val="0"/>
          <w:sz w:val="32"/>
          <w:szCs w:val="32"/>
          <w:highlight w:val="none"/>
          <w:lang w:val="en-US" w:eastAsia="zh-CN" w:bidi="ar-SA"/>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Autospacing="0" w:afterAutospacing="0" w:line="600" w:lineRule="exact"/>
        <w:ind w:left="0" w:right="0" w:firstLine="643"/>
        <w:jc w:val="left"/>
        <w:textAlignment w:val="auto"/>
        <w:rPr>
          <w:rFonts w:hint="eastAsia" w:ascii="Times New Roman" w:hAnsi="Times New Roman" w:eastAsia="仿宋_GB2312" w:cs="Times New Roman"/>
          <w:color w:val="000000"/>
          <w:kern w:val="0"/>
          <w:sz w:val="32"/>
          <w:szCs w:val="32"/>
          <w:highlight w:val="none"/>
          <w:lang w:val="en-US" w:eastAsia="zh-CN" w:bidi="ar-SA"/>
        </w:rPr>
      </w:pPr>
      <w:r>
        <w:rPr>
          <w:rFonts w:hint="eastAsia" w:ascii="楷体_GB2312" w:hAnsi="微软雅黑" w:eastAsia="楷体_GB2312" w:cs="楷体_GB2312"/>
          <w:b/>
          <w:bCs/>
          <w:i w:val="0"/>
          <w:iCs w:val="0"/>
          <w:caps w:val="0"/>
          <w:color w:val="3D3D3D"/>
          <w:spacing w:val="0"/>
          <w:kern w:val="0"/>
          <w:sz w:val="32"/>
          <w:szCs w:val="32"/>
          <w:shd w:val="clear" w:fill="FFFFFF"/>
          <w:lang w:val="en-US" w:eastAsia="zh-CN" w:bidi="ar"/>
        </w:rPr>
        <w:t>2.一般公共预算“三公”经费：</w:t>
      </w:r>
      <w:r>
        <w:rPr>
          <w:rFonts w:hint="eastAsia" w:ascii="Times New Roman" w:hAnsi="Times New Roman" w:eastAsia="仿宋_GB2312" w:cs="Times New Roman"/>
          <w:color w:val="000000"/>
          <w:kern w:val="0"/>
          <w:sz w:val="32"/>
          <w:szCs w:val="32"/>
          <w:highlight w:val="none"/>
          <w:lang w:val="en-US" w:eastAsia="zh-CN" w:bidi="ar-SA"/>
        </w:rPr>
        <w:t>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3"/>
        <w:keepNext w:val="0"/>
        <w:keepLines w:val="0"/>
        <w:pageBreakBefore w:val="0"/>
        <w:kinsoku/>
        <w:wordWrap/>
        <w:topLinePunct w:val="0"/>
        <w:bidi w:val="0"/>
        <w:spacing w:line="600" w:lineRule="exact"/>
        <w:ind w:left="0"/>
        <w:jc w:val="both"/>
        <w:textAlignment w:val="auto"/>
        <w:rPr>
          <w:rFonts w:hint="eastAsia" w:ascii="Times New Roman" w:hAnsi="Times New Roman" w:eastAsia="方正小标宋_GBK" w:cs="Times New Roman"/>
          <w:sz w:val="52"/>
          <w:szCs w:val="52"/>
          <w:lang w:eastAsia="zh-CN"/>
        </w:rPr>
      </w:pPr>
    </w:p>
    <w:p>
      <w:pPr>
        <w:pStyle w:val="13"/>
        <w:keepNext w:val="0"/>
        <w:keepLines w:val="0"/>
        <w:pageBreakBefore w:val="0"/>
        <w:kinsoku/>
        <w:wordWrap/>
        <w:topLinePunct w:val="0"/>
        <w:bidi w:val="0"/>
        <w:spacing w:line="600" w:lineRule="exact"/>
        <w:ind w:left="0"/>
        <w:jc w:val="center"/>
        <w:textAlignment w:val="auto"/>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pPr>
        <w:keepNext w:val="0"/>
        <w:keepLines w:val="0"/>
        <w:pageBreakBefore w:val="0"/>
        <w:kinsoku/>
        <w:wordWrap/>
        <w:topLinePunct w:val="0"/>
        <w:bidi w:val="0"/>
        <w:spacing w:line="600" w:lineRule="exact"/>
        <w:ind w:left="0"/>
        <w:jc w:val="center"/>
        <w:textAlignment w:val="auto"/>
        <w:rPr>
          <w:rFonts w:hint="eastAsia" w:ascii="仿宋" w:hAnsi="仿宋" w:eastAsia="仿宋" w:cs="仿宋"/>
          <w:b/>
          <w:bCs/>
          <w:spacing w:val="-20"/>
          <w:sz w:val="44"/>
          <w:szCs w:val="44"/>
        </w:rPr>
      </w:pPr>
    </w:p>
    <w:p>
      <w:pPr>
        <w:keepNext w:val="0"/>
        <w:keepLines w:val="0"/>
        <w:pageBreakBefore w:val="0"/>
        <w:kinsoku/>
        <w:wordWrap/>
        <w:topLinePunct w:val="0"/>
        <w:bidi w:val="0"/>
        <w:spacing w:line="600" w:lineRule="exact"/>
        <w:ind w:left="0"/>
        <w:jc w:val="center"/>
        <w:textAlignment w:val="auto"/>
        <w:rPr>
          <w:rFonts w:hint="eastAsia" w:ascii="仿宋" w:hAnsi="仿宋" w:eastAsia="仿宋" w:cs="仿宋"/>
          <w:b/>
          <w:bCs/>
          <w:spacing w:val="-20"/>
          <w:kern w:val="2"/>
          <w:sz w:val="44"/>
          <w:szCs w:val="44"/>
        </w:rPr>
      </w:pPr>
      <w:r>
        <w:rPr>
          <w:rFonts w:hint="eastAsia" w:ascii="仿宋" w:hAnsi="仿宋" w:eastAsia="仿宋" w:cs="仿宋"/>
          <w:b/>
          <w:bCs/>
          <w:spacing w:val="-20"/>
          <w:sz w:val="44"/>
          <w:szCs w:val="44"/>
        </w:rPr>
        <w:t>202</w:t>
      </w:r>
      <w:r>
        <w:rPr>
          <w:rFonts w:hint="eastAsia" w:ascii="仿宋" w:hAnsi="仿宋" w:eastAsia="仿宋" w:cs="仿宋"/>
          <w:b/>
          <w:bCs/>
          <w:spacing w:val="-20"/>
          <w:sz w:val="44"/>
          <w:szCs w:val="44"/>
          <w:lang w:val="en-US" w:eastAsia="zh-CN"/>
        </w:rPr>
        <w:t>5</w:t>
      </w:r>
      <w:r>
        <w:rPr>
          <w:rFonts w:hint="eastAsia" w:ascii="仿宋" w:hAnsi="仿宋" w:eastAsia="仿宋" w:cs="仿宋"/>
          <w:b/>
          <w:bCs/>
          <w:spacing w:val="-20"/>
          <w:sz w:val="44"/>
          <w:szCs w:val="44"/>
        </w:rPr>
        <w:t>年度怀化市</w:t>
      </w:r>
      <w:r>
        <w:rPr>
          <w:rFonts w:hint="eastAsia" w:ascii="仿宋" w:hAnsi="仿宋" w:eastAsia="仿宋" w:cs="仿宋"/>
          <w:b/>
          <w:bCs/>
          <w:spacing w:val="-20"/>
          <w:sz w:val="44"/>
          <w:szCs w:val="44"/>
          <w:lang w:eastAsia="zh-CN"/>
        </w:rPr>
        <w:t>养老和工伤保险服务中心</w:t>
      </w:r>
      <w:r>
        <w:rPr>
          <w:rFonts w:hint="eastAsia" w:ascii="仿宋" w:hAnsi="仿宋" w:eastAsia="仿宋" w:cs="仿宋"/>
          <w:b/>
          <w:bCs/>
          <w:spacing w:val="-20"/>
          <w:kern w:val="2"/>
          <w:sz w:val="44"/>
          <w:szCs w:val="44"/>
        </w:rPr>
        <w:t>整体</w:t>
      </w:r>
    </w:p>
    <w:p>
      <w:pPr>
        <w:keepNext w:val="0"/>
        <w:keepLines w:val="0"/>
        <w:pageBreakBefore w:val="0"/>
        <w:kinsoku/>
        <w:wordWrap/>
        <w:topLinePunct w:val="0"/>
        <w:bidi w:val="0"/>
        <w:spacing w:line="600" w:lineRule="exact"/>
        <w:ind w:left="0"/>
        <w:jc w:val="center"/>
        <w:textAlignment w:val="auto"/>
        <w:rPr>
          <w:rFonts w:ascii="方正小标宋_GBK" w:hAnsi="方正小标宋_GBK" w:eastAsia="方正小标宋_GBK" w:cs="方正小标宋_GBK"/>
          <w:color w:val="000000"/>
          <w:spacing w:val="-20"/>
          <w:sz w:val="44"/>
          <w:szCs w:val="44"/>
          <w:shd w:val="clear" w:color="auto" w:fill="FFFFFF"/>
        </w:rPr>
      </w:pPr>
      <w:r>
        <w:rPr>
          <w:rFonts w:hint="eastAsia" w:ascii="仿宋" w:hAnsi="仿宋" w:eastAsia="仿宋" w:cs="仿宋"/>
          <w:b/>
          <w:bCs/>
          <w:spacing w:val="-20"/>
          <w:kern w:val="2"/>
          <w:sz w:val="44"/>
          <w:szCs w:val="44"/>
        </w:rPr>
        <w:t>支出绩效自评报告</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一、部门概况</w:t>
      </w:r>
    </w:p>
    <w:p>
      <w:pPr>
        <w:keepNext w:val="0"/>
        <w:keepLines w:val="0"/>
        <w:pageBreakBefore w:val="0"/>
        <w:kinsoku/>
        <w:wordWrap/>
        <w:overflowPunct/>
        <w:topLinePunct w:val="0"/>
        <w:bidi w:val="0"/>
        <w:spacing w:line="600" w:lineRule="exact"/>
        <w:ind w:left="0" w:firstLine="708" w:firstLineChars="236"/>
        <w:textAlignment w:val="auto"/>
        <w:rPr>
          <w:rFonts w:ascii="仿宋" w:hAnsi="仿宋" w:eastAsia="仿宋"/>
          <w:sz w:val="30"/>
          <w:szCs w:val="30"/>
        </w:rPr>
      </w:pPr>
      <w:r>
        <w:rPr>
          <w:rFonts w:ascii="仿宋" w:hAnsi="仿宋" w:eastAsia="仿宋"/>
          <w:sz w:val="30"/>
          <w:szCs w:val="30"/>
        </w:rPr>
        <w:t>（一）部门基本情况</w:t>
      </w:r>
    </w:p>
    <w:p>
      <w:pPr>
        <w:keepNext w:val="0"/>
        <w:keepLines w:val="0"/>
        <w:pageBreakBefore w:val="0"/>
        <w:kinsoku/>
        <w:wordWrap/>
        <w:overflowPunct/>
        <w:topLinePunct w:val="0"/>
        <w:bidi w:val="0"/>
        <w:spacing w:line="600" w:lineRule="exact"/>
        <w:ind w:left="0" w:firstLine="708" w:firstLineChars="236"/>
        <w:textAlignment w:val="auto"/>
        <w:rPr>
          <w:rFonts w:ascii="仿宋" w:hAnsi="仿宋" w:eastAsia="仿宋"/>
          <w:sz w:val="30"/>
          <w:szCs w:val="30"/>
        </w:rPr>
      </w:pPr>
      <w:r>
        <w:rPr>
          <w:rFonts w:hint="eastAsia" w:ascii="仿宋" w:hAnsi="仿宋" w:eastAsia="仿宋"/>
          <w:sz w:val="30"/>
          <w:szCs w:val="30"/>
        </w:rPr>
        <w:t>1.部门职责</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1</w:t>
      </w:r>
      <w:r>
        <w:rPr>
          <w:rFonts w:hint="eastAsia" w:ascii="仿宋" w:hAnsi="仿宋" w:eastAsia="仿宋"/>
          <w:sz w:val="30"/>
          <w:szCs w:val="30"/>
          <w:lang w:eastAsia="zh-CN"/>
        </w:rPr>
        <w:t>)贯彻落实中央、省、市及上级人力资源和社会保障部门的有关政策和法律法规,为社会保险行政管理提供服务保障。</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2</w:t>
      </w:r>
      <w:r>
        <w:rPr>
          <w:rFonts w:hint="eastAsia" w:ascii="仿宋" w:hAnsi="仿宋" w:eastAsia="仿宋"/>
          <w:sz w:val="30"/>
          <w:szCs w:val="30"/>
          <w:lang w:eastAsia="zh-CN"/>
        </w:rPr>
        <w:t>)承担市本级养老保险、工伤保险经办相关服务工作。</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3</w:t>
      </w:r>
      <w:r>
        <w:rPr>
          <w:rFonts w:hint="eastAsia" w:ascii="仿宋" w:hAnsi="仿宋" w:eastAsia="仿宋"/>
          <w:sz w:val="30"/>
          <w:szCs w:val="30"/>
          <w:lang w:eastAsia="zh-CN"/>
        </w:rPr>
        <w:t>)承担市本级养老保险、工伤保险基金风险防范及市本级养老保险、工伤保险稽核的事务性工作。</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4</w:t>
      </w:r>
      <w:r>
        <w:rPr>
          <w:rFonts w:hint="eastAsia" w:ascii="仿宋" w:hAnsi="仿宋" w:eastAsia="仿宋"/>
          <w:sz w:val="30"/>
          <w:szCs w:val="30"/>
          <w:lang w:eastAsia="zh-CN"/>
        </w:rPr>
        <w:t>)承担市本级参保人员养老保险、工伤保险个人权益记录管理与服务工作;参与养老保险、工伤保险信息化建设和维护;承担全市参保人员养老保险、工伤保险数据信息资源的集中管理和分析应用。</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5</w:t>
      </w:r>
      <w:r>
        <w:rPr>
          <w:rFonts w:hint="eastAsia" w:ascii="仿宋" w:hAnsi="仿宋" w:eastAsia="仿宋"/>
          <w:sz w:val="30"/>
          <w:szCs w:val="30"/>
          <w:lang w:eastAsia="zh-CN"/>
        </w:rPr>
        <w:t>)承担企业职工基本养老保险和工伤保险省级统筹相关的市级经办工作;承担企业职工基本养老保险中央调剂金、工伤保险省级调剂金制度相关的市级经办工作。</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6</w:t>
      </w:r>
      <w:r>
        <w:rPr>
          <w:rFonts w:hint="eastAsia" w:ascii="仿宋" w:hAnsi="仿宋" w:eastAsia="仿宋"/>
          <w:sz w:val="30"/>
          <w:szCs w:val="30"/>
          <w:lang w:eastAsia="zh-CN"/>
        </w:rPr>
        <w:t>)承担市本级养老保险、工伤保险的参保登记,市本级养老保险参保对象的个人账户管理和权益记录,市本级工伤调查及待遇支付的事务性工作。</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7</w:t>
      </w:r>
      <w:r>
        <w:rPr>
          <w:rFonts w:hint="eastAsia" w:ascii="仿宋" w:hAnsi="仿宋" w:eastAsia="仿宋"/>
          <w:sz w:val="30"/>
          <w:szCs w:val="30"/>
          <w:lang w:eastAsia="zh-CN"/>
        </w:rPr>
        <w:t>)承担市本级参保人员待遇领取资格审核、待遇核定以及养老金社会化发放的事务性工作。</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8</w:t>
      </w:r>
      <w:r>
        <w:rPr>
          <w:rFonts w:hint="eastAsia" w:ascii="仿宋" w:hAnsi="仿宋" w:eastAsia="仿宋"/>
          <w:sz w:val="30"/>
          <w:szCs w:val="30"/>
          <w:lang w:eastAsia="zh-CN"/>
        </w:rPr>
        <w:t>)承担市本级职业年金的归集、经办和待遇核定的事务性工作。</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9</w:t>
      </w:r>
      <w:r>
        <w:rPr>
          <w:rFonts w:hint="eastAsia" w:ascii="仿宋" w:hAnsi="仿宋" w:eastAsia="仿宋"/>
          <w:sz w:val="30"/>
          <w:szCs w:val="30"/>
          <w:lang w:eastAsia="zh-CN"/>
        </w:rPr>
        <w:t>)承担老工伤人员资格认定和审核老工伤人员工伤保险待遇等事务性工作。</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10</w:t>
      </w:r>
      <w:r>
        <w:rPr>
          <w:rFonts w:hint="eastAsia" w:ascii="仿宋" w:hAnsi="仿宋" w:eastAsia="仿宋"/>
          <w:sz w:val="30"/>
          <w:szCs w:val="30"/>
          <w:lang w:eastAsia="zh-CN"/>
        </w:rPr>
        <w:t>)编制、汇总、上报全市养老保险、工伤保险基金预决算、财务和统计报表,开展养老保险和工伤保险政策咨询服务。</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11</w:t>
      </w:r>
      <w:r>
        <w:rPr>
          <w:rFonts w:hint="eastAsia" w:ascii="仿宋" w:hAnsi="仿宋" w:eastAsia="仿宋"/>
          <w:sz w:val="30"/>
          <w:szCs w:val="30"/>
          <w:lang w:eastAsia="zh-CN"/>
        </w:rPr>
        <w:t>)完成市人力资源和社会保障局交办的其他任务。</w:t>
      </w:r>
    </w:p>
    <w:p>
      <w:pPr>
        <w:keepNext w:val="0"/>
        <w:keepLines w:val="0"/>
        <w:pageBreakBefore w:val="0"/>
        <w:kinsoku/>
        <w:wordWrap/>
        <w:overflowPunct/>
        <w:topLinePunct w:val="0"/>
        <w:bidi w:val="0"/>
        <w:spacing w:line="600" w:lineRule="exact"/>
        <w:ind w:left="0" w:firstLine="708" w:firstLineChars="236"/>
        <w:textAlignment w:val="auto"/>
        <w:rPr>
          <w:rFonts w:hint="eastAsia" w:ascii="仿宋" w:hAnsi="仿宋" w:eastAsia="仿宋"/>
          <w:sz w:val="30"/>
          <w:szCs w:val="30"/>
        </w:rPr>
      </w:pPr>
      <w:r>
        <w:rPr>
          <w:rFonts w:hint="eastAsia" w:ascii="仿宋" w:hAnsi="仿宋" w:eastAsia="仿宋"/>
          <w:sz w:val="30"/>
          <w:szCs w:val="30"/>
        </w:rPr>
        <w:t>2.机构设置情况</w:t>
      </w:r>
    </w:p>
    <w:p>
      <w:pPr>
        <w:keepNext w:val="0"/>
        <w:keepLines w:val="0"/>
        <w:pageBreakBefore w:val="0"/>
        <w:widowControl/>
        <w:kinsoku/>
        <w:wordWrap/>
        <w:overflowPunct/>
        <w:topLinePunct w:val="0"/>
        <w:bidi w:val="0"/>
        <w:spacing w:line="600" w:lineRule="exact"/>
        <w:ind w:left="0" w:firstLine="755" w:firstLineChars="236"/>
        <w:jc w:val="left"/>
        <w:textAlignment w:val="auto"/>
        <w:rPr>
          <w:rFonts w:hint="eastAsia" w:ascii="仿宋" w:hAnsi="仿宋" w:eastAsia="仿宋" w:cs="仿宋"/>
          <w:bCs/>
          <w:kern w:val="0"/>
          <w:sz w:val="32"/>
          <w:szCs w:val="32"/>
          <w:lang w:eastAsia="zh-CN"/>
        </w:rPr>
      </w:pPr>
      <w:r>
        <w:rPr>
          <w:rFonts w:hint="eastAsia" w:ascii="仿宋" w:hAnsi="仿宋" w:eastAsia="仿宋" w:cs="仿宋"/>
          <w:bCs/>
          <w:kern w:val="0"/>
          <w:sz w:val="32"/>
          <w:szCs w:val="32"/>
        </w:rPr>
        <w:t>怀化市养老和工伤保险服务中心作为怀化市人力资源和社会保障局的二级部门预算单位，内设</w:t>
      </w:r>
      <w:r>
        <w:rPr>
          <w:rFonts w:hint="eastAsia" w:ascii="仿宋" w:hAnsi="仿宋" w:eastAsia="仿宋" w:cs="仿宋"/>
          <w:bCs/>
          <w:kern w:val="0"/>
          <w:sz w:val="32"/>
          <w:szCs w:val="32"/>
          <w:lang w:eastAsia="zh-CN"/>
        </w:rPr>
        <w:t>机构</w:t>
      </w:r>
      <w:r>
        <w:rPr>
          <w:rFonts w:hint="eastAsia" w:ascii="仿宋" w:hAnsi="仿宋" w:eastAsia="仿宋" w:cs="仿宋"/>
          <w:bCs/>
          <w:kern w:val="0"/>
          <w:sz w:val="32"/>
          <w:szCs w:val="32"/>
        </w:rPr>
        <w:t>为：综合部、财务部、基金管理部、业务一部、业务二部、业务三部、</w:t>
      </w:r>
      <w:r>
        <w:rPr>
          <w:rFonts w:hint="eastAsia" w:ascii="仿宋" w:hAnsi="仿宋" w:eastAsia="仿宋" w:cs="仿宋"/>
          <w:bCs/>
          <w:color w:val="auto"/>
          <w:kern w:val="0"/>
          <w:sz w:val="32"/>
          <w:szCs w:val="32"/>
          <w:highlight w:val="none"/>
          <w:lang w:eastAsia="zh-CN"/>
        </w:rPr>
        <w:t>业务四部、</w:t>
      </w:r>
      <w:r>
        <w:rPr>
          <w:rFonts w:hint="eastAsia" w:ascii="仿宋" w:hAnsi="仿宋" w:eastAsia="仿宋" w:cs="仿宋"/>
          <w:bCs/>
          <w:kern w:val="0"/>
          <w:sz w:val="32"/>
          <w:szCs w:val="32"/>
          <w:highlight w:val="none"/>
        </w:rPr>
        <w:t>待</w:t>
      </w:r>
      <w:r>
        <w:rPr>
          <w:rFonts w:hint="eastAsia" w:ascii="仿宋" w:hAnsi="仿宋" w:eastAsia="仿宋" w:cs="仿宋"/>
          <w:bCs/>
          <w:kern w:val="0"/>
          <w:sz w:val="32"/>
          <w:szCs w:val="32"/>
        </w:rPr>
        <w:t>遇一部、待遇二部、待遇三部</w:t>
      </w:r>
      <w:r>
        <w:rPr>
          <w:rFonts w:hint="eastAsia" w:ascii="仿宋" w:hAnsi="仿宋" w:eastAsia="仿宋" w:cs="仿宋"/>
          <w:bCs/>
          <w:kern w:val="0"/>
          <w:sz w:val="32"/>
          <w:szCs w:val="32"/>
          <w:lang w:eastAsia="zh-CN"/>
        </w:rPr>
        <w:t>、</w:t>
      </w:r>
      <w:r>
        <w:rPr>
          <w:rFonts w:hint="eastAsia" w:ascii="仿宋" w:hAnsi="仿宋" w:eastAsia="仿宋" w:cs="仿宋"/>
          <w:bCs/>
          <w:kern w:val="0"/>
          <w:sz w:val="32"/>
          <w:szCs w:val="32"/>
        </w:rPr>
        <w:t>工伤调查部</w:t>
      </w:r>
      <w:r>
        <w:rPr>
          <w:rFonts w:hint="eastAsia" w:ascii="仿宋" w:hAnsi="仿宋" w:eastAsia="仿宋" w:cs="仿宋"/>
          <w:bCs/>
          <w:kern w:val="0"/>
          <w:sz w:val="32"/>
          <w:szCs w:val="32"/>
          <w:lang w:eastAsia="zh-CN"/>
        </w:rPr>
        <w:t>，设立</w:t>
      </w:r>
      <w:r>
        <w:rPr>
          <w:rFonts w:hint="eastAsia" w:ascii="仿宋" w:hAnsi="仿宋" w:eastAsia="仿宋" w:cs="仿宋"/>
          <w:bCs/>
          <w:kern w:val="0"/>
          <w:sz w:val="32"/>
          <w:szCs w:val="32"/>
        </w:rPr>
        <w:t>市养老和工伤保险基金稽核中心，为市养老和工伤保险服务中心下设不具备独立法人资格的正科级分支机构</w:t>
      </w:r>
      <w:r>
        <w:rPr>
          <w:rFonts w:hint="eastAsia" w:ascii="仿宋" w:hAnsi="仿宋" w:eastAsia="仿宋" w:cs="仿宋"/>
          <w:bCs/>
          <w:kern w:val="0"/>
          <w:sz w:val="32"/>
          <w:szCs w:val="32"/>
          <w:lang w:eastAsia="zh-CN"/>
        </w:rPr>
        <w:t>。</w:t>
      </w:r>
    </w:p>
    <w:p>
      <w:pPr>
        <w:keepNext w:val="0"/>
        <w:keepLines w:val="0"/>
        <w:pageBreakBefore w:val="0"/>
        <w:kinsoku/>
        <w:wordWrap/>
        <w:overflowPunct/>
        <w:topLinePunct w:val="0"/>
        <w:bidi w:val="0"/>
        <w:spacing w:line="600" w:lineRule="exact"/>
        <w:ind w:left="0" w:firstLine="708" w:firstLineChars="236"/>
        <w:textAlignment w:val="auto"/>
        <w:rPr>
          <w:rFonts w:ascii="仿宋" w:hAnsi="仿宋" w:eastAsia="仿宋"/>
          <w:sz w:val="30"/>
          <w:szCs w:val="30"/>
        </w:rPr>
      </w:pPr>
      <w:r>
        <w:rPr>
          <w:rFonts w:ascii="仿宋" w:hAnsi="仿宋" w:eastAsia="仿宋"/>
          <w:sz w:val="30"/>
          <w:szCs w:val="30"/>
        </w:rPr>
        <w:t>（二）整体支出规模、使用方向及范围</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方正黑体_GBK" w:hAnsi="方正黑体_GBK" w:eastAsia="方正黑体_GBK" w:cs="方正黑体_GBK"/>
          <w:b/>
          <w:bCs/>
          <w:color w:val="auto"/>
          <w:sz w:val="32"/>
          <w:szCs w:val="32"/>
          <w:highlight w:val="none"/>
          <w:lang w:val="en-US" w:eastAsia="zh-CN"/>
        </w:rPr>
      </w:pPr>
      <w:r>
        <w:rPr>
          <w:rFonts w:ascii="仿宋" w:hAnsi="仿宋" w:eastAsia="仿宋" w:cs="Segoe UI"/>
          <w:color w:val="000000"/>
          <w:kern w:val="0"/>
          <w:sz w:val="30"/>
          <w:szCs w:val="30"/>
        </w:rPr>
        <w:t>202</w:t>
      </w:r>
      <w:r>
        <w:rPr>
          <w:rFonts w:hint="eastAsia" w:ascii="仿宋" w:hAnsi="仿宋" w:eastAsia="仿宋" w:cs="Segoe UI"/>
          <w:color w:val="000000"/>
          <w:kern w:val="0"/>
          <w:sz w:val="30"/>
          <w:szCs w:val="30"/>
          <w:lang w:val="en-US" w:eastAsia="zh-CN"/>
        </w:rPr>
        <w:t>5</w:t>
      </w:r>
      <w:r>
        <w:rPr>
          <w:rFonts w:ascii="仿宋" w:hAnsi="仿宋" w:eastAsia="仿宋" w:cs="Segoe UI"/>
          <w:color w:val="000000"/>
          <w:kern w:val="0"/>
          <w:sz w:val="30"/>
          <w:szCs w:val="30"/>
        </w:rPr>
        <w:t>年部门整体支出预算</w:t>
      </w:r>
      <w:r>
        <w:rPr>
          <w:rFonts w:hint="eastAsia" w:ascii="仿宋" w:hAnsi="仿宋" w:eastAsia="仿宋" w:cs="Segoe UI"/>
          <w:color w:val="000000"/>
          <w:kern w:val="0"/>
          <w:sz w:val="30"/>
          <w:szCs w:val="30"/>
          <w:lang w:val="en-US" w:eastAsia="zh-CN"/>
        </w:rPr>
        <w:t>1023.15</w:t>
      </w:r>
      <w:r>
        <w:rPr>
          <w:rFonts w:ascii="仿宋" w:hAnsi="仿宋" w:eastAsia="仿宋" w:cs="Segoe UI"/>
          <w:color w:val="000000"/>
          <w:kern w:val="0"/>
          <w:sz w:val="30"/>
          <w:szCs w:val="30"/>
        </w:rPr>
        <w:t>万元，实际执行</w:t>
      </w:r>
      <w:r>
        <w:rPr>
          <w:rFonts w:hint="eastAsia" w:ascii="仿宋" w:hAnsi="仿宋" w:eastAsia="仿宋" w:cs="Segoe UI"/>
          <w:color w:val="000000"/>
          <w:kern w:val="0"/>
          <w:sz w:val="30"/>
          <w:szCs w:val="30"/>
          <w:lang w:val="en-US" w:eastAsia="zh-CN"/>
        </w:rPr>
        <w:t>1005</w:t>
      </w:r>
      <w:r>
        <w:rPr>
          <w:rFonts w:ascii="仿宋" w:hAnsi="仿宋" w:eastAsia="仿宋" w:cs="Segoe UI"/>
          <w:color w:val="000000"/>
          <w:kern w:val="0"/>
          <w:sz w:val="30"/>
          <w:szCs w:val="30"/>
        </w:rPr>
        <w:t>万元，执行率</w:t>
      </w:r>
      <w:r>
        <w:rPr>
          <w:rFonts w:hint="eastAsia" w:ascii="仿宋" w:hAnsi="仿宋" w:eastAsia="仿宋" w:cs="Segoe UI"/>
          <w:color w:val="000000"/>
          <w:kern w:val="0"/>
          <w:sz w:val="30"/>
          <w:szCs w:val="30"/>
          <w:lang w:val="en-US" w:eastAsia="zh-CN"/>
        </w:rPr>
        <w:t>98.23</w:t>
      </w:r>
      <w:r>
        <w:rPr>
          <w:rFonts w:ascii="仿宋" w:hAnsi="仿宋" w:eastAsia="仿宋" w:cs="Segoe UI"/>
          <w:color w:val="000000"/>
          <w:kern w:val="0"/>
          <w:sz w:val="30"/>
          <w:szCs w:val="30"/>
        </w:rPr>
        <w:t>%。资金主要用于：基本支出</w:t>
      </w:r>
      <w:r>
        <w:rPr>
          <w:rFonts w:hint="eastAsia" w:ascii="仿宋" w:hAnsi="仿宋" w:eastAsia="仿宋" w:cs="Segoe UI"/>
          <w:color w:val="000000"/>
          <w:kern w:val="0"/>
          <w:sz w:val="30"/>
          <w:szCs w:val="30"/>
          <w:lang w:val="en-US" w:eastAsia="zh-CN"/>
        </w:rPr>
        <w:t>860.59</w:t>
      </w:r>
      <w:r>
        <w:rPr>
          <w:rFonts w:ascii="仿宋" w:hAnsi="仿宋" w:eastAsia="仿宋" w:cs="Segoe UI"/>
          <w:color w:val="000000"/>
          <w:kern w:val="0"/>
          <w:sz w:val="30"/>
          <w:szCs w:val="30"/>
        </w:rPr>
        <w:t>万元，占比</w:t>
      </w:r>
      <w:r>
        <w:rPr>
          <w:rFonts w:hint="eastAsia" w:ascii="仿宋" w:hAnsi="仿宋" w:eastAsia="仿宋" w:cs="Segoe UI"/>
          <w:color w:val="000000"/>
          <w:kern w:val="0"/>
          <w:sz w:val="30"/>
          <w:szCs w:val="30"/>
          <w:lang w:val="en-US" w:eastAsia="zh-CN"/>
        </w:rPr>
        <w:t>85.63</w:t>
      </w:r>
      <w:r>
        <w:rPr>
          <w:rFonts w:ascii="仿宋" w:hAnsi="仿宋" w:eastAsia="仿宋" w:cs="Segoe UI"/>
          <w:color w:val="000000"/>
          <w:kern w:val="0"/>
          <w:sz w:val="30"/>
          <w:szCs w:val="30"/>
        </w:rPr>
        <w:t>%，涵盖人员经费（工资福利、社保缴费等）和公用经费（办公、差旅、会议等），保障机构日常运转。项目支出</w:t>
      </w:r>
      <w:r>
        <w:rPr>
          <w:rFonts w:hint="eastAsia" w:ascii="仿宋" w:hAnsi="仿宋" w:eastAsia="仿宋" w:cs="Segoe UI"/>
          <w:color w:val="000000"/>
          <w:kern w:val="0"/>
          <w:sz w:val="30"/>
          <w:szCs w:val="30"/>
          <w:lang w:val="en-US" w:eastAsia="zh-CN"/>
        </w:rPr>
        <w:t>144.41</w:t>
      </w:r>
      <w:r>
        <w:rPr>
          <w:rFonts w:ascii="仿宋" w:hAnsi="仿宋" w:eastAsia="仿宋" w:cs="Segoe UI"/>
          <w:color w:val="000000"/>
          <w:kern w:val="0"/>
          <w:sz w:val="30"/>
          <w:szCs w:val="30"/>
        </w:rPr>
        <w:t>万元，占比</w:t>
      </w:r>
      <w:r>
        <w:rPr>
          <w:rFonts w:hint="eastAsia" w:ascii="仿宋" w:hAnsi="仿宋" w:eastAsia="仿宋" w:cs="Segoe UI"/>
          <w:color w:val="000000"/>
          <w:kern w:val="0"/>
          <w:sz w:val="30"/>
          <w:szCs w:val="30"/>
          <w:lang w:val="en-US" w:eastAsia="zh-CN"/>
        </w:rPr>
        <w:t>14.37</w:t>
      </w:r>
      <w:r>
        <w:rPr>
          <w:rFonts w:ascii="仿宋" w:hAnsi="仿宋" w:eastAsia="仿宋" w:cs="Segoe UI"/>
          <w:color w:val="000000"/>
          <w:kern w:val="0"/>
          <w:sz w:val="30"/>
          <w:szCs w:val="30"/>
        </w:rPr>
        <w:t>%，涉及</w:t>
      </w:r>
      <w:r>
        <w:rPr>
          <w:rFonts w:hint="eastAsia" w:ascii="仿宋" w:hAnsi="仿宋" w:eastAsia="仿宋" w:cs="Segoe UI"/>
          <w:color w:val="000000"/>
          <w:kern w:val="0"/>
          <w:sz w:val="30"/>
          <w:szCs w:val="30"/>
          <w:lang w:eastAsia="zh-CN"/>
        </w:rPr>
        <w:t>社保经办机构</w:t>
      </w:r>
      <w:r>
        <w:rPr>
          <w:rFonts w:ascii="仿宋" w:hAnsi="仿宋" w:eastAsia="仿宋" w:cs="Segoe UI"/>
          <w:color w:val="000000"/>
          <w:kern w:val="0"/>
          <w:sz w:val="30"/>
          <w:szCs w:val="30"/>
        </w:rPr>
        <w:t>、社</w:t>
      </w:r>
      <w:r>
        <w:rPr>
          <w:rFonts w:hint="eastAsia" w:ascii="仿宋" w:hAnsi="仿宋" w:eastAsia="仿宋" w:cs="Segoe UI"/>
          <w:color w:val="000000"/>
          <w:kern w:val="0"/>
          <w:sz w:val="30"/>
          <w:szCs w:val="30"/>
          <w:lang w:eastAsia="zh-CN"/>
        </w:rPr>
        <w:t>会保险防风险堵漏洞</w:t>
      </w:r>
      <w:r>
        <w:rPr>
          <w:rFonts w:ascii="仿宋" w:hAnsi="仿宋" w:eastAsia="仿宋" w:cs="Segoe UI"/>
          <w:color w:val="000000"/>
          <w:kern w:val="0"/>
          <w:sz w:val="30"/>
          <w:szCs w:val="30"/>
        </w:rPr>
        <w:t>、</w:t>
      </w:r>
      <w:r>
        <w:rPr>
          <w:rFonts w:hint="eastAsia" w:ascii="仿宋" w:hAnsi="仿宋" w:eastAsia="仿宋" w:cs="Segoe UI"/>
          <w:color w:val="000000"/>
          <w:kern w:val="0"/>
          <w:sz w:val="30"/>
          <w:szCs w:val="30"/>
          <w:lang w:eastAsia="zh-CN"/>
        </w:rPr>
        <w:t>工伤预防</w:t>
      </w:r>
      <w:r>
        <w:rPr>
          <w:rFonts w:ascii="仿宋" w:hAnsi="仿宋" w:eastAsia="仿宋" w:cs="Segoe UI"/>
          <w:color w:val="000000"/>
          <w:kern w:val="0"/>
          <w:sz w:val="30"/>
          <w:szCs w:val="30"/>
        </w:rPr>
        <w:t>等专项工作，覆盖</w:t>
      </w:r>
      <w:r>
        <w:rPr>
          <w:rFonts w:hint="eastAsia" w:ascii="仿宋" w:hAnsi="仿宋" w:eastAsia="仿宋" w:cs="Segoe UI"/>
          <w:color w:val="000000"/>
          <w:kern w:val="0"/>
          <w:sz w:val="30"/>
          <w:szCs w:val="30"/>
          <w:lang w:eastAsia="zh-CN"/>
        </w:rPr>
        <w:t>市本级</w:t>
      </w:r>
      <w:r>
        <w:rPr>
          <w:rFonts w:ascii="仿宋" w:hAnsi="仿宋" w:eastAsia="仿宋" w:cs="Segoe UI"/>
          <w:color w:val="000000"/>
          <w:kern w:val="0"/>
          <w:sz w:val="30"/>
          <w:szCs w:val="30"/>
        </w:rPr>
        <w:t>的</w:t>
      </w:r>
      <w:r>
        <w:rPr>
          <w:rFonts w:hint="eastAsia" w:ascii="仿宋" w:hAnsi="仿宋" w:eastAsia="仿宋" w:cs="Segoe UI"/>
          <w:color w:val="000000"/>
          <w:kern w:val="0"/>
          <w:sz w:val="30"/>
          <w:szCs w:val="30"/>
          <w:lang w:eastAsia="zh-CN"/>
        </w:rPr>
        <w:t>养老和工伤保险</w:t>
      </w:r>
      <w:r>
        <w:rPr>
          <w:rFonts w:ascii="仿宋" w:hAnsi="仿宋" w:eastAsia="仿宋" w:cs="Segoe UI"/>
          <w:color w:val="000000"/>
          <w:kern w:val="0"/>
          <w:sz w:val="30"/>
          <w:szCs w:val="30"/>
        </w:rPr>
        <w:t>公共服务。</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二、一般公共预算支出情况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ascii="仿宋" w:hAnsi="仿宋" w:eastAsia="仿宋" w:cs="Segoe UI"/>
          <w:color w:val="000000"/>
          <w:kern w:val="0"/>
          <w:sz w:val="30"/>
          <w:szCs w:val="30"/>
        </w:rPr>
        <w:t>（一）基本支出</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ascii="仿宋" w:hAnsi="仿宋" w:eastAsia="仿宋" w:cs="Segoe UI"/>
          <w:color w:val="000000"/>
          <w:kern w:val="0"/>
          <w:sz w:val="30"/>
          <w:szCs w:val="30"/>
        </w:rPr>
        <w:t>1.基本支出主要用于保障机关正常运转，包括：</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ascii="仿宋" w:hAnsi="仿宋" w:eastAsia="仿宋" w:cs="Segoe UI"/>
          <w:color w:val="000000"/>
          <w:kern w:val="0"/>
          <w:sz w:val="30"/>
          <w:szCs w:val="30"/>
        </w:rPr>
        <w:t>人员经费</w:t>
      </w:r>
      <w:r>
        <w:rPr>
          <w:rFonts w:hint="eastAsia" w:ascii="仿宋" w:hAnsi="仿宋" w:eastAsia="仿宋" w:cs="Segoe UI"/>
          <w:color w:val="000000"/>
          <w:kern w:val="0"/>
          <w:sz w:val="30"/>
          <w:szCs w:val="30"/>
          <w:lang w:val="en-US" w:eastAsia="zh-CN"/>
        </w:rPr>
        <w:t>770.84</w:t>
      </w:r>
      <w:r>
        <w:rPr>
          <w:rFonts w:ascii="仿宋" w:hAnsi="仿宋" w:eastAsia="仿宋" w:cs="Segoe UI"/>
          <w:color w:val="000000"/>
          <w:kern w:val="0"/>
          <w:sz w:val="30"/>
          <w:szCs w:val="30"/>
        </w:rPr>
        <w:t>万元，占基本支出</w:t>
      </w:r>
      <w:r>
        <w:rPr>
          <w:rFonts w:hint="eastAsia" w:ascii="仿宋" w:hAnsi="仿宋" w:eastAsia="仿宋" w:cs="Segoe UI"/>
          <w:color w:val="000000"/>
          <w:kern w:val="0"/>
          <w:sz w:val="30"/>
          <w:szCs w:val="30"/>
          <w:lang w:val="en-US" w:eastAsia="zh-CN"/>
        </w:rPr>
        <w:t>89.57</w:t>
      </w:r>
      <w:r>
        <w:rPr>
          <w:rFonts w:ascii="仿宋" w:hAnsi="仿宋" w:eastAsia="仿宋" w:cs="Segoe UI"/>
          <w:color w:val="000000"/>
          <w:kern w:val="0"/>
          <w:sz w:val="30"/>
          <w:szCs w:val="30"/>
        </w:rPr>
        <w:t>%，用于发放在职人员基本工资</w:t>
      </w:r>
      <w:r>
        <w:rPr>
          <w:rFonts w:hint="eastAsia" w:ascii="仿宋" w:hAnsi="仿宋" w:eastAsia="仿宋" w:cs="Segoe UI"/>
          <w:color w:val="000000"/>
          <w:kern w:val="0"/>
          <w:sz w:val="30"/>
          <w:szCs w:val="30"/>
          <w:lang w:val="en-US" w:eastAsia="zh-CN"/>
        </w:rPr>
        <w:t>229.77</w:t>
      </w:r>
      <w:r>
        <w:rPr>
          <w:rFonts w:ascii="仿宋" w:hAnsi="仿宋" w:eastAsia="仿宋" w:cs="Segoe UI"/>
          <w:color w:val="000000"/>
          <w:kern w:val="0"/>
          <w:sz w:val="30"/>
          <w:szCs w:val="30"/>
        </w:rPr>
        <w:t>万元、津贴补贴</w:t>
      </w:r>
      <w:r>
        <w:rPr>
          <w:rFonts w:hint="eastAsia" w:ascii="仿宋" w:hAnsi="仿宋" w:eastAsia="仿宋" w:cs="Segoe UI"/>
          <w:color w:val="000000"/>
          <w:kern w:val="0"/>
          <w:sz w:val="30"/>
          <w:szCs w:val="30"/>
          <w:lang w:val="en-US" w:eastAsia="zh-CN"/>
        </w:rPr>
        <w:t>114.15</w:t>
      </w:r>
      <w:r>
        <w:rPr>
          <w:rFonts w:ascii="仿宋" w:hAnsi="仿宋" w:eastAsia="仿宋" w:cs="Segoe UI"/>
          <w:color w:val="000000"/>
          <w:kern w:val="0"/>
          <w:sz w:val="30"/>
          <w:szCs w:val="30"/>
        </w:rPr>
        <w:t>万元、</w:t>
      </w:r>
      <w:r>
        <w:rPr>
          <w:rFonts w:hint="eastAsia" w:ascii="仿宋" w:hAnsi="仿宋" w:eastAsia="仿宋" w:cs="Segoe UI"/>
          <w:color w:val="000000"/>
          <w:kern w:val="0"/>
          <w:sz w:val="30"/>
          <w:szCs w:val="30"/>
          <w:lang w:eastAsia="zh-CN"/>
        </w:rPr>
        <w:t>奖金</w:t>
      </w:r>
      <w:r>
        <w:rPr>
          <w:rFonts w:hint="eastAsia" w:ascii="仿宋" w:hAnsi="仿宋" w:eastAsia="仿宋" w:cs="Segoe UI"/>
          <w:color w:val="000000"/>
          <w:kern w:val="0"/>
          <w:sz w:val="30"/>
          <w:szCs w:val="30"/>
          <w:lang w:val="en-US" w:eastAsia="zh-CN"/>
        </w:rPr>
        <w:t>190.65万元、伙食补助费10.23万元、</w:t>
      </w:r>
      <w:r>
        <w:rPr>
          <w:rFonts w:ascii="仿宋" w:hAnsi="仿宋" w:eastAsia="仿宋" w:cs="Segoe UI"/>
          <w:color w:val="000000"/>
          <w:kern w:val="0"/>
          <w:sz w:val="30"/>
          <w:szCs w:val="30"/>
        </w:rPr>
        <w:t>机关事业单位基本养老保险缴费</w:t>
      </w:r>
      <w:r>
        <w:rPr>
          <w:rFonts w:hint="eastAsia" w:ascii="仿宋" w:hAnsi="仿宋" w:eastAsia="仿宋" w:cs="Segoe UI"/>
          <w:color w:val="000000"/>
          <w:kern w:val="0"/>
          <w:sz w:val="30"/>
          <w:szCs w:val="30"/>
          <w:lang w:val="en-US" w:eastAsia="zh-CN"/>
        </w:rPr>
        <w:t>70.77</w:t>
      </w:r>
      <w:r>
        <w:rPr>
          <w:rFonts w:ascii="仿宋" w:hAnsi="仿宋" w:eastAsia="仿宋" w:cs="Segoe UI"/>
          <w:color w:val="000000"/>
          <w:kern w:val="0"/>
          <w:sz w:val="30"/>
          <w:szCs w:val="30"/>
        </w:rPr>
        <w:t>万元、职工基本医疗保险缴费</w:t>
      </w:r>
      <w:r>
        <w:rPr>
          <w:rFonts w:hint="eastAsia" w:ascii="仿宋" w:hAnsi="仿宋" w:eastAsia="仿宋" w:cs="Segoe UI"/>
          <w:color w:val="000000"/>
          <w:kern w:val="0"/>
          <w:sz w:val="30"/>
          <w:szCs w:val="30"/>
          <w:lang w:val="en-US" w:eastAsia="zh-CN"/>
        </w:rPr>
        <w:t>28.14</w:t>
      </w:r>
      <w:r>
        <w:rPr>
          <w:rFonts w:ascii="仿宋" w:hAnsi="仿宋" w:eastAsia="仿宋" w:cs="Segoe UI"/>
          <w:color w:val="000000"/>
          <w:kern w:val="0"/>
          <w:sz w:val="30"/>
          <w:szCs w:val="30"/>
        </w:rPr>
        <w:t>万元、住房公积金</w:t>
      </w:r>
      <w:r>
        <w:rPr>
          <w:rFonts w:hint="eastAsia" w:ascii="仿宋" w:hAnsi="仿宋" w:eastAsia="仿宋" w:cs="Segoe UI"/>
          <w:color w:val="000000"/>
          <w:kern w:val="0"/>
          <w:sz w:val="30"/>
          <w:szCs w:val="30"/>
          <w:lang w:val="en-US" w:eastAsia="zh-CN"/>
        </w:rPr>
        <w:t>59.74</w:t>
      </w:r>
      <w:r>
        <w:rPr>
          <w:rFonts w:ascii="仿宋" w:hAnsi="仿宋" w:eastAsia="仿宋" w:cs="Segoe UI"/>
          <w:color w:val="000000"/>
          <w:kern w:val="0"/>
          <w:sz w:val="30"/>
          <w:szCs w:val="30"/>
        </w:rPr>
        <w:t>万元</w:t>
      </w:r>
      <w:r>
        <w:rPr>
          <w:rFonts w:hint="eastAsia" w:ascii="仿宋" w:hAnsi="仿宋" w:eastAsia="仿宋" w:cs="Segoe UI"/>
          <w:color w:val="000000"/>
          <w:kern w:val="0"/>
          <w:sz w:val="30"/>
          <w:szCs w:val="30"/>
          <w:lang w:eastAsia="zh-CN"/>
        </w:rPr>
        <w:t>、</w:t>
      </w:r>
      <w:r>
        <w:rPr>
          <w:rFonts w:hint="eastAsia" w:ascii="仿宋" w:hAnsi="仿宋" w:eastAsia="仿宋" w:cs="Segoe UI"/>
          <w:color w:val="000000"/>
          <w:kern w:val="0"/>
          <w:sz w:val="30"/>
          <w:szCs w:val="30"/>
        </w:rPr>
        <w:t>其他社会保障缴费</w:t>
      </w:r>
      <w:r>
        <w:rPr>
          <w:rFonts w:hint="eastAsia" w:ascii="仿宋" w:hAnsi="仿宋" w:eastAsia="仿宋" w:cs="Segoe UI"/>
          <w:color w:val="000000"/>
          <w:kern w:val="0"/>
          <w:sz w:val="30"/>
          <w:szCs w:val="30"/>
          <w:lang w:val="en-US" w:eastAsia="zh-CN"/>
        </w:rPr>
        <w:t>10.80万元、其他工资福利支出0.97万元</w:t>
      </w:r>
      <w:r>
        <w:rPr>
          <w:rFonts w:ascii="仿宋" w:hAnsi="仿宋" w:eastAsia="仿宋" w:cs="Segoe UI"/>
          <w:color w:val="000000"/>
          <w:kern w:val="0"/>
          <w:sz w:val="30"/>
          <w:szCs w:val="30"/>
        </w:rPr>
        <w:t>，以及离休费、退休费等对个人和家庭的补助</w:t>
      </w:r>
      <w:r>
        <w:rPr>
          <w:rFonts w:hint="eastAsia" w:ascii="仿宋" w:hAnsi="仿宋" w:eastAsia="仿宋" w:cs="Segoe UI"/>
          <w:color w:val="000000"/>
          <w:kern w:val="0"/>
          <w:sz w:val="30"/>
          <w:szCs w:val="30"/>
          <w:lang w:val="en-US" w:eastAsia="zh-CN"/>
        </w:rPr>
        <w:t>55.62</w:t>
      </w:r>
      <w:r>
        <w:rPr>
          <w:rFonts w:ascii="仿宋" w:hAnsi="仿宋" w:eastAsia="仿宋" w:cs="Segoe UI"/>
          <w:color w:val="000000"/>
          <w:kern w:val="0"/>
          <w:sz w:val="30"/>
          <w:szCs w:val="30"/>
        </w:rPr>
        <w:t>万元。</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ascii="仿宋" w:hAnsi="仿宋" w:eastAsia="仿宋" w:cs="Segoe UI"/>
          <w:color w:val="000000"/>
          <w:kern w:val="0"/>
          <w:sz w:val="30"/>
          <w:szCs w:val="30"/>
        </w:rPr>
        <w:t>公用经费</w:t>
      </w:r>
      <w:r>
        <w:rPr>
          <w:rFonts w:hint="eastAsia" w:ascii="仿宋" w:hAnsi="仿宋" w:eastAsia="仿宋" w:cs="Segoe UI"/>
          <w:color w:val="000000"/>
          <w:kern w:val="0"/>
          <w:sz w:val="30"/>
          <w:szCs w:val="30"/>
          <w:lang w:val="en-US" w:eastAsia="zh-CN"/>
        </w:rPr>
        <w:t>89.75</w:t>
      </w:r>
      <w:r>
        <w:rPr>
          <w:rFonts w:ascii="仿宋" w:hAnsi="仿宋" w:eastAsia="仿宋" w:cs="Segoe UI"/>
          <w:color w:val="000000"/>
          <w:kern w:val="0"/>
          <w:sz w:val="30"/>
          <w:szCs w:val="30"/>
        </w:rPr>
        <w:t>万元，占基本支出</w:t>
      </w:r>
      <w:r>
        <w:rPr>
          <w:rFonts w:hint="eastAsia" w:ascii="仿宋" w:hAnsi="仿宋" w:eastAsia="仿宋" w:cs="Segoe UI"/>
          <w:color w:val="000000"/>
          <w:kern w:val="0"/>
          <w:sz w:val="30"/>
          <w:szCs w:val="30"/>
          <w:lang w:val="en-US" w:eastAsia="zh-CN"/>
        </w:rPr>
        <w:t>10.43</w:t>
      </w:r>
      <w:r>
        <w:rPr>
          <w:rFonts w:ascii="仿宋" w:hAnsi="仿宋" w:eastAsia="仿宋" w:cs="Segoe UI"/>
          <w:color w:val="000000"/>
          <w:kern w:val="0"/>
          <w:sz w:val="30"/>
          <w:szCs w:val="30"/>
        </w:rPr>
        <w:t>%，用于</w:t>
      </w:r>
      <w:r>
        <w:rPr>
          <w:rFonts w:hint="eastAsia" w:ascii="仿宋" w:hAnsi="仿宋" w:eastAsia="仿宋" w:cs="Segoe UI"/>
          <w:color w:val="000000"/>
          <w:kern w:val="0"/>
          <w:sz w:val="30"/>
          <w:szCs w:val="30"/>
          <w:lang w:eastAsia="zh-CN"/>
        </w:rPr>
        <w:t>劳务费</w:t>
      </w:r>
      <w:r>
        <w:rPr>
          <w:rFonts w:hint="eastAsia" w:ascii="仿宋" w:hAnsi="仿宋" w:eastAsia="仿宋" w:cs="Segoe UI"/>
          <w:color w:val="000000"/>
          <w:kern w:val="0"/>
          <w:sz w:val="30"/>
          <w:szCs w:val="30"/>
          <w:lang w:val="en-US" w:eastAsia="zh-CN"/>
        </w:rPr>
        <w:t>2.45万元、工会经费43.14万元、福利费0.02万元、其他交通费用38.32万元、</w:t>
      </w:r>
      <w:r>
        <w:rPr>
          <w:rFonts w:ascii="仿宋" w:hAnsi="仿宋" w:eastAsia="仿宋" w:cs="Segoe UI"/>
          <w:color w:val="000000"/>
          <w:kern w:val="0"/>
          <w:sz w:val="30"/>
          <w:szCs w:val="30"/>
        </w:rPr>
        <w:t>其他商品和服务支出</w:t>
      </w:r>
      <w:r>
        <w:rPr>
          <w:rFonts w:hint="eastAsia" w:ascii="仿宋" w:hAnsi="仿宋" w:eastAsia="仿宋" w:cs="Segoe UI"/>
          <w:color w:val="000000"/>
          <w:kern w:val="0"/>
          <w:sz w:val="30"/>
          <w:szCs w:val="30"/>
          <w:lang w:val="en-US" w:eastAsia="zh-CN"/>
        </w:rPr>
        <w:t>5.82</w:t>
      </w:r>
      <w:r>
        <w:rPr>
          <w:rFonts w:ascii="仿宋" w:hAnsi="仿宋" w:eastAsia="仿宋" w:cs="Segoe UI"/>
          <w:color w:val="000000"/>
          <w:kern w:val="0"/>
          <w:sz w:val="30"/>
          <w:szCs w:val="30"/>
        </w:rPr>
        <w:t>万元等，保障日常办公、会议培训、公务接待等需求。</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ascii="仿宋" w:hAnsi="仿宋" w:eastAsia="仿宋" w:cs="Segoe UI"/>
          <w:color w:val="000000"/>
          <w:kern w:val="0"/>
          <w:sz w:val="30"/>
          <w:szCs w:val="30"/>
        </w:rPr>
        <w:t>2.“三公”经费管理</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ascii="仿宋" w:hAnsi="仿宋" w:eastAsia="仿宋" w:cs="Segoe UI"/>
          <w:color w:val="000000"/>
          <w:kern w:val="0"/>
          <w:sz w:val="30"/>
          <w:szCs w:val="30"/>
        </w:rPr>
        <w:t>202</w:t>
      </w:r>
      <w:r>
        <w:rPr>
          <w:rFonts w:hint="eastAsia" w:ascii="仿宋" w:hAnsi="仿宋" w:eastAsia="仿宋" w:cs="Segoe UI"/>
          <w:color w:val="000000"/>
          <w:kern w:val="0"/>
          <w:sz w:val="30"/>
          <w:szCs w:val="30"/>
          <w:lang w:val="en-US" w:eastAsia="zh-CN"/>
        </w:rPr>
        <w:t>5</w:t>
      </w:r>
      <w:r>
        <w:rPr>
          <w:rFonts w:ascii="仿宋" w:hAnsi="仿宋" w:eastAsia="仿宋" w:cs="Segoe UI"/>
          <w:color w:val="000000"/>
          <w:kern w:val="0"/>
          <w:sz w:val="30"/>
          <w:szCs w:val="30"/>
        </w:rPr>
        <w:t>年“三公”经费预算</w:t>
      </w:r>
      <w:r>
        <w:rPr>
          <w:rFonts w:hint="eastAsia" w:ascii="仿宋" w:hAnsi="仿宋" w:eastAsia="仿宋" w:cs="Segoe UI"/>
          <w:color w:val="000000"/>
          <w:kern w:val="0"/>
          <w:sz w:val="30"/>
          <w:szCs w:val="30"/>
          <w:lang w:val="en-US" w:eastAsia="zh-CN"/>
        </w:rPr>
        <w:t>5.30</w:t>
      </w:r>
      <w:r>
        <w:rPr>
          <w:rFonts w:ascii="仿宋" w:hAnsi="仿宋" w:eastAsia="仿宋" w:cs="Segoe UI"/>
          <w:color w:val="000000"/>
          <w:kern w:val="0"/>
          <w:sz w:val="30"/>
          <w:szCs w:val="30"/>
        </w:rPr>
        <w:t>万元，实际支出</w:t>
      </w:r>
      <w:r>
        <w:rPr>
          <w:rFonts w:hint="eastAsia" w:ascii="仿宋" w:hAnsi="仿宋" w:eastAsia="仿宋" w:cs="Segoe UI"/>
          <w:color w:val="000000"/>
          <w:kern w:val="0"/>
          <w:sz w:val="30"/>
          <w:szCs w:val="30"/>
          <w:lang w:val="en-US" w:eastAsia="zh-CN"/>
        </w:rPr>
        <w:t>2.88</w:t>
      </w:r>
      <w:r>
        <w:rPr>
          <w:rFonts w:ascii="仿宋" w:hAnsi="仿宋" w:eastAsia="仿宋" w:cs="Segoe UI"/>
          <w:color w:val="000000"/>
          <w:kern w:val="0"/>
          <w:sz w:val="30"/>
          <w:szCs w:val="30"/>
        </w:rPr>
        <w:t>万元，节约</w:t>
      </w:r>
      <w:r>
        <w:rPr>
          <w:rFonts w:hint="eastAsia" w:ascii="仿宋" w:hAnsi="仿宋" w:eastAsia="仿宋" w:cs="Segoe UI"/>
          <w:color w:val="000000"/>
          <w:kern w:val="0"/>
          <w:sz w:val="30"/>
          <w:szCs w:val="30"/>
          <w:lang w:val="en-US" w:eastAsia="zh-CN"/>
        </w:rPr>
        <w:t>2.42</w:t>
      </w:r>
      <w:r>
        <w:rPr>
          <w:rFonts w:ascii="仿宋" w:hAnsi="仿宋" w:eastAsia="仿宋" w:cs="Segoe UI"/>
          <w:color w:val="000000"/>
          <w:kern w:val="0"/>
          <w:sz w:val="30"/>
          <w:szCs w:val="30"/>
        </w:rPr>
        <w:t>万元，执行率</w:t>
      </w:r>
      <w:r>
        <w:rPr>
          <w:rFonts w:hint="eastAsia" w:ascii="仿宋" w:hAnsi="仿宋" w:eastAsia="仿宋" w:cs="Segoe UI"/>
          <w:color w:val="000000"/>
          <w:kern w:val="0"/>
          <w:sz w:val="30"/>
          <w:szCs w:val="30"/>
          <w:lang w:val="en-US" w:eastAsia="zh-CN"/>
        </w:rPr>
        <w:t>54.34</w:t>
      </w:r>
      <w:r>
        <w:rPr>
          <w:rFonts w:ascii="仿宋" w:hAnsi="仿宋" w:eastAsia="仿宋" w:cs="Segoe UI"/>
          <w:color w:val="000000"/>
          <w:kern w:val="0"/>
          <w:sz w:val="30"/>
          <w:szCs w:val="30"/>
        </w:rPr>
        <w:t>%。其中：公务用车运行维护费预算</w:t>
      </w:r>
      <w:r>
        <w:rPr>
          <w:rFonts w:hint="eastAsia" w:ascii="仿宋" w:hAnsi="仿宋" w:eastAsia="仿宋" w:cs="Segoe UI"/>
          <w:color w:val="000000"/>
          <w:kern w:val="0"/>
          <w:sz w:val="30"/>
          <w:szCs w:val="30"/>
          <w:lang w:val="en-US" w:eastAsia="zh-CN"/>
        </w:rPr>
        <w:t>2.8</w:t>
      </w:r>
      <w:r>
        <w:rPr>
          <w:rFonts w:ascii="仿宋" w:hAnsi="仿宋" w:eastAsia="仿宋" w:cs="Segoe UI"/>
          <w:color w:val="000000"/>
          <w:kern w:val="0"/>
          <w:sz w:val="30"/>
          <w:szCs w:val="30"/>
        </w:rPr>
        <w:t>万元，实际支出</w:t>
      </w:r>
      <w:r>
        <w:rPr>
          <w:rFonts w:hint="eastAsia" w:ascii="仿宋" w:hAnsi="仿宋" w:eastAsia="仿宋" w:cs="Segoe UI"/>
          <w:color w:val="000000"/>
          <w:kern w:val="0"/>
          <w:sz w:val="30"/>
          <w:szCs w:val="30"/>
          <w:lang w:val="en-US" w:eastAsia="zh-CN"/>
        </w:rPr>
        <w:t>2.8</w:t>
      </w:r>
      <w:r>
        <w:rPr>
          <w:rFonts w:ascii="仿宋" w:hAnsi="仿宋" w:eastAsia="仿宋" w:cs="Segoe UI"/>
          <w:color w:val="000000"/>
          <w:kern w:val="0"/>
          <w:sz w:val="30"/>
          <w:szCs w:val="30"/>
        </w:rPr>
        <w:t>万元。公务接待费预算</w:t>
      </w:r>
      <w:r>
        <w:rPr>
          <w:rFonts w:hint="eastAsia" w:ascii="仿宋" w:hAnsi="仿宋" w:eastAsia="仿宋" w:cs="Segoe UI"/>
          <w:color w:val="000000"/>
          <w:kern w:val="0"/>
          <w:sz w:val="30"/>
          <w:szCs w:val="30"/>
          <w:lang w:val="en-US" w:eastAsia="zh-CN"/>
        </w:rPr>
        <w:t>2.5</w:t>
      </w:r>
      <w:r>
        <w:rPr>
          <w:rFonts w:ascii="仿宋" w:hAnsi="仿宋" w:eastAsia="仿宋" w:cs="Segoe UI"/>
          <w:color w:val="000000"/>
          <w:kern w:val="0"/>
          <w:sz w:val="30"/>
          <w:szCs w:val="30"/>
        </w:rPr>
        <w:t>万元，实际支出</w:t>
      </w:r>
      <w:r>
        <w:rPr>
          <w:rFonts w:hint="eastAsia" w:ascii="仿宋" w:hAnsi="仿宋" w:eastAsia="仿宋" w:cs="Segoe UI"/>
          <w:color w:val="000000"/>
          <w:kern w:val="0"/>
          <w:sz w:val="30"/>
          <w:szCs w:val="30"/>
          <w:lang w:val="en-US" w:eastAsia="zh-CN"/>
        </w:rPr>
        <w:t>0.08</w:t>
      </w:r>
      <w:r>
        <w:rPr>
          <w:rFonts w:ascii="仿宋" w:hAnsi="仿宋" w:eastAsia="仿宋" w:cs="Segoe UI"/>
          <w:color w:val="000000"/>
          <w:kern w:val="0"/>
          <w:sz w:val="30"/>
          <w:szCs w:val="30"/>
        </w:rPr>
        <w:t>万元，主要用于</w:t>
      </w:r>
      <w:r>
        <w:rPr>
          <w:rFonts w:hint="eastAsia" w:ascii="仿宋" w:hAnsi="仿宋" w:eastAsia="仿宋" w:cs="Segoe UI"/>
          <w:color w:val="000000"/>
          <w:kern w:val="0"/>
          <w:sz w:val="30"/>
          <w:szCs w:val="30"/>
          <w:lang w:eastAsia="zh-CN"/>
        </w:rPr>
        <w:t>社保</w:t>
      </w:r>
      <w:r>
        <w:rPr>
          <w:rFonts w:ascii="仿宋" w:hAnsi="仿宋" w:eastAsia="仿宋" w:cs="Segoe UI"/>
          <w:color w:val="000000"/>
          <w:kern w:val="0"/>
          <w:sz w:val="30"/>
          <w:szCs w:val="30"/>
        </w:rPr>
        <w:t>系统工作交流，严格执行接待标准。因公出国（境）费预算0万元，全年无该项支出。</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ascii="仿宋" w:hAnsi="仿宋" w:eastAsia="仿宋" w:cs="Segoe UI"/>
          <w:color w:val="000000"/>
          <w:kern w:val="0"/>
          <w:sz w:val="30"/>
          <w:szCs w:val="30"/>
        </w:rPr>
        <w:t>（二）项目支出</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ascii="仿宋" w:hAnsi="仿宋" w:eastAsia="仿宋" w:cs="Segoe UI"/>
          <w:color w:val="000000"/>
          <w:kern w:val="0"/>
          <w:sz w:val="30"/>
          <w:szCs w:val="30"/>
        </w:rPr>
        <w:t>1.资金安排与投入</w:t>
      </w:r>
      <w:r>
        <w:rPr>
          <w:rFonts w:hint="eastAsia" w:ascii="仿宋" w:hAnsi="仿宋" w:eastAsia="仿宋" w:cs="Segoe UI"/>
          <w:color w:val="000000"/>
          <w:kern w:val="0"/>
          <w:sz w:val="30"/>
          <w:szCs w:val="30"/>
        </w:rPr>
        <w:t>：</w:t>
      </w:r>
      <w:r>
        <w:rPr>
          <w:rFonts w:ascii="仿宋" w:hAnsi="仿宋" w:eastAsia="仿宋" w:cs="Segoe UI"/>
          <w:color w:val="000000"/>
          <w:kern w:val="0"/>
          <w:sz w:val="30"/>
          <w:szCs w:val="30"/>
        </w:rPr>
        <w:t>项目支出预算</w:t>
      </w:r>
      <w:r>
        <w:rPr>
          <w:rFonts w:hint="eastAsia" w:ascii="仿宋" w:hAnsi="仿宋" w:eastAsia="仿宋" w:cs="Segoe UI"/>
          <w:color w:val="000000"/>
          <w:kern w:val="0"/>
          <w:sz w:val="30"/>
          <w:szCs w:val="30"/>
          <w:lang w:val="en-US" w:eastAsia="zh-CN"/>
        </w:rPr>
        <w:t>144.41</w:t>
      </w:r>
      <w:r>
        <w:rPr>
          <w:rFonts w:ascii="仿宋" w:hAnsi="仿宋" w:eastAsia="仿宋" w:cs="Segoe UI"/>
          <w:color w:val="000000"/>
          <w:kern w:val="0"/>
          <w:sz w:val="30"/>
          <w:szCs w:val="30"/>
        </w:rPr>
        <w:t>万元，实际执行</w:t>
      </w:r>
      <w:r>
        <w:rPr>
          <w:rFonts w:hint="eastAsia" w:ascii="仿宋" w:hAnsi="仿宋" w:eastAsia="仿宋" w:cs="Segoe UI"/>
          <w:color w:val="000000"/>
          <w:kern w:val="0"/>
          <w:sz w:val="30"/>
          <w:szCs w:val="30"/>
          <w:lang w:val="en-US" w:eastAsia="zh-CN"/>
        </w:rPr>
        <w:t>144.41</w:t>
      </w:r>
      <w:r>
        <w:rPr>
          <w:rFonts w:ascii="仿宋" w:hAnsi="仿宋" w:eastAsia="仿宋" w:cs="Segoe UI"/>
          <w:color w:val="000000"/>
          <w:kern w:val="0"/>
          <w:sz w:val="30"/>
          <w:szCs w:val="30"/>
        </w:rPr>
        <w:t>万元，完成率</w:t>
      </w:r>
      <w:r>
        <w:rPr>
          <w:rFonts w:hint="eastAsia" w:ascii="仿宋" w:hAnsi="仿宋" w:eastAsia="仿宋" w:cs="Segoe UI"/>
          <w:color w:val="000000"/>
          <w:kern w:val="0"/>
          <w:sz w:val="30"/>
          <w:szCs w:val="30"/>
          <w:lang w:val="en-US" w:eastAsia="zh-CN"/>
        </w:rPr>
        <w:t>100</w:t>
      </w:r>
      <w:r>
        <w:rPr>
          <w:rFonts w:ascii="仿宋" w:hAnsi="仿宋" w:eastAsia="仿宋" w:cs="Segoe UI"/>
          <w:color w:val="000000"/>
          <w:kern w:val="0"/>
          <w:sz w:val="30"/>
          <w:szCs w:val="30"/>
        </w:rPr>
        <w:t>%，资金来源全部为一般公共预算拨款，具体包括：</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hint="eastAsia" w:ascii="仿宋" w:hAnsi="仿宋" w:eastAsia="仿宋" w:cs="Segoe UI"/>
          <w:color w:val="000000"/>
          <w:kern w:val="0"/>
          <w:sz w:val="30"/>
          <w:szCs w:val="30"/>
        </w:rPr>
        <w:t>（1）</w:t>
      </w:r>
      <w:r>
        <w:rPr>
          <w:rFonts w:ascii="仿宋" w:hAnsi="仿宋" w:eastAsia="仿宋" w:cs="Segoe UI"/>
          <w:color w:val="000000"/>
          <w:kern w:val="0"/>
          <w:sz w:val="30"/>
          <w:szCs w:val="30"/>
        </w:rPr>
        <w:t>就业创业服务类</w:t>
      </w:r>
      <w:r>
        <w:rPr>
          <w:rFonts w:hint="eastAsia" w:ascii="仿宋" w:hAnsi="仿宋" w:eastAsia="仿宋" w:cs="Segoe UI"/>
          <w:color w:val="000000"/>
          <w:kern w:val="0"/>
          <w:sz w:val="30"/>
          <w:szCs w:val="30"/>
          <w:lang w:val="en-US" w:eastAsia="zh-CN"/>
        </w:rPr>
        <w:t>8.84</w:t>
      </w:r>
      <w:r>
        <w:rPr>
          <w:rFonts w:ascii="仿宋" w:hAnsi="仿宋" w:eastAsia="仿宋" w:cs="Segoe UI"/>
          <w:color w:val="000000"/>
          <w:kern w:val="0"/>
          <w:sz w:val="30"/>
          <w:szCs w:val="30"/>
        </w:rPr>
        <w:t>万元，占项目支出</w:t>
      </w:r>
      <w:r>
        <w:rPr>
          <w:rFonts w:hint="eastAsia" w:ascii="仿宋" w:hAnsi="仿宋" w:eastAsia="仿宋" w:cs="Segoe UI"/>
          <w:color w:val="000000"/>
          <w:kern w:val="0"/>
          <w:sz w:val="30"/>
          <w:szCs w:val="30"/>
          <w:lang w:val="en-US" w:eastAsia="zh-CN"/>
        </w:rPr>
        <w:t>6.12</w:t>
      </w:r>
      <w:r>
        <w:rPr>
          <w:rFonts w:ascii="仿宋" w:hAnsi="仿宋" w:eastAsia="仿宋" w:cs="Segoe UI"/>
          <w:color w:val="000000"/>
          <w:kern w:val="0"/>
          <w:sz w:val="30"/>
          <w:szCs w:val="30"/>
        </w:rPr>
        <w:t>%，用于</w:t>
      </w:r>
      <w:r>
        <w:rPr>
          <w:rFonts w:hint="eastAsia" w:ascii="仿宋" w:hAnsi="仿宋" w:eastAsia="仿宋" w:cs="Segoe UI"/>
          <w:color w:val="000000"/>
          <w:kern w:val="0"/>
          <w:sz w:val="30"/>
          <w:szCs w:val="30"/>
          <w:lang w:eastAsia="zh-CN"/>
        </w:rPr>
        <w:t>公益性岗位及社保补贴</w:t>
      </w:r>
      <w:r>
        <w:rPr>
          <w:rFonts w:ascii="仿宋" w:hAnsi="仿宋" w:eastAsia="仿宋" w:cs="Segoe UI"/>
          <w:color w:val="000000"/>
          <w:kern w:val="0"/>
          <w:sz w:val="30"/>
          <w:szCs w:val="30"/>
        </w:rPr>
        <w:t>（</w:t>
      </w:r>
      <w:r>
        <w:rPr>
          <w:rFonts w:hint="eastAsia" w:ascii="仿宋" w:hAnsi="仿宋" w:eastAsia="仿宋" w:cs="Segoe UI"/>
          <w:color w:val="000000"/>
          <w:kern w:val="0"/>
          <w:sz w:val="30"/>
          <w:szCs w:val="30"/>
          <w:lang w:val="en-US" w:eastAsia="zh-CN"/>
        </w:rPr>
        <w:t>8.84</w:t>
      </w:r>
      <w:r>
        <w:rPr>
          <w:rFonts w:ascii="仿宋" w:hAnsi="仿宋" w:eastAsia="仿宋" w:cs="Segoe UI"/>
          <w:color w:val="000000"/>
          <w:kern w:val="0"/>
          <w:sz w:val="30"/>
          <w:szCs w:val="30"/>
        </w:rPr>
        <w:t>万元）。</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hint="eastAsia" w:ascii="仿宋" w:hAnsi="仿宋" w:eastAsia="仿宋" w:cs="Segoe UI"/>
          <w:color w:val="000000"/>
          <w:kern w:val="0"/>
          <w:sz w:val="30"/>
          <w:szCs w:val="30"/>
        </w:rPr>
        <w:t>（2）</w:t>
      </w:r>
      <w:r>
        <w:rPr>
          <w:rFonts w:ascii="仿宋" w:hAnsi="仿宋" w:eastAsia="仿宋" w:cs="Segoe UI"/>
          <w:color w:val="000000"/>
          <w:kern w:val="0"/>
          <w:sz w:val="30"/>
          <w:szCs w:val="30"/>
        </w:rPr>
        <w:t>社保</w:t>
      </w:r>
      <w:r>
        <w:rPr>
          <w:rFonts w:hint="eastAsia" w:ascii="仿宋" w:hAnsi="仿宋" w:eastAsia="仿宋" w:cs="Segoe UI"/>
          <w:color w:val="000000"/>
          <w:kern w:val="0"/>
          <w:sz w:val="30"/>
          <w:szCs w:val="30"/>
          <w:lang w:eastAsia="zh-CN"/>
        </w:rPr>
        <w:t>机构运行及</w:t>
      </w:r>
      <w:r>
        <w:rPr>
          <w:rFonts w:ascii="仿宋" w:hAnsi="仿宋" w:eastAsia="仿宋" w:cs="Segoe UI"/>
          <w:color w:val="000000"/>
          <w:kern w:val="0"/>
          <w:sz w:val="30"/>
          <w:szCs w:val="30"/>
        </w:rPr>
        <w:t>基金监管类</w:t>
      </w:r>
      <w:r>
        <w:rPr>
          <w:rFonts w:hint="eastAsia" w:ascii="仿宋" w:hAnsi="仿宋" w:eastAsia="仿宋" w:cs="Segoe UI"/>
          <w:color w:val="000000"/>
          <w:kern w:val="0"/>
          <w:sz w:val="30"/>
          <w:szCs w:val="30"/>
          <w:lang w:val="en-US" w:eastAsia="zh-CN"/>
        </w:rPr>
        <w:t>127.57</w:t>
      </w:r>
      <w:r>
        <w:rPr>
          <w:rFonts w:ascii="仿宋" w:hAnsi="仿宋" w:eastAsia="仿宋" w:cs="Segoe UI"/>
          <w:color w:val="000000"/>
          <w:kern w:val="0"/>
          <w:sz w:val="30"/>
          <w:szCs w:val="30"/>
        </w:rPr>
        <w:t>万元，占</w:t>
      </w:r>
      <w:r>
        <w:rPr>
          <w:rFonts w:hint="eastAsia" w:ascii="仿宋" w:hAnsi="仿宋" w:eastAsia="仿宋" w:cs="Segoe UI"/>
          <w:color w:val="000000"/>
          <w:kern w:val="0"/>
          <w:sz w:val="30"/>
          <w:szCs w:val="30"/>
          <w:lang w:val="en-US" w:eastAsia="zh-CN"/>
        </w:rPr>
        <w:t>88.34</w:t>
      </w:r>
      <w:r>
        <w:rPr>
          <w:rFonts w:ascii="仿宋" w:hAnsi="仿宋" w:eastAsia="仿宋" w:cs="Segoe UI"/>
          <w:color w:val="000000"/>
          <w:kern w:val="0"/>
          <w:sz w:val="30"/>
          <w:szCs w:val="30"/>
        </w:rPr>
        <w:t>%，用于</w:t>
      </w:r>
      <w:r>
        <w:rPr>
          <w:rFonts w:hint="eastAsia" w:ascii="仿宋" w:hAnsi="仿宋" w:eastAsia="仿宋" w:cs="Segoe UI"/>
          <w:color w:val="000000"/>
          <w:kern w:val="0"/>
          <w:sz w:val="30"/>
          <w:szCs w:val="30"/>
          <w:lang w:eastAsia="zh-CN"/>
        </w:rPr>
        <w:t>社会保险基金防风险堵漏洞经费</w:t>
      </w:r>
      <w:r>
        <w:rPr>
          <w:rFonts w:ascii="仿宋" w:hAnsi="仿宋" w:eastAsia="仿宋" w:cs="Segoe UI"/>
          <w:color w:val="000000"/>
          <w:kern w:val="0"/>
          <w:sz w:val="30"/>
          <w:szCs w:val="30"/>
        </w:rPr>
        <w:t>（</w:t>
      </w:r>
      <w:r>
        <w:rPr>
          <w:rFonts w:hint="eastAsia" w:ascii="仿宋" w:hAnsi="仿宋" w:eastAsia="仿宋" w:cs="Segoe UI"/>
          <w:color w:val="000000"/>
          <w:kern w:val="0"/>
          <w:sz w:val="30"/>
          <w:szCs w:val="30"/>
          <w:lang w:val="en-US" w:eastAsia="zh-CN"/>
        </w:rPr>
        <w:t>2</w:t>
      </w:r>
      <w:r>
        <w:rPr>
          <w:rFonts w:ascii="仿宋" w:hAnsi="仿宋" w:eastAsia="仿宋" w:cs="Segoe UI"/>
          <w:color w:val="000000"/>
          <w:kern w:val="0"/>
          <w:sz w:val="30"/>
          <w:szCs w:val="30"/>
        </w:rPr>
        <w:t>0万元）、</w:t>
      </w:r>
      <w:r>
        <w:rPr>
          <w:rFonts w:hint="eastAsia" w:ascii="仿宋" w:hAnsi="仿宋" w:eastAsia="仿宋" w:cs="Segoe UI"/>
          <w:color w:val="000000"/>
          <w:kern w:val="0"/>
          <w:sz w:val="30"/>
          <w:szCs w:val="30"/>
          <w:lang w:val="en-US" w:eastAsia="zh-CN"/>
        </w:rPr>
        <w:t>社会保险经办机构经费</w:t>
      </w:r>
      <w:r>
        <w:rPr>
          <w:rFonts w:ascii="仿宋" w:hAnsi="仿宋" w:eastAsia="仿宋" w:cs="Segoe UI"/>
          <w:color w:val="000000"/>
          <w:kern w:val="0"/>
          <w:sz w:val="30"/>
          <w:szCs w:val="30"/>
        </w:rPr>
        <w:t>（</w:t>
      </w:r>
      <w:r>
        <w:rPr>
          <w:rFonts w:hint="eastAsia" w:ascii="仿宋" w:hAnsi="仿宋" w:eastAsia="仿宋" w:cs="Segoe UI"/>
          <w:color w:val="000000"/>
          <w:kern w:val="0"/>
          <w:sz w:val="30"/>
          <w:szCs w:val="30"/>
          <w:lang w:val="en-US" w:eastAsia="zh-CN"/>
        </w:rPr>
        <w:t>102.57</w:t>
      </w:r>
      <w:r>
        <w:rPr>
          <w:rFonts w:ascii="仿宋" w:hAnsi="仿宋" w:eastAsia="仿宋" w:cs="Segoe UI"/>
          <w:color w:val="000000"/>
          <w:kern w:val="0"/>
          <w:sz w:val="30"/>
          <w:szCs w:val="30"/>
        </w:rPr>
        <w:t>万元）</w:t>
      </w:r>
      <w:r>
        <w:rPr>
          <w:rFonts w:hint="eastAsia" w:ascii="仿宋" w:hAnsi="仿宋" w:eastAsia="仿宋" w:cs="Segoe UI"/>
          <w:color w:val="000000"/>
          <w:kern w:val="0"/>
          <w:sz w:val="30"/>
          <w:szCs w:val="30"/>
          <w:lang w:eastAsia="zh-CN"/>
        </w:rPr>
        <w:t>、工伤预防经费</w:t>
      </w:r>
      <w:r>
        <w:rPr>
          <w:rFonts w:ascii="仿宋" w:hAnsi="仿宋" w:eastAsia="仿宋" w:cs="Segoe UI"/>
          <w:color w:val="000000"/>
          <w:kern w:val="0"/>
          <w:sz w:val="30"/>
          <w:szCs w:val="30"/>
        </w:rPr>
        <w:t>（</w:t>
      </w:r>
      <w:r>
        <w:rPr>
          <w:rFonts w:hint="eastAsia" w:ascii="仿宋" w:hAnsi="仿宋" w:eastAsia="仿宋" w:cs="Segoe UI"/>
          <w:color w:val="000000"/>
          <w:kern w:val="0"/>
          <w:sz w:val="30"/>
          <w:szCs w:val="30"/>
          <w:lang w:val="en-US" w:eastAsia="zh-CN"/>
        </w:rPr>
        <w:t>5</w:t>
      </w:r>
      <w:r>
        <w:rPr>
          <w:rFonts w:ascii="仿宋" w:hAnsi="仿宋" w:eastAsia="仿宋" w:cs="Segoe UI"/>
          <w:color w:val="000000"/>
          <w:kern w:val="0"/>
          <w:sz w:val="30"/>
          <w:szCs w:val="30"/>
        </w:rPr>
        <w:t>万元）。</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rPr>
      </w:pPr>
      <w:r>
        <w:rPr>
          <w:rFonts w:hint="eastAsia" w:ascii="仿宋" w:hAnsi="仿宋" w:eastAsia="仿宋" w:cs="Segoe UI"/>
          <w:color w:val="000000"/>
          <w:kern w:val="0"/>
          <w:sz w:val="30"/>
          <w:szCs w:val="30"/>
        </w:rPr>
        <w:t>（3）</w:t>
      </w:r>
      <w:r>
        <w:rPr>
          <w:rFonts w:hint="eastAsia" w:ascii="仿宋" w:hAnsi="仿宋" w:eastAsia="仿宋" w:cs="Segoe UI"/>
          <w:color w:val="000000"/>
          <w:kern w:val="0"/>
          <w:sz w:val="30"/>
          <w:szCs w:val="30"/>
          <w:lang w:eastAsia="zh-CN"/>
        </w:rPr>
        <w:t>其他社会保障及就业支出</w:t>
      </w:r>
      <w:r>
        <w:rPr>
          <w:rFonts w:ascii="仿宋" w:hAnsi="仿宋" w:eastAsia="仿宋" w:cs="Segoe UI"/>
          <w:color w:val="000000"/>
          <w:kern w:val="0"/>
          <w:sz w:val="30"/>
          <w:szCs w:val="30"/>
        </w:rPr>
        <w:t>类</w:t>
      </w:r>
      <w:r>
        <w:rPr>
          <w:rFonts w:hint="eastAsia" w:ascii="仿宋" w:hAnsi="仿宋" w:eastAsia="仿宋" w:cs="Segoe UI"/>
          <w:color w:val="000000"/>
          <w:kern w:val="0"/>
          <w:sz w:val="30"/>
          <w:szCs w:val="30"/>
          <w:lang w:val="en-US" w:eastAsia="zh-CN"/>
        </w:rPr>
        <w:t>5</w:t>
      </w:r>
      <w:r>
        <w:rPr>
          <w:rFonts w:ascii="仿宋" w:hAnsi="仿宋" w:eastAsia="仿宋" w:cs="Segoe UI"/>
          <w:color w:val="000000"/>
          <w:kern w:val="0"/>
          <w:sz w:val="30"/>
          <w:szCs w:val="30"/>
        </w:rPr>
        <w:t>万元，占</w:t>
      </w:r>
      <w:r>
        <w:rPr>
          <w:rFonts w:hint="eastAsia" w:ascii="仿宋" w:hAnsi="仿宋" w:eastAsia="仿宋" w:cs="Segoe UI"/>
          <w:color w:val="000000"/>
          <w:kern w:val="0"/>
          <w:sz w:val="30"/>
          <w:szCs w:val="30"/>
          <w:lang w:val="en-US" w:eastAsia="zh-CN"/>
        </w:rPr>
        <w:t>3.46</w:t>
      </w:r>
      <w:r>
        <w:rPr>
          <w:rFonts w:ascii="仿宋" w:hAnsi="仿宋" w:eastAsia="仿宋" w:cs="Segoe UI"/>
          <w:color w:val="000000"/>
          <w:kern w:val="0"/>
          <w:sz w:val="30"/>
          <w:szCs w:val="30"/>
        </w:rPr>
        <w:t>%，用于</w:t>
      </w:r>
      <w:r>
        <w:rPr>
          <w:rFonts w:hint="eastAsia" w:ascii="仿宋" w:hAnsi="仿宋" w:eastAsia="仿宋" w:cs="Segoe UI"/>
          <w:color w:val="000000"/>
          <w:kern w:val="0"/>
          <w:sz w:val="30"/>
          <w:szCs w:val="30"/>
          <w:lang w:eastAsia="zh-CN"/>
        </w:rPr>
        <w:t>社保专项活动经费</w:t>
      </w:r>
      <w:r>
        <w:rPr>
          <w:rFonts w:ascii="仿宋" w:hAnsi="仿宋" w:eastAsia="仿宋" w:cs="Segoe UI"/>
          <w:color w:val="000000"/>
          <w:kern w:val="0"/>
          <w:sz w:val="30"/>
          <w:szCs w:val="30"/>
        </w:rPr>
        <w:t>（</w:t>
      </w:r>
      <w:r>
        <w:rPr>
          <w:rFonts w:hint="eastAsia" w:ascii="仿宋" w:hAnsi="仿宋" w:eastAsia="仿宋" w:cs="Segoe UI"/>
          <w:color w:val="000000"/>
          <w:kern w:val="0"/>
          <w:sz w:val="30"/>
          <w:szCs w:val="30"/>
          <w:lang w:val="en-US" w:eastAsia="zh-CN"/>
        </w:rPr>
        <w:t>5</w:t>
      </w:r>
      <w:r>
        <w:rPr>
          <w:rFonts w:ascii="仿宋" w:hAnsi="仿宋" w:eastAsia="仿宋" w:cs="Segoe UI"/>
          <w:color w:val="000000"/>
          <w:kern w:val="0"/>
          <w:sz w:val="30"/>
          <w:szCs w:val="30"/>
        </w:rPr>
        <w:t>万元）。</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default" w:ascii="仿宋" w:hAnsi="仿宋" w:eastAsia="仿宋" w:cs="Segoe UI"/>
          <w:color w:val="000000"/>
          <w:kern w:val="0"/>
          <w:sz w:val="30"/>
          <w:szCs w:val="30"/>
          <w:lang w:val="en-US" w:eastAsia="zh-CN"/>
        </w:rPr>
      </w:pPr>
      <w:r>
        <w:rPr>
          <w:rFonts w:hint="eastAsia" w:ascii="仿宋" w:hAnsi="仿宋" w:eastAsia="仿宋" w:cs="Segoe UI"/>
          <w:color w:val="000000"/>
          <w:kern w:val="0"/>
          <w:sz w:val="30"/>
          <w:szCs w:val="30"/>
          <w:lang w:eastAsia="zh-CN"/>
        </w:rPr>
        <w:t>（</w:t>
      </w:r>
      <w:r>
        <w:rPr>
          <w:rFonts w:hint="eastAsia" w:ascii="仿宋" w:hAnsi="仿宋" w:eastAsia="仿宋" w:cs="Segoe UI"/>
          <w:color w:val="000000"/>
          <w:kern w:val="0"/>
          <w:sz w:val="30"/>
          <w:szCs w:val="30"/>
          <w:lang w:val="en-US" w:eastAsia="zh-CN"/>
        </w:rPr>
        <w:t>4</w:t>
      </w:r>
      <w:r>
        <w:rPr>
          <w:rFonts w:hint="eastAsia" w:ascii="仿宋" w:hAnsi="仿宋" w:eastAsia="仿宋" w:cs="Segoe UI"/>
          <w:color w:val="000000"/>
          <w:kern w:val="0"/>
          <w:sz w:val="30"/>
          <w:szCs w:val="30"/>
          <w:lang w:eastAsia="zh-CN"/>
        </w:rPr>
        <w:t>）通信设备、计算机及其他电子设备制造业类</w:t>
      </w:r>
      <w:r>
        <w:rPr>
          <w:rFonts w:hint="eastAsia" w:ascii="仿宋" w:hAnsi="仿宋" w:eastAsia="仿宋" w:cs="Segoe UI"/>
          <w:color w:val="000000"/>
          <w:kern w:val="0"/>
          <w:sz w:val="30"/>
          <w:szCs w:val="30"/>
          <w:lang w:val="en-US" w:eastAsia="zh-CN"/>
        </w:rPr>
        <w:t>3万元，占比2.08%，用于中央基建投资-AK替代专项（3万元）。</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highlight w:val="none"/>
        </w:rPr>
      </w:pPr>
      <w:r>
        <w:rPr>
          <w:rFonts w:ascii="仿宋" w:hAnsi="仿宋" w:eastAsia="仿宋" w:cs="Segoe UI"/>
          <w:color w:val="000000"/>
          <w:kern w:val="0"/>
          <w:sz w:val="30"/>
          <w:szCs w:val="30"/>
          <w:highlight w:val="none"/>
        </w:rPr>
        <w:t>2.资金实际使用</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highlight w:val="none"/>
        </w:rPr>
      </w:pPr>
      <w:r>
        <w:rPr>
          <w:rFonts w:ascii="仿宋" w:hAnsi="仿宋" w:eastAsia="仿宋" w:cs="Segoe UI"/>
          <w:color w:val="000000"/>
          <w:kern w:val="0"/>
          <w:sz w:val="30"/>
          <w:szCs w:val="30"/>
          <w:highlight w:val="none"/>
        </w:rPr>
        <w:t>重点项目执行：</w:t>
      </w:r>
      <w:r>
        <w:rPr>
          <w:rFonts w:hint="eastAsia" w:ascii="仿宋" w:hAnsi="仿宋" w:eastAsia="仿宋" w:cs="Segoe UI"/>
          <w:color w:val="000000"/>
          <w:kern w:val="0"/>
          <w:sz w:val="30"/>
          <w:szCs w:val="30"/>
          <w:highlight w:val="none"/>
          <w:lang w:eastAsia="zh-CN"/>
        </w:rPr>
        <w:t>社会保险经办机构经费</w:t>
      </w:r>
      <w:r>
        <w:rPr>
          <w:rFonts w:hint="eastAsia" w:ascii="仿宋" w:hAnsi="仿宋" w:eastAsia="仿宋" w:cs="Segoe UI"/>
          <w:color w:val="000000"/>
          <w:kern w:val="0"/>
          <w:sz w:val="30"/>
          <w:szCs w:val="30"/>
          <w:highlight w:val="none"/>
          <w:lang w:val="en-US" w:eastAsia="zh-CN"/>
        </w:rPr>
        <w:t>102.57</w:t>
      </w:r>
      <w:r>
        <w:rPr>
          <w:rFonts w:ascii="仿宋" w:hAnsi="仿宋" w:eastAsia="仿宋" w:cs="Segoe UI"/>
          <w:color w:val="000000"/>
          <w:kern w:val="0"/>
          <w:sz w:val="30"/>
          <w:szCs w:val="30"/>
          <w:highlight w:val="none"/>
        </w:rPr>
        <w:t>万元，用于</w:t>
      </w:r>
      <w:r>
        <w:rPr>
          <w:rFonts w:hint="eastAsia" w:ascii="仿宋" w:hAnsi="仿宋" w:eastAsia="仿宋" w:cs="Segoe UI"/>
          <w:color w:val="000000"/>
          <w:kern w:val="0"/>
          <w:sz w:val="30"/>
          <w:szCs w:val="30"/>
          <w:highlight w:val="none"/>
          <w:lang w:eastAsia="zh-CN"/>
        </w:rPr>
        <w:t>养老保险的业务办理、政策宣传、机关养老保险新业务改革、退休人员资格认证、退休人员待遇调整等</w:t>
      </w:r>
      <w:r>
        <w:rPr>
          <w:rFonts w:ascii="仿宋" w:hAnsi="仿宋" w:eastAsia="仿宋" w:cs="Segoe UI"/>
          <w:color w:val="000000"/>
          <w:kern w:val="0"/>
          <w:sz w:val="30"/>
          <w:szCs w:val="30"/>
          <w:highlight w:val="none"/>
        </w:rPr>
        <w:t>。</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default"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社会保险基金防风险堵漏洞经费</w:t>
      </w:r>
      <w:r>
        <w:rPr>
          <w:rFonts w:hint="eastAsia" w:ascii="仿宋" w:hAnsi="仿宋" w:eastAsia="仿宋" w:cs="Segoe UI"/>
          <w:color w:val="000000"/>
          <w:kern w:val="0"/>
          <w:sz w:val="30"/>
          <w:szCs w:val="30"/>
          <w:highlight w:val="none"/>
          <w:lang w:val="en-US" w:eastAsia="zh-CN"/>
        </w:rPr>
        <w:t>2</w:t>
      </w:r>
      <w:r>
        <w:rPr>
          <w:rFonts w:ascii="仿宋" w:hAnsi="仿宋" w:eastAsia="仿宋" w:cs="Segoe UI"/>
          <w:color w:val="000000"/>
          <w:kern w:val="0"/>
          <w:sz w:val="30"/>
          <w:szCs w:val="30"/>
          <w:highlight w:val="none"/>
        </w:rPr>
        <w:t>0万元，</w:t>
      </w:r>
      <w:r>
        <w:rPr>
          <w:rFonts w:hint="eastAsia" w:ascii="仿宋" w:hAnsi="仿宋" w:eastAsia="仿宋" w:cs="Segoe UI"/>
          <w:color w:val="000000"/>
          <w:kern w:val="0"/>
          <w:sz w:val="30"/>
          <w:szCs w:val="30"/>
          <w:highlight w:val="none"/>
          <w:lang w:val="en-US" w:eastAsia="zh-CN"/>
        </w:rPr>
        <w:t>2025年，</w:t>
      </w:r>
      <w:r>
        <w:rPr>
          <w:rFonts w:hint="default" w:ascii="仿宋" w:hAnsi="仿宋" w:eastAsia="仿宋" w:cs="Segoe UI"/>
          <w:color w:val="000000"/>
          <w:kern w:val="0"/>
          <w:sz w:val="30"/>
          <w:szCs w:val="30"/>
          <w:highlight w:val="none"/>
          <w:lang w:eastAsia="zh-CN"/>
        </w:rPr>
        <w:t>我市常态化开展社保基金稽核工作。2025年，市本级线上抽查业务316笔，未发现问题；线下内控检查发现问题6个，已整改3个，3个正在整改。市本级接收预警信息50条，已核查50条，核查完成率100%；接收疑点数据165条，已核查165条，其中9条应整改疑点数据已全部整改完成。</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highlight w:val="none"/>
        </w:rPr>
      </w:pPr>
      <w:r>
        <w:rPr>
          <w:rFonts w:ascii="仿宋" w:hAnsi="仿宋" w:eastAsia="仿宋" w:cs="Segoe UI"/>
          <w:color w:val="000000"/>
          <w:kern w:val="0"/>
          <w:sz w:val="30"/>
          <w:szCs w:val="30"/>
          <w:highlight w:val="none"/>
        </w:rPr>
        <w:t>3.资金管理情况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highlight w:val="none"/>
        </w:rPr>
      </w:pPr>
      <w:r>
        <w:rPr>
          <w:rFonts w:ascii="仿宋" w:hAnsi="仿宋" w:eastAsia="仿宋" w:cs="Segoe UI"/>
          <w:color w:val="000000"/>
          <w:kern w:val="0"/>
          <w:sz w:val="30"/>
          <w:szCs w:val="30"/>
          <w:highlight w:val="none"/>
        </w:rPr>
        <w:t>项目单独设账核算，科目使用准确。如工伤</w:t>
      </w:r>
      <w:r>
        <w:rPr>
          <w:rFonts w:hint="eastAsia" w:ascii="仿宋" w:hAnsi="仿宋" w:eastAsia="仿宋" w:cs="Segoe UI"/>
          <w:color w:val="000000"/>
          <w:kern w:val="0"/>
          <w:sz w:val="30"/>
          <w:szCs w:val="30"/>
          <w:highlight w:val="none"/>
          <w:lang w:eastAsia="zh-CN"/>
        </w:rPr>
        <w:t>预防</w:t>
      </w:r>
      <w:r>
        <w:rPr>
          <w:rFonts w:ascii="仿宋" w:hAnsi="仿宋" w:eastAsia="仿宋" w:cs="Segoe UI"/>
          <w:color w:val="000000"/>
          <w:kern w:val="0"/>
          <w:sz w:val="30"/>
          <w:szCs w:val="30"/>
          <w:highlight w:val="none"/>
        </w:rPr>
        <w:t>经费</w:t>
      </w:r>
      <w:r>
        <w:rPr>
          <w:rFonts w:hint="eastAsia" w:ascii="仿宋" w:hAnsi="仿宋" w:eastAsia="仿宋" w:cs="Segoe UI"/>
          <w:color w:val="000000"/>
          <w:kern w:val="0"/>
          <w:sz w:val="30"/>
          <w:szCs w:val="30"/>
          <w:highlight w:val="none"/>
          <w:lang w:val="en-US" w:eastAsia="zh-CN"/>
        </w:rPr>
        <w:t>5</w:t>
      </w:r>
      <w:r>
        <w:rPr>
          <w:rFonts w:ascii="仿宋" w:hAnsi="仿宋" w:eastAsia="仿宋" w:cs="Segoe UI"/>
          <w:color w:val="000000"/>
          <w:kern w:val="0"/>
          <w:sz w:val="30"/>
          <w:szCs w:val="30"/>
          <w:highlight w:val="none"/>
        </w:rPr>
        <w:t>万元</w:t>
      </w:r>
      <w:r>
        <w:rPr>
          <w:rFonts w:hint="eastAsia" w:ascii="仿宋" w:hAnsi="仿宋" w:eastAsia="仿宋" w:cs="Segoe UI"/>
          <w:color w:val="000000"/>
          <w:kern w:val="0"/>
          <w:sz w:val="30"/>
          <w:szCs w:val="30"/>
          <w:highlight w:val="none"/>
          <w:lang w:eastAsia="zh-CN"/>
        </w:rPr>
        <w:t>，全用于工伤预防宣传相关支出</w:t>
      </w:r>
      <w:r>
        <w:rPr>
          <w:rFonts w:ascii="仿宋" w:hAnsi="仿宋" w:eastAsia="仿宋" w:cs="Segoe UI"/>
          <w:color w:val="000000"/>
          <w:kern w:val="0"/>
          <w:sz w:val="30"/>
          <w:szCs w:val="30"/>
          <w:highlight w:val="none"/>
        </w:rPr>
        <w:t>，凭证齐全。</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三、项目组织实施情况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highlight w:val="none"/>
        </w:rPr>
      </w:pPr>
      <w:r>
        <w:rPr>
          <w:rFonts w:ascii="仿宋" w:hAnsi="仿宋" w:eastAsia="仿宋" w:cs="Segoe UI"/>
          <w:color w:val="000000"/>
          <w:kern w:val="0"/>
          <w:sz w:val="30"/>
          <w:szCs w:val="30"/>
          <w:highlight w:val="none"/>
        </w:rPr>
        <w:t>（一）项目组织情况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highlight w:val="none"/>
        </w:rPr>
      </w:pPr>
      <w:r>
        <w:rPr>
          <w:rFonts w:ascii="仿宋" w:hAnsi="仿宋" w:eastAsia="仿宋" w:cs="Segoe UI"/>
          <w:color w:val="000000"/>
          <w:kern w:val="0"/>
          <w:sz w:val="30"/>
          <w:szCs w:val="30"/>
          <w:highlight w:val="none"/>
        </w:rPr>
        <w:t>1.项目招投标情况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highlight w:val="none"/>
        </w:rPr>
      </w:pPr>
      <w:r>
        <w:rPr>
          <w:rFonts w:ascii="仿宋" w:hAnsi="仿宋" w:eastAsia="仿宋" w:cs="Segoe UI"/>
          <w:color w:val="000000"/>
          <w:kern w:val="0"/>
          <w:sz w:val="30"/>
          <w:szCs w:val="30"/>
          <w:highlight w:val="none"/>
        </w:rPr>
        <w:t>202</w:t>
      </w:r>
      <w:r>
        <w:rPr>
          <w:rFonts w:hint="eastAsia" w:ascii="仿宋" w:hAnsi="仿宋" w:eastAsia="仿宋" w:cs="Segoe UI"/>
          <w:color w:val="000000"/>
          <w:kern w:val="0"/>
          <w:sz w:val="30"/>
          <w:szCs w:val="30"/>
          <w:highlight w:val="none"/>
          <w:lang w:val="en-US" w:eastAsia="zh-CN"/>
        </w:rPr>
        <w:t>5</w:t>
      </w:r>
      <w:r>
        <w:rPr>
          <w:rFonts w:ascii="仿宋" w:hAnsi="仿宋" w:eastAsia="仿宋" w:cs="Segoe UI"/>
          <w:color w:val="000000"/>
          <w:kern w:val="0"/>
          <w:sz w:val="30"/>
          <w:szCs w:val="30"/>
          <w:highlight w:val="none"/>
        </w:rPr>
        <w:t>年项目支出中，涉及政府采购的</w:t>
      </w:r>
      <w:r>
        <w:rPr>
          <w:rFonts w:hint="eastAsia" w:ascii="仿宋" w:hAnsi="仿宋" w:eastAsia="仿宋" w:cs="Segoe UI"/>
          <w:color w:val="000000"/>
          <w:kern w:val="0"/>
          <w:sz w:val="30"/>
          <w:szCs w:val="30"/>
          <w:highlight w:val="none"/>
          <w:lang w:eastAsia="zh-CN"/>
        </w:rPr>
        <w:t>支出</w:t>
      </w:r>
      <w:r>
        <w:rPr>
          <w:rFonts w:ascii="仿宋" w:hAnsi="仿宋" w:eastAsia="仿宋" w:cs="Segoe UI"/>
          <w:color w:val="000000"/>
          <w:kern w:val="0"/>
          <w:sz w:val="30"/>
          <w:szCs w:val="30"/>
          <w:highlight w:val="none"/>
        </w:rPr>
        <w:t>总额为</w:t>
      </w:r>
      <w:r>
        <w:rPr>
          <w:rFonts w:hint="eastAsia" w:ascii="仿宋" w:hAnsi="仿宋" w:eastAsia="仿宋" w:cs="Segoe UI"/>
          <w:color w:val="000000"/>
          <w:kern w:val="0"/>
          <w:sz w:val="30"/>
          <w:szCs w:val="30"/>
          <w:highlight w:val="none"/>
          <w:lang w:val="en-US" w:eastAsia="zh-CN"/>
        </w:rPr>
        <w:t>3</w:t>
      </w:r>
      <w:r>
        <w:rPr>
          <w:rFonts w:ascii="仿宋" w:hAnsi="仿宋" w:eastAsia="仿宋" w:cs="Segoe UI"/>
          <w:color w:val="000000"/>
          <w:kern w:val="0"/>
          <w:sz w:val="30"/>
          <w:szCs w:val="30"/>
          <w:highlight w:val="none"/>
        </w:rPr>
        <w:t>万元，均为货物采购，主要用于办公设备购置。所有采购项目均严格按照《政府采购法》执行，流程合规，未出现违规操作情况。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ascii="仿宋" w:hAnsi="仿宋" w:eastAsia="仿宋" w:cs="Segoe UI"/>
          <w:color w:val="000000"/>
          <w:kern w:val="0"/>
          <w:sz w:val="30"/>
          <w:szCs w:val="30"/>
          <w:highlight w:val="none"/>
        </w:rPr>
      </w:pPr>
      <w:r>
        <w:rPr>
          <w:rFonts w:ascii="仿宋" w:hAnsi="仿宋" w:eastAsia="仿宋" w:cs="Segoe UI"/>
          <w:color w:val="000000"/>
          <w:kern w:val="0"/>
          <w:sz w:val="30"/>
          <w:szCs w:val="30"/>
          <w:highlight w:val="none"/>
        </w:rPr>
        <w:t>2.项目调整情况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无</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3.项目竣工验收情况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所有项目均按计划完成验收，验收流程规范。</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（二）项目管理情况分析</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1.制度建设：建立《项目管理办法》《绩效目标考核细则》，明确责任分工及验收标准。如基金监管项目实行“部室负责人-分管领导-中心主任”三级审核，确保检查结果客观。</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2.日常监管：建立项目台账，每月召开推进会，对滞后项目下发《督办函》。</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四、资产管理情况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（一）制度与管理措施</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制定《固定资产管理制度》《国有资产处置办法》，实行“一物一卡”台账管理，纳入“湖南省行政事业性国有资产管理系统”。</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（二）配置与处置程序</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1.资产配置：申请→汇总→审核→审批→采购→验收登记。</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2.资产处置：使用部门提出报废申请→技术鉴定→财务核实→领导审批→报市财政局备案→公开处置。202</w:t>
      </w:r>
      <w:r>
        <w:rPr>
          <w:rFonts w:hint="eastAsia" w:ascii="仿宋" w:hAnsi="仿宋" w:eastAsia="仿宋" w:cs="Segoe UI"/>
          <w:color w:val="000000"/>
          <w:kern w:val="0"/>
          <w:sz w:val="30"/>
          <w:szCs w:val="30"/>
          <w:highlight w:val="none"/>
          <w:lang w:val="en-US" w:eastAsia="zh-CN"/>
        </w:rPr>
        <w:t>5</w:t>
      </w:r>
      <w:r>
        <w:rPr>
          <w:rFonts w:hint="eastAsia" w:ascii="仿宋" w:hAnsi="仿宋" w:eastAsia="仿宋" w:cs="Segoe UI"/>
          <w:color w:val="000000"/>
          <w:kern w:val="0"/>
          <w:sz w:val="30"/>
          <w:szCs w:val="30"/>
          <w:highlight w:val="none"/>
          <w:lang w:eastAsia="zh-CN"/>
        </w:rPr>
        <w:t>年处置</w:t>
      </w:r>
      <w:r>
        <w:rPr>
          <w:rFonts w:hint="eastAsia" w:ascii="仿宋" w:hAnsi="仿宋" w:eastAsia="仿宋" w:cs="Segoe UI"/>
          <w:color w:val="000000"/>
          <w:kern w:val="0"/>
          <w:sz w:val="30"/>
          <w:szCs w:val="30"/>
          <w:highlight w:val="none"/>
          <w:lang w:val="en-US" w:eastAsia="zh-CN"/>
        </w:rPr>
        <w:t>37件闲置家具</w:t>
      </w:r>
      <w:r>
        <w:rPr>
          <w:rFonts w:hint="eastAsia" w:ascii="仿宋" w:hAnsi="仿宋" w:eastAsia="仿宋" w:cs="Segoe UI"/>
          <w:color w:val="000000"/>
          <w:kern w:val="0"/>
          <w:sz w:val="30"/>
          <w:szCs w:val="30"/>
          <w:highlight w:val="none"/>
          <w:lang w:eastAsia="zh-CN"/>
        </w:rPr>
        <w:t>，</w:t>
      </w:r>
      <w:r>
        <w:rPr>
          <w:rFonts w:hint="eastAsia" w:ascii="仿宋" w:hAnsi="仿宋" w:eastAsia="仿宋" w:cs="Segoe UI"/>
          <w:color w:val="000000"/>
          <w:kern w:val="0"/>
          <w:sz w:val="30"/>
          <w:szCs w:val="30"/>
          <w:highlight w:val="none"/>
          <w:lang w:val="en-US" w:eastAsia="zh-CN"/>
        </w:rPr>
        <w:t>全部移交至市机关事务局公务仓，</w:t>
      </w:r>
      <w:r>
        <w:rPr>
          <w:rFonts w:hint="eastAsia" w:ascii="仿宋" w:hAnsi="仿宋" w:eastAsia="仿宋" w:cs="Segoe UI"/>
          <w:color w:val="000000"/>
          <w:kern w:val="0"/>
          <w:sz w:val="30"/>
          <w:szCs w:val="30"/>
          <w:highlight w:val="none"/>
          <w:lang w:eastAsia="zh-CN"/>
        </w:rPr>
        <w:t>过程全程留痕。</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五、政府性基金预算支出情况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202</w:t>
      </w:r>
      <w:r>
        <w:rPr>
          <w:rFonts w:hint="eastAsia" w:ascii="仿宋" w:hAnsi="仿宋" w:eastAsia="仿宋" w:cs="Segoe UI"/>
          <w:color w:val="000000"/>
          <w:kern w:val="0"/>
          <w:sz w:val="30"/>
          <w:szCs w:val="30"/>
          <w:highlight w:val="none"/>
          <w:lang w:val="en-US" w:eastAsia="zh-CN"/>
        </w:rPr>
        <w:t>5</w:t>
      </w:r>
      <w:r>
        <w:rPr>
          <w:rFonts w:hint="eastAsia" w:ascii="仿宋" w:hAnsi="仿宋" w:eastAsia="仿宋" w:cs="Segoe UI"/>
          <w:color w:val="000000"/>
          <w:kern w:val="0"/>
          <w:sz w:val="30"/>
          <w:szCs w:val="30"/>
          <w:highlight w:val="none"/>
          <w:lang w:eastAsia="zh-CN"/>
        </w:rPr>
        <w:t>年度无政府性基金预算支出。</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六、国有资本经营预算支出情况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202</w:t>
      </w:r>
      <w:r>
        <w:rPr>
          <w:rFonts w:hint="eastAsia" w:ascii="仿宋" w:hAnsi="仿宋" w:eastAsia="仿宋" w:cs="Segoe UI"/>
          <w:color w:val="000000"/>
          <w:kern w:val="0"/>
          <w:sz w:val="30"/>
          <w:szCs w:val="30"/>
          <w:highlight w:val="none"/>
          <w:lang w:val="en-US" w:eastAsia="zh-CN"/>
        </w:rPr>
        <w:t>5</w:t>
      </w:r>
      <w:r>
        <w:rPr>
          <w:rFonts w:hint="eastAsia" w:ascii="仿宋" w:hAnsi="仿宋" w:eastAsia="仿宋" w:cs="Segoe UI"/>
          <w:color w:val="000000"/>
          <w:kern w:val="0"/>
          <w:sz w:val="30"/>
          <w:szCs w:val="30"/>
          <w:highlight w:val="none"/>
          <w:lang w:eastAsia="zh-CN"/>
        </w:rPr>
        <w:t>年度无国有资本经营预算支出。</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七、社会保险基金预算支出情况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202</w:t>
      </w:r>
      <w:r>
        <w:rPr>
          <w:rFonts w:hint="eastAsia" w:ascii="仿宋" w:hAnsi="仿宋" w:eastAsia="仿宋" w:cs="Segoe UI"/>
          <w:color w:val="000000"/>
          <w:kern w:val="0"/>
          <w:sz w:val="30"/>
          <w:szCs w:val="30"/>
          <w:highlight w:val="none"/>
          <w:lang w:val="en-US" w:eastAsia="zh-CN"/>
        </w:rPr>
        <w:t>5</w:t>
      </w:r>
      <w:r>
        <w:rPr>
          <w:rFonts w:hint="eastAsia" w:ascii="仿宋" w:hAnsi="仿宋" w:eastAsia="仿宋" w:cs="Segoe UI"/>
          <w:color w:val="000000"/>
          <w:kern w:val="0"/>
          <w:sz w:val="30"/>
          <w:szCs w:val="30"/>
          <w:highlight w:val="none"/>
          <w:lang w:eastAsia="zh-CN"/>
        </w:rPr>
        <w:t>年度无社会保险基金预算支出。</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八、部门整体支出绩效情况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（一）绩效目标完成情况</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1.社会保障目标：全市基本养老保险参保</w:t>
      </w:r>
      <w:r>
        <w:rPr>
          <w:rFonts w:hint="eastAsia" w:ascii="仿宋" w:hAnsi="仿宋" w:eastAsia="仿宋" w:cs="Segoe UI"/>
          <w:color w:val="000000"/>
          <w:kern w:val="0"/>
          <w:sz w:val="30"/>
          <w:szCs w:val="30"/>
          <w:highlight w:val="none"/>
          <w:lang w:val="en-US" w:eastAsia="zh-CN"/>
        </w:rPr>
        <w:t>349.97</w:t>
      </w:r>
      <w:r>
        <w:rPr>
          <w:rFonts w:hint="eastAsia" w:ascii="仿宋" w:hAnsi="仿宋" w:eastAsia="仿宋" w:cs="Segoe UI"/>
          <w:color w:val="000000"/>
          <w:kern w:val="0"/>
          <w:sz w:val="30"/>
          <w:szCs w:val="30"/>
          <w:highlight w:val="none"/>
          <w:lang w:eastAsia="zh-CN"/>
        </w:rPr>
        <w:t>万人、工伤保险</w:t>
      </w:r>
      <w:r>
        <w:rPr>
          <w:rFonts w:hint="eastAsia" w:ascii="仿宋" w:hAnsi="仿宋" w:eastAsia="仿宋" w:cs="Segoe UI"/>
          <w:color w:val="000000"/>
          <w:kern w:val="0"/>
          <w:sz w:val="30"/>
          <w:szCs w:val="30"/>
          <w:highlight w:val="none"/>
          <w:lang w:val="en-US" w:eastAsia="zh-CN"/>
        </w:rPr>
        <w:t>48.39</w:t>
      </w:r>
      <w:r>
        <w:rPr>
          <w:rFonts w:hint="eastAsia" w:ascii="仿宋" w:hAnsi="仿宋" w:eastAsia="仿宋" w:cs="Segoe UI"/>
          <w:color w:val="000000"/>
          <w:kern w:val="0"/>
          <w:sz w:val="30"/>
          <w:szCs w:val="30"/>
          <w:highlight w:val="none"/>
          <w:lang w:eastAsia="zh-CN"/>
        </w:rPr>
        <w:t>万人；</w:t>
      </w:r>
      <w:r>
        <w:rPr>
          <w:rFonts w:hint="default" w:ascii="仿宋" w:hAnsi="仿宋" w:eastAsia="仿宋" w:cs="Segoe UI"/>
          <w:color w:val="000000"/>
          <w:kern w:val="0"/>
          <w:sz w:val="30"/>
          <w:szCs w:val="30"/>
          <w:lang w:val="en-US" w:eastAsia="zh-CN"/>
        </w:rPr>
        <w:t>落实企业和机关事业单位退休人员待遇同步调整机制，及时调整工伤保险待遇水平</w:t>
      </w:r>
      <w:r>
        <w:rPr>
          <w:rFonts w:hint="eastAsia" w:ascii="仿宋" w:hAnsi="仿宋" w:eastAsia="仿宋" w:cs="Segoe UI"/>
          <w:color w:val="000000"/>
          <w:kern w:val="0"/>
          <w:sz w:val="30"/>
          <w:szCs w:val="30"/>
          <w:lang w:val="en-US" w:eastAsia="zh-CN"/>
        </w:rPr>
        <w:t>；</w:t>
      </w:r>
      <w:r>
        <w:rPr>
          <w:rFonts w:hint="default" w:ascii="仿宋" w:hAnsi="仿宋" w:eastAsia="仿宋" w:cs="Segoe UI"/>
          <w:color w:val="000000"/>
          <w:kern w:val="0"/>
          <w:sz w:val="30"/>
          <w:szCs w:val="30"/>
          <w:lang w:val="en-US" w:eastAsia="zh-CN"/>
        </w:rPr>
        <w:t>落实机关事业单位养老保险改革过渡期结束后待遇平稳衔接办法，</w:t>
      </w:r>
      <w:r>
        <w:rPr>
          <w:rFonts w:hint="eastAsia" w:ascii="仿宋" w:hAnsi="仿宋" w:eastAsia="仿宋" w:cs="Segoe UI"/>
          <w:color w:val="000000"/>
          <w:kern w:val="0"/>
          <w:sz w:val="30"/>
          <w:szCs w:val="30"/>
          <w:lang w:val="en-US" w:eastAsia="zh-CN"/>
        </w:rPr>
        <w:t>保障机关事业单位</w:t>
      </w:r>
      <w:r>
        <w:rPr>
          <w:rFonts w:hint="default" w:ascii="仿宋" w:hAnsi="仿宋" w:eastAsia="仿宋" w:cs="Segoe UI"/>
          <w:color w:val="000000"/>
          <w:kern w:val="0"/>
          <w:sz w:val="30"/>
          <w:szCs w:val="30"/>
          <w:lang w:val="en-US" w:eastAsia="zh-CN"/>
        </w:rPr>
        <w:t>退休职工养老待遇</w:t>
      </w:r>
      <w:r>
        <w:rPr>
          <w:rFonts w:hint="eastAsia" w:ascii="仿宋" w:hAnsi="仿宋" w:eastAsia="仿宋" w:cs="Segoe UI"/>
          <w:color w:val="000000"/>
          <w:kern w:val="0"/>
          <w:sz w:val="30"/>
          <w:szCs w:val="30"/>
          <w:lang w:val="en-US" w:eastAsia="zh-CN"/>
        </w:rPr>
        <w:t>；</w:t>
      </w:r>
      <w:r>
        <w:rPr>
          <w:rFonts w:hint="default" w:ascii="仿宋" w:hAnsi="仿宋" w:eastAsia="仿宋" w:cs="Segoe UI"/>
          <w:color w:val="000000"/>
          <w:kern w:val="0"/>
          <w:sz w:val="30"/>
          <w:szCs w:val="30"/>
          <w:lang w:val="en-US" w:eastAsia="zh-CN"/>
        </w:rPr>
        <w:t>全面落实社保补贴扩围、特殊困难人员政府代缴、退捕渔民社保补贴等政策，切实保障困难群体社保权益。</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（二）运行成本分析</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1.资金执行：整体支出执行率</w:t>
      </w:r>
      <w:r>
        <w:rPr>
          <w:rFonts w:hint="eastAsia" w:ascii="仿宋" w:hAnsi="仿宋" w:eastAsia="仿宋" w:cs="Segoe UI"/>
          <w:color w:val="000000"/>
          <w:kern w:val="0"/>
          <w:sz w:val="30"/>
          <w:szCs w:val="30"/>
          <w:highlight w:val="none"/>
          <w:lang w:val="en-US" w:eastAsia="zh-CN"/>
        </w:rPr>
        <w:t>98.23</w:t>
      </w:r>
      <w:r>
        <w:rPr>
          <w:rFonts w:hint="eastAsia" w:ascii="仿宋" w:hAnsi="仿宋" w:eastAsia="仿宋" w:cs="Segoe UI"/>
          <w:color w:val="000000"/>
          <w:kern w:val="0"/>
          <w:sz w:val="30"/>
          <w:szCs w:val="30"/>
          <w:highlight w:val="none"/>
          <w:lang w:eastAsia="zh-CN"/>
        </w:rPr>
        <w:t>%，基本支出和项目支出均控制在预算内。</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2.节能降耗：办公费较去年下降，通过无纸化办公降低成本。</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（三）管理效率提升</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“湘办通”平台上线后，数字化操作能力不断提升。</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（四）可持续影响</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default" w:ascii="仿宋" w:hAnsi="仿宋" w:eastAsia="仿宋" w:cs="Segoe UI"/>
          <w:color w:val="000000"/>
          <w:kern w:val="0"/>
          <w:sz w:val="30"/>
          <w:szCs w:val="30"/>
          <w:highlight w:val="none"/>
          <w:lang w:eastAsia="zh-CN"/>
        </w:rPr>
      </w:pPr>
      <w:r>
        <w:rPr>
          <w:rFonts w:hint="default" w:ascii="仿宋" w:hAnsi="仿宋" w:eastAsia="仿宋" w:cs="Segoe UI"/>
          <w:color w:val="000000"/>
          <w:kern w:val="0"/>
          <w:sz w:val="30"/>
          <w:szCs w:val="30"/>
          <w:highlight w:val="none"/>
          <w:lang w:eastAsia="zh-CN"/>
        </w:rPr>
        <w:t>2025年，市本级在工伤保险待遇发放环节创新建立</w:t>
      </w:r>
      <w:r>
        <w:rPr>
          <w:rFonts w:hint="eastAsia" w:ascii="仿宋" w:hAnsi="仿宋" w:eastAsia="仿宋" w:cs="Segoe UI"/>
          <w:color w:val="000000"/>
          <w:kern w:val="0"/>
          <w:sz w:val="30"/>
          <w:szCs w:val="30"/>
          <w:highlight w:val="none"/>
          <w:lang w:eastAsia="zh-CN"/>
        </w:rPr>
        <w:t>“</w:t>
      </w:r>
      <w:r>
        <w:rPr>
          <w:rFonts w:hint="default" w:ascii="仿宋" w:hAnsi="仿宋" w:eastAsia="仿宋" w:cs="Segoe UI"/>
          <w:color w:val="000000"/>
          <w:kern w:val="0"/>
          <w:sz w:val="30"/>
          <w:szCs w:val="30"/>
          <w:highlight w:val="none"/>
          <w:lang w:eastAsia="zh-CN"/>
        </w:rPr>
        <w:t>预发补差+三方协议</w:t>
      </w:r>
      <w:r>
        <w:rPr>
          <w:rFonts w:hint="eastAsia" w:ascii="仿宋" w:hAnsi="仿宋" w:eastAsia="仿宋" w:cs="Segoe UI"/>
          <w:color w:val="000000"/>
          <w:kern w:val="0"/>
          <w:sz w:val="30"/>
          <w:szCs w:val="30"/>
          <w:highlight w:val="none"/>
          <w:lang w:eastAsia="zh-CN"/>
        </w:rPr>
        <w:t>”</w:t>
      </w:r>
      <w:r>
        <w:rPr>
          <w:rFonts w:hint="default" w:ascii="仿宋" w:hAnsi="仿宋" w:eastAsia="仿宋" w:cs="Segoe UI"/>
          <w:color w:val="000000"/>
          <w:kern w:val="0"/>
          <w:sz w:val="30"/>
          <w:szCs w:val="30"/>
          <w:highlight w:val="none"/>
          <w:lang w:eastAsia="zh-CN"/>
        </w:rPr>
        <w:t>双重机制。针对上年度职工平均工资数据发布滞后的普遍难题，实行</w:t>
      </w:r>
      <w:r>
        <w:rPr>
          <w:rFonts w:hint="eastAsia" w:ascii="仿宋" w:hAnsi="仿宋" w:eastAsia="仿宋" w:cs="Segoe UI"/>
          <w:color w:val="000000"/>
          <w:kern w:val="0"/>
          <w:sz w:val="30"/>
          <w:szCs w:val="30"/>
          <w:highlight w:val="none"/>
          <w:lang w:eastAsia="zh-CN"/>
        </w:rPr>
        <w:t>“</w:t>
      </w:r>
      <w:r>
        <w:rPr>
          <w:rFonts w:hint="default" w:ascii="仿宋" w:hAnsi="仿宋" w:eastAsia="仿宋" w:cs="Segoe UI"/>
          <w:color w:val="000000"/>
          <w:kern w:val="0"/>
          <w:sz w:val="30"/>
          <w:szCs w:val="30"/>
          <w:highlight w:val="none"/>
          <w:lang w:eastAsia="zh-CN"/>
        </w:rPr>
        <w:t>预核定+差额补发</w:t>
      </w:r>
      <w:r>
        <w:rPr>
          <w:rFonts w:hint="eastAsia" w:ascii="仿宋" w:hAnsi="仿宋" w:eastAsia="仿宋" w:cs="Segoe UI"/>
          <w:color w:val="000000"/>
          <w:kern w:val="0"/>
          <w:sz w:val="30"/>
          <w:szCs w:val="30"/>
          <w:highlight w:val="none"/>
          <w:lang w:eastAsia="zh-CN"/>
        </w:rPr>
        <w:t>”</w:t>
      </w:r>
      <w:r>
        <w:rPr>
          <w:rFonts w:hint="default" w:ascii="仿宋" w:hAnsi="仿宋" w:eastAsia="仿宋" w:cs="Segoe UI"/>
          <w:color w:val="000000"/>
          <w:kern w:val="0"/>
          <w:sz w:val="30"/>
          <w:szCs w:val="30"/>
          <w:highlight w:val="none"/>
          <w:lang w:eastAsia="zh-CN"/>
        </w:rPr>
        <w:t>工作法，全年补发495人次、补差额67.62万元；推行社保经办机构、用人单位、工伤职工三方《工伤保险待遇支付告知协议》签署，将政策解释与权益确认前置，全年告知500余人次，发放准确率达100%，从源头杜绝因信息不对称引发的争议纠纷。</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（五）服务对象满意度</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eastAsia" w:ascii="仿宋" w:hAnsi="仿宋" w:eastAsia="仿宋" w:cs="Segoe UI"/>
          <w:color w:val="000000"/>
          <w:kern w:val="0"/>
          <w:sz w:val="30"/>
          <w:szCs w:val="30"/>
          <w:highlight w:val="none"/>
          <w:lang w:eastAsia="zh-CN"/>
        </w:rPr>
      </w:pPr>
      <w:r>
        <w:rPr>
          <w:rFonts w:hint="eastAsia" w:ascii="仿宋" w:hAnsi="仿宋" w:eastAsia="仿宋" w:cs="Segoe UI"/>
          <w:color w:val="000000"/>
          <w:kern w:val="0"/>
          <w:sz w:val="30"/>
          <w:szCs w:val="30"/>
          <w:highlight w:val="none"/>
          <w:lang w:eastAsia="zh-CN"/>
        </w:rPr>
        <w:t>群众满意度：参保群众对社保服务满意度超</w:t>
      </w:r>
      <w:r>
        <w:rPr>
          <w:rFonts w:hint="eastAsia" w:ascii="仿宋" w:hAnsi="仿宋" w:eastAsia="仿宋" w:cs="Segoe UI"/>
          <w:color w:val="000000"/>
          <w:kern w:val="0"/>
          <w:sz w:val="30"/>
          <w:szCs w:val="30"/>
          <w:highlight w:val="none"/>
          <w:lang w:val="en-US" w:eastAsia="zh-CN"/>
        </w:rPr>
        <w:t>90%</w:t>
      </w:r>
      <w:r>
        <w:rPr>
          <w:rFonts w:hint="eastAsia" w:ascii="仿宋" w:hAnsi="仿宋" w:eastAsia="仿宋" w:cs="Segoe UI"/>
          <w:color w:val="000000"/>
          <w:kern w:val="0"/>
          <w:sz w:val="30"/>
          <w:szCs w:val="30"/>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九、存在的问题及原因分析</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default" w:ascii="仿宋" w:hAnsi="仿宋" w:eastAsia="仿宋" w:cs="Segoe UI"/>
          <w:color w:val="000000"/>
          <w:kern w:val="0"/>
          <w:sz w:val="30"/>
          <w:szCs w:val="30"/>
          <w:lang w:val="en-US" w:eastAsia="zh-CN"/>
        </w:rPr>
      </w:pPr>
      <w:r>
        <w:rPr>
          <w:rFonts w:hint="default" w:ascii="仿宋" w:hAnsi="仿宋" w:eastAsia="仿宋" w:cs="Segoe UI"/>
          <w:color w:val="000000"/>
          <w:kern w:val="0"/>
          <w:sz w:val="30"/>
          <w:szCs w:val="30"/>
          <w:lang w:val="en-US" w:eastAsia="zh-CN"/>
        </w:rPr>
        <w:t>1.风险防控方面。死亡冒领、服刑冒领等违规领取待遇问题仍是主要风险隐患。虽已与公安、民政、司法等部门建立数据共享机制，但数据更新存在滞后性，仍无法第一时间实时掌握参保人员死亡、服刑最新动态，难以及时停发相关待遇。</w:t>
      </w:r>
    </w:p>
    <w:p>
      <w:pPr>
        <w:keepNext w:val="0"/>
        <w:keepLines w:val="0"/>
        <w:pageBreakBefore w:val="0"/>
        <w:widowControl/>
        <w:kinsoku/>
        <w:wordWrap/>
        <w:overflowPunct/>
        <w:topLinePunct w:val="0"/>
        <w:bidi w:val="0"/>
        <w:spacing w:line="600" w:lineRule="exact"/>
        <w:ind w:left="0" w:firstLine="708" w:firstLineChars="236"/>
        <w:jc w:val="left"/>
        <w:textAlignment w:val="auto"/>
        <w:rPr>
          <w:rFonts w:hint="default" w:ascii="仿宋" w:hAnsi="仿宋" w:eastAsia="仿宋" w:cs="Segoe UI"/>
          <w:color w:val="000000"/>
          <w:kern w:val="0"/>
          <w:sz w:val="30"/>
          <w:szCs w:val="30"/>
          <w:lang w:val="en-US" w:eastAsia="zh-CN"/>
        </w:rPr>
      </w:pPr>
      <w:r>
        <w:rPr>
          <w:rFonts w:hint="eastAsia" w:ascii="仿宋" w:hAnsi="仿宋" w:eastAsia="仿宋" w:cs="Segoe UI"/>
          <w:color w:val="000000"/>
          <w:kern w:val="0"/>
          <w:sz w:val="30"/>
          <w:szCs w:val="30"/>
          <w:lang w:val="en-US" w:eastAsia="zh-CN"/>
        </w:rPr>
        <w:t>2.</w:t>
      </w:r>
      <w:r>
        <w:rPr>
          <w:rFonts w:hint="default" w:ascii="仿宋" w:hAnsi="仿宋" w:eastAsia="仿宋" w:cs="Segoe UI"/>
          <w:color w:val="000000"/>
          <w:kern w:val="0"/>
          <w:sz w:val="30"/>
          <w:szCs w:val="30"/>
          <w:lang w:val="en-US" w:eastAsia="zh-CN"/>
        </w:rPr>
        <w:t>基层经办方面。一是基层经办队伍老龄化趋势未根本扭转</w:t>
      </w:r>
      <w:r>
        <w:rPr>
          <w:rFonts w:hint="eastAsia" w:ascii="仿宋" w:hAnsi="仿宋" w:eastAsia="仿宋" w:cs="Segoe UI"/>
          <w:color w:val="000000"/>
          <w:kern w:val="0"/>
          <w:sz w:val="30"/>
          <w:szCs w:val="30"/>
          <w:lang w:val="en-US" w:eastAsia="zh-CN"/>
        </w:rPr>
        <w:t>。全市养老保险和工伤保险经办机构46岁以上人员占比偏高，部分县区35岁以下人员占比过低，新老交替压力大。</w:t>
      </w:r>
      <w:r>
        <w:rPr>
          <w:rFonts w:hint="default" w:ascii="仿宋" w:hAnsi="仿宋" w:eastAsia="仿宋" w:cs="Segoe UI"/>
          <w:color w:val="000000"/>
          <w:kern w:val="0"/>
          <w:sz w:val="30"/>
          <w:szCs w:val="30"/>
          <w:lang w:val="en-US" w:eastAsia="zh-CN"/>
        </w:rPr>
        <w:t>二是面对</w:t>
      </w:r>
      <w:r>
        <w:rPr>
          <w:rFonts w:hint="eastAsia" w:ascii="仿宋" w:hAnsi="仿宋" w:eastAsia="仿宋" w:cs="Segoe UI"/>
          <w:color w:val="000000"/>
          <w:kern w:val="0"/>
          <w:sz w:val="30"/>
          <w:szCs w:val="30"/>
          <w:lang w:val="en-US" w:eastAsia="zh-CN"/>
        </w:rPr>
        <w:t>新就业形态人员职业伤害保障</w:t>
      </w:r>
      <w:r>
        <w:rPr>
          <w:rFonts w:hint="default" w:ascii="仿宋" w:hAnsi="仿宋" w:eastAsia="仿宋" w:cs="Segoe UI"/>
          <w:color w:val="000000"/>
          <w:kern w:val="0"/>
          <w:sz w:val="30"/>
          <w:szCs w:val="30"/>
          <w:lang w:val="en-US" w:eastAsia="zh-CN"/>
        </w:rPr>
        <w:t>、复杂待遇核算、智能监管等新任务及社保经办数字化转型，经办人员业务素养需进一步提升。</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十、下一步改进措施</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织密风险防控网络，提升数据共享时效性</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严查违规领取待遇行为</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夯实基层经办基础，提升基层经办人员政策理解和系统操作水平</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强化经办服务保障</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十一、绩效自评结果应用</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结果应用：强化自评结果运用，与年度考核、评优评先及下年度预算编制挂钩，以评促改提效。</w:t>
      </w:r>
    </w:p>
    <w:p>
      <w:pPr>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pPr>
        <w:pStyle w:val="13"/>
        <w:keepNext w:val="0"/>
        <w:keepLines w:val="0"/>
        <w:pageBreakBefore w:val="0"/>
        <w:kinsoku/>
        <w:wordWrap/>
        <w:overflowPunct/>
        <w:topLinePunct w:val="0"/>
        <w:bidi w:val="0"/>
        <w:spacing w:line="600" w:lineRule="exact"/>
        <w:ind w:left="0"/>
        <w:jc w:val="both"/>
        <w:textAlignment w:val="auto"/>
        <w:rPr>
          <w:rFonts w:ascii="Times New Roman" w:hAnsi="Times New Roman" w:cs="Times New Roman"/>
          <w:sz w:val="72"/>
          <w:szCs w:val="72"/>
        </w:rPr>
      </w:pPr>
    </w:p>
    <w:p>
      <w:pPr>
        <w:keepNext w:val="0"/>
        <w:keepLines w:val="0"/>
        <w:pageBreakBefore w:val="0"/>
        <w:kinsoku/>
        <w:wordWrap/>
        <w:overflowPunct/>
        <w:topLinePunct w:val="0"/>
        <w:bidi w:val="0"/>
        <w:spacing w:line="560" w:lineRule="exact"/>
        <w:jc w:val="left"/>
        <w:textAlignment w:val="auto"/>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方正黑体_GBK">
    <w:panose1 w:val="02000000000000000000"/>
    <w:charset w:val="86"/>
    <w:family w:val="auto"/>
    <w:pitch w:val="default"/>
    <w:sig w:usb0="A00002BF" w:usb1="38CF7CFA" w:usb2="00082016" w:usb3="00000000" w:csb0="00040001" w:csb1="00000000"/>
  </w:font>
  <w:font w:name="Segoe UI">
    <w:panose1 w:val="020B0502040204020203"/>
    <w:charset w:val="00"/>
    <w:family w:val="swiss"/>
    <w:pitch w:val="default"/>
    <w:sig w:usb0="E10022FF" w:usb1="C000E47F" w:usb2="00000029" w:usb3="00000000" w:csb0="200001DF" w:csb1="2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04F3A4"/>
    <w:multiLevelType w:val="singleLevel"/>
    <w:tmpl w:val="BD04F3A4"/>
    <w:lvl w:ilvl="0" w:tentative="0">
      <w:start w:val="7"/>
      <w:numFmt w:val="chineseCounting"/>
      <w:suff w:val="nothing"/>
      <w:lvlText w:val="%1、"/>
      <w:lvlJc w:val="left"/>
      <w:rPr>
        <w:rFonts w:hint="eastAsia"/>
      </w:rPr>
    </w:lvl>
  </w:abstractNum>
  <w:abstractNum w:abstractNumId="1">
    <w:nsid w:val="ED6A3541"/>
    <w:multiLevelType w:val="singleLevel"/>
    <w:tmpl w:val="ED6A3541"/>
    <w:lvl w:ilvl="0" w:tentative="0">
      <w:start w:val="1"/>
      <w:numFmt w:val="decimal"/>
      <w:suff w:val="nothing"/>
      <w:lvlText w:val="%1．"/>
      <w:lvlJc w:val="left"/>
      <w:pPr>
        <w:ind w:left="-10" w:firstLine="400"/>
      </w:pPr>
      <w:rPr>
        <w:rFonts w:hint="default"/>
      </w:rPr>
    </w:lvl>
  </w:abstractNum>
  <w:abstractNum w:abstractNumId="2">
    <w:nsid w:val="7180FB05"/>
    <w:multiLevelType w:val="singleLevel"/>
    <w:tmpl w:val="7180FB05"/>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CF039C"/>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7D4202"/>
    <w:rsid w:val="038E5078"/>
    <w:rsid w:val="04496C7E"/>
    <w:rsid w:val="070C5F9C"/>
    <w:rsid w:val="07DC31E0"/>
    <w:rsid w:val="09680010"/>
    <w:rsid w:val="0C2A07DE"/>
    <w:rsid w:val="0F5E097A"/>
    <w:rsid w:val="112630FB"/>
    <w:rsid w:val="151321D6"/>
    <w:rsid w:val="151814F5"/>
    <w:rsid w:val="152D1E9B"/>
    <w:rsid w:val="19084600"/>
    <w:rsid w:val="1D7C78DA"/>
    <w:rsid w:val="1D97DEFF"/>
    <w:rsid w:val="1DFF72E5"/>
    <w:rsid w:val="1EFC6F07"/>
    <w:rsid w:val="271E69FA"/>
    <w:rsid w:val="2AE43110"/>
    <w:rsid w:val="2C635AE6"/>
    <w:rsid w:val="2FD25CC2"/>
    <w:rsid w:val="2FDF85B8"/>
    <w:rsid w:val="2FFFEE04"/>
    <w:rsid w:val="31682672"/>
    <w:rsid w:val="343D5DD1"/>
    <w:rsid w:val="34DF85B0"/>
    <w:rsid w:val="3B8F36BC"/>
    <w:rsid w:val="3BF02720"/>
    <w:rsid w:val="3D693303"/>
    <w:rsid w:val="3E1D2494"/>
    <w:rsid w:val="3EA232D2"/>
    <w:rsid w:val="3FE03674"/>
    <w:rsid w:val="41516138"/>
    <w:rsid w:val="429002CB"/>
    <w:rsid w:val="491FF225"/>
    <w:rsid w:val="4B220DC2"/>
    <w:rsid w:val="4FFD214C"/>
    <w:rsid w:val="56913859"/>
    <w:rsid w:val="5777D4F5"/>
    <w:rsid w:val="58125189"/>
    <w:rsid w:val="59DD8326"/>
    <w:rsid w:val="5AA747A4"/>
    <w:rsid w:val="5DEF592A"/>
    <w:rsid w:val="5ED54AB5"/>
    <w:rsid w:val="5FC6BB1E"/>
    <w:rsid w:val="5FF720F1"/>
    <w:rsid w:val="60856270"/>
    <w:rsid w:val="62B7218C"/>
    <w:rsid w:val="67FF5C0B"/>
    <w:rsid w:val="6CEA7DAF"/>
    <w:rsid w:val="6EFC0924"/>
    <w:rsid w:val="6FB74722"/>
    <w:rsid w:val="6FCDAE60"/>
    <w:rsid w:val="6FEF8B7E"/>
    <w:rsid w:val="71A6591B"/>
    <w:rsid w:val="737D59BA"/>
    <w:rsid w:val="77C37683"/>
    <w:rsid w:val="79D19834"/>
    <w:rsid w:val="79FF515B"/>
    <w:rsid w:val="7BF549BF"/>
    <w:rsid w:val="7E9E1962"/>
    <w:rsid w:val="7E9F11B4"/>
    <w:rsid w:val="7EAB5EB7"/>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table" w:customStyle="1" w:styleId="1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1372</Words>
  <Characters>1395</Characters>
  <Lines>69</Lines>
  <Paragraphs>19</Paragraphs>
  <TotalTime>3</TotalTime>
  <ScaleCrop>false</ScaleCrop>
  <LinksUpToDate>false</LinksUpToDate>
  <CharactersWithSpaces>1446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Administrator</cp:lastModifiedBy>
  <cp:lastPrinted>2026-09-23T15:51:00Z</cp:lastPrinted>
  <dcterms:modified xsi:type="dcterms:W3CDTF">2026-09-24T01:02:09Z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FF44623FA1CB43159B576A0BB1A88576</vt:lpwstr>
  </property>
  <property fmtid="{D5CDD505-2E9C-101B-9397-08002B2CF9AE}" pid="4" name="KSOTemplateDocerSaveRecord">
    <vt:lpwstr>eyJoZGlkIjoiYjcxOGQ3N2ZkM2IxYzgwNzgzY2YwYzg4Y2ZkNTMwZDAiLCJ1c2VySWQiOiI0ODYzODU3MjEifQ==</vt:lpwstr>
  </property>
</Properties>
</file>