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C18D0">
      <w:pPr>
        <w:pStyle w:val="14"/>
        <w:jc w:val="center"/>
        <w:rPr>
          <w:rFonts w:hint="eastAsia"/>
          <w:sz w:val="56"/>
          <w:szCs w:val="56"/>
        </w:rPr>
      </w:pPr>
    </w:p>
    <w:p w14:paraId="2DE8F758">
      <w:pPr>
        <w:pStyle w:val="14"/>
        <w:jc w:val="center"/>
        <w:rPr>
          <w:sz w:val="56"/>
          <w:szCs w:val="56"/>
        </w:rPr>
      </w:pPr>
    </w:p>
    <w:p w14:paraId="1E16739B">
      <w:pPr>
        <w:pStyle w:val="14"/>
        <w:jc w:val="center"/>
        <w:rPr>
          <w:sz w:val="84"/>
          <w:szCs w:val="84"/>
        </w:rPr>
      </w:pPr>
    </w:p>
    <w:p w14:paraId="7D498CB4">
      <w:pPr>
        <w:pStyle w:val="14"/>
        <w:jc w:val="center"/>
        <w:rPr>
          <w:sz w:val="84"/>
          <w:szCs w:val="84"/>
        </w:rPr>
      </w:pPr>
    </w:p>
    <w:p w14:paraId="2D665521">
      <w:pPr>
        <w:pStyle w:val="14"/>
        <w:jc w:val="center"/>
        <w:rPr>
          <w:sz w:val="84"/>
          <w:szCs w:val="84"/>
        </w:rPr>
      </w:pPr>
      <w:r>
        <w:rPr>
          <w:rFonts w:hint="eastAsia"/>
          <w:sz w:val="84"/>
          <w:szCs w:val="84"/>
        </w:rPr>
        <w:t>202</w:t>
      </w:r>
      <w:r>
        <w:rPr>
          <w:rFonts w:hint="eastAsia"/>
          <w:sz w:val="84"/>
          <w:szCs w:val="84"/>
          <w:lang w:val="en-US" w:eastAsia="zh-CN"/>
        </w:rPr>
        <w:t>5</w:t>
      </w:r>
      <w:r>
        <w:rPr>
          <w:rFonts w:hint="eastAsia"/>
          <w:sz w:val="84"/>
          <w:szCs w:val="84"/>
        </w:rPr>
        <w:t>年度</w:t>
      </w:r>
    </w:p>
    <w:p w14:paraId="115F0A4D">
      <w:pPr>
        <w:pStyle w:val="14"/>
        <w:bidi w:val="0"/>
        <w:jc w:val="center"/>
        <w:rPr>
          <w:sz w:val="84"/>
          <w:szCs w:val="84"/>
        </w:rPr>
      </w:pPr>
      <w:r>
        <w:rPr>
          <w:rFonts w:hint="eastAsia"/>
          <w:sz w:val="84"/>
          <w:szCs w:val="84"/>
          <w:lang w:eastAsia="zh-CN"/>
        </w:rPr>
        <w:t>怀化市林业局</w:t>
      </w:r>
      <w:r>
        <w:rPr>
          <w:rFonts w:hint="eastAsia"/>
          <w:sz w:val="84"/>
          <w:szCs w:val="84"/>
        </w:rPr>
        <w:t>部门决算</w:t>
      </w:r>
    </w:p>
    <w:p w14:paraId="3324D435">
      <w:pPr>
        <w:pStyle w:val="14"/>
        <w:jc w:val="center"/>
        <w:rPr>
          <w:sz w:val="84"/>
          <w:szCs w:val="84"/>
        </w:rPr>
      </w:pPr>
    </w:p>
    <w:p w14:paraId="36B369FD">
      <w:pPr>
        <w:pStyle w:val="14"/>
        <w:jc w:val="center"/>
        <w:rPr>
          <w:sz w:val="56"/>
          <w:szCs w:val="56"/>
        </w:rPr>
      </w:pPr>
    </w:p>
    <w:p w14:paraId="62490C2B">
      <w:pPr>
        <w:pStyle w:val="14"/>
        <w:jc w:val="center"/>
        <w:rPr>
          <w:sz w:val="56"/>
          <w:szCs w:val="56"/>
        </w:rPr>
      </w:pPr>
    </w:p>
    <w:p w14:paraId="7096FF69">
      <w:pPr>
        <w:pStyle w:val="14"/>
        <w:jc w:val="center"/>
        <w:rPr>
          <w:sz w:val="56"/>
          <w:szCs w:val="56"/>
        </w:rPr>
      </w:pPr>
    </w:p>
    <w:p w14:paraId="0E57FF03">
      <w:pPr>
        <w:pStyle w:val="14"/>
        <w:jc w:val="center"/>
        <w:rPr>
          <w:sz w:val="32"/>
          <w:szCs w:val="32"/>
        </w:rPr>
      </w:pPr>
    </w:p>
    <w:p w14:paraId="2932F446">
      <w:pPr>
        <w:pStyle w:val="14"/>
        <w:jc w:val="center"/>
        <w:rPr>
          <w:sz w:val="32"/>
          <w:szCs w:val="32"/>
        </w:rPr>
      </w:pPr>
    </w:p>
    <w:p w14:paraId="571262B4">
      <w:pPr>
        <w:pStyle w:val="14"/>
        <w:jc w:val="center"/>
        <w:rPr>
          <w:sz w:val="32"/>
          <w:szCs w:val="32"/>
        </w:rPr>
      </w:pPr>
    </w:p>
    <w:p w14:paraId="0060F7ED">
      <w:pPr>
        <w:pStyle w:val="14"/>
        <w:jc w:val="center"/>
        <w:rPr>
          <w:sz w:val="32"/>
          <w:szCs w:val="32"/>
        </w:rPr>
      </w:pPr>
    </w:p>
    <w:p w14:paraId="4502908A">
      <w:pPr>
        <w:pStyle w:val="14"/>
        <w:jc w:val="center"/>
        <w:rPr>
          <w:sz w:val="32"/>
          <w:szCs w:val="32"/>
        </w:rPr>
      </w:pPr>
    </w:p>
    <w:p w14:paraId="4717720F">
      <w:pPr>
        <w:pStyle w:val="14"/>
        <w:spacing w:line="540" w:lineRule="exact"/>
        <w:jc w:val="center"/>
        <w:rPr>
          <w:sz w:val="56"/>
          <w:szCs w:val="56"/>
        </w:rPr>
      </w:pPr>
    </w:p>
    <w:p w14:paraId="19BC2B88">
      <w:pPr>
        <w:pStyle w:val="14"/>
        <w:spacing w:line="500" w:lineRule="exact"/>
        <w:jc w:val="center"/>
        <w:rPr>
          <w:b/>
          <w:sz w:val="36"/>
          <w:szCs w:val="28"/>
        </w:rPr>
      </w:pPr>
    </w:p>
    <w:p w14:paraId="792530F6">
      <w:pPr>
        <w:pStyle w:val="14"/>
        <w:spacing w:line="500" w:lineRule="exact"/>
        <w:jc w:val="center"/>
        <w:rPr>
          <w:rFonts w:hint="eastAsia"/>
          <w:b/>
          <w:sz w:val="36"/>
          <w:szCs w:val="28"/>
        </w:rPr>
      </w:pPr>
      <w:r>
        <w:rPr>
          <w:rFonts w:hint="eastAsia"/>
          <w:b/>
          <w:sz w:val="36"/>
          <w:szCs w:val="28"/>
        </w:rPr>
        <w:t>目录</w:t>
      </w:r>
    </w:p>
    <w:p w14:paraId="491029AC">
      <w:pPr>
        <w:pStyle w:val="14"/>
        <w:keepNext w:val="0"/>
        <w:keepLines w:val="0"/>
        <w:pageBreakBefore w:val="0"/>
        <w:widowControl w:val="0"/>
        <w:kinsoku/>
        <w:wordWrap/>
        <w:overflowPunct/>
        <w:topLinePunct w:val="0"/>
        <w:bidi w:val="0"/>
        <w:snapToGrid/>
        <w:spacing w:line="480" w:lineRule="exact"/>
        <w:jc w:val="both"/>
        <w:textAlignment w:val="auto"/>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 xml:space="preserve"> </w:t>
      </w:r>
      <w:r>
        <w:rPr>
          <w:rFonts w:hint="eastAsia"/>
          <w:b/>
          <w:sz w:val="28"/>
          <w:szCs w:val="28"/>
          <w:lang w:eastAsia="zh-CN"/>
        </w:rPr>
        <w:t>怀化市林业局</w:t>
      </w:r>
      <w:r>
        <w:rPr>
          <w:rFonts w:hint="eastAsia"/>
          <w:b/>
          <w:sz w:val="28"/>
          <w:szCs w:val="28"/>
        </w:rPr>
        <w:t>概况</w:t>
      </w:r>
    </w:p>
    <w:p w14:paraId="1F56B170">
      <w:pPr>
        <w:pStyle w:val="14"/>
        <w:keepNext w:val="0"/>
        <w:keepLines w:val="0"/>
        <w:pageBreakBefore w:val="0"/>
        <w:widowControl w:val="0"/>
        <w:tabs>
          <w:tab w:val="left" w:pos="3058"/>
        </w:tabs>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一、部门职责</w:t>
      </w:r>
      <w:r>
        <w:rPr>
          <w:rFonts w:hint="eastAsia" w:ascii="仿宋_GB2312" w:hAnsi="仿宋_GB2312" w:eastAsia="仿宋_GB2312" w:cs="仿宋_GB2312"/>
          <w:sz w:val="28"/>
          <w:szCs w:val="28"/>
          <w:lang w:eastAsia="zh-CN"/>
        </w:rPr>
        <w:tab/>
      </w:r>
    </w:p>
    <w:p w14:paraId="57DD02A5">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eastAsia="仿宋_GB2312" w:cs="仿宋_GB2312" w:asciiTheme="minorEastAsia" w:hAnsiTheme="minorEastAsia"/>
          <w:sz w:val="28"/>
          <w:szCs w:val="28"/>
          <w:lang w:val="en-US"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1831C1EC">
      <w:pPr>
        <w:pStyle w:val="14"/>
        <w:keepNext w:val="0"/>
        <w:keepLines w:val="0"/>
        <w:pageBreakBefore w:val="0"/>
        <w:widowControl w:val="0"/>
        <w:kinsoku/>
        <w:wordWrap/>
        <w:overflowPunct/>
        <w:topLinePunct w:val="0"/>
        <w:bidi w:val="0"/>
        <w:snapToGrid/>
        <w:spacing w:line="480" w:lineRule="exact"/>
        <w:textAlignment w:val="auto"/>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val="en-US" w:eastAsia="zh-CN"/>
        </w:rPr>
        <w:t xml:space="preserve"> </w:t>
      </w:r>
      <w:r>
        <w:rPr>
          <w:rFonts w:hint="eastAsia" w:hAnsi="仿宋_GB2312"/>
          <w:b/>
          <w:sz w:val="28"/>
          <w:szCs w:val="28"/>
        </w:rPr>
        <w:t>部门决算表</w:t>
      </w:r>
    </w:p>
    <w:p w14:paraId="4799774C">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6DC4093D">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259DC0E">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5D0F636">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F44D03B">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177D0E3">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EBADAA0">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020AA9F8">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A9B203F">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九、</w:t>
      </w:r>
      <w:r>
        <w:rPr>
          <w:rFonts w:hint="eastAsia" w:ascii="仿宋_GB2312" w:hAnsi="仿宋_GB2312" w:eastAsia="仿宋_GB2312" w:cs="仿宋_GB2312"/>
          <w:sz w:val="28"/>
          <w:szCs w:val="28"/>
          <w:lang w:eastAsia="zh-CN"/>
        </w:rPr>
        <w:t>财政拨款“三公”经费支出决算表</w:t>
      </w:r>
    </w:p>
    <w:p w14:paraId="65767A17">
      <w:pPr>
        <w:pStyle w:val="14"/>
        <w:keepNext w:val="0"/>
        <w:keepLines w:val="0"/>
        <w:pageBreakBefore w:val="0"/>
        <w:widowControl w:val="0"/>
        <w:kinsoku/>
        <w:wordWrap/>
        <w:overflowPunct/>
        <w:topLinePunct w:val="0"/>
        <w:bidi w:val="0"/>
        <w:snapToGrid/>
        <w:spacing w:line="480" w:lineRule="exact"/>
        <w:textAlignment w:val="auto"/>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val="en-US" w:eastAsia="zh-CN"/>
        </w:rPr>
        <w:t xml:space="preserve"> </w:t>
      </w:r>
      <w:r>
        <w:rPr>
          <w:rFonts w:hint="eastAsia" w:hAnsi="仿宋_GB2312"/>
          <w:b/>
          <w:sz w:val="28"/>
          <w:szCs w:val="28"/>
        </w:rPr>
        <w:t>部门决算情况说明</w:t>
      </w:r>
    </w:p>
    <w:p w14:paraId="08E06A6F">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742C3E6C">
      <w:pPr>
        <w:keepNext w:val="0"/>
        <w:keepLines w:val="0"/>
        <w:pageBreakBefore w:val="0"/>
        <w:widowControl w:val="0"/>
        <w:kinsoku/>
        <w:wordWrap/>
        <w:overflowPunct/>
        <w:topLinePunct w:val="0"/>
        <w:bidi w:val="0"/>
        <w:snapToGrid/>
        <w:spacing w:line="480" w:lineRule="exact"/>
        <w:ind w:firstLine="700" w:firstLineChars="25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3CF05CB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063F309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6E2A3E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B07DAB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EEC8D2B">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202D2D45">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02D72CA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九、国有资本经营预算财政拨款支出决算情况</w:t>
      </w:r>
    </w:p>
    <w:p w14:paraId="2E2CBD0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十、关于机关运行经费支出说明</w:t>
      </w:r>
    </w:p>
    <w:p w14:paraId="799D2F8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eastAsia="zh-CN"/>
        </w:rPr>
        <w:t>十一、</w:t>
      </w:r>
      <w:r>
        <w:rPr>
          <w:rFonts w:hint="eastAsia" w:ascii="仿宋_GB2312" w:hAnsi="仿宋_GB2312" w:eastAsia="仿宋_GB2312" w:cs="仿宋_GB2312"/>
          <w:color w:val="000000"/>
          <w:kern w:val="0"/>
          <w:sz w:val="28"/>
          <w:szCs w:val="28"/>
        </w:rPr>
        <w:t>一般性支出情况说明</w:t>
      </w:r>
    </w:p>
    <w:p w14:paraId="41263BC8">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lang w:eastAsia="zh-CN"/>
        </w:rPr>
        <w:t>十二</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8"/>
          <w:szCs w:val="28"/>
          <w:lang w:eastAsia="zh-CN"/>
        </w:rPr>
        <w:t>关于政府采购支出说明</w:t>
      </w:r>
    </w:p>
    <w:p w14:paraId="71ECD55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十</w:t>
      </w:r>
      <w:r>
        <w:rPr>
          <w:rFonts w:hint="eastAsia" w:ascii="仿宋_GB2312" w:hAnsi="仿宋_GB2312" w:eastAsia="仿宋_GB2312" w:cs="仿宋_GB2312"/>
          <w:color w:val="000000"/>
          <w:kern w:val="0"/>
          <w:sz w:val="28"/>
          <w:szCs w:val="28"/>
          <w:lang w:eastAsia="zh-CN"/>
        </w:rPr>
        <w:t>三</w:t>
      </w:r>
      <w:r>
        <w:rPr>
          <w:rFonts w:hint="eastAsia" w:ascii="仿宋_GB2312" w:hAnsi="仿宋_GB2312" w:eastAsia="仿宋_GB2312" w:cs="仿宋_GB2312"/>
          <w:color w:val="000000"/>
          <w:kern w:val="0"/>
          <w:sz w:val="28"/>
          <w:szCs w:val="28"/>
        </w:rPr>
        <w:t>、</w:t>
      </w:r>
      <w:r>
        <w:rPr>
          <w:rFonts w:hint="eastAsia" w:ascii="仿宋_GB2312" w:hAnsi="仿宋_GB2312" w:eastAsia="仿宋_GB2312" w:cs="仿宋_GB2312"/>
          <w:color w:val="000000"/>
          <w:kern w:val="0"/>
          <w:sz w:val="28"/>
          <w:szCs w:val="28"/>
          <w:lang w:eastAsia="zh-CN"/>
        </w:rPr>
        <w:t>关于国有资产占用情况说明</w:t>
      </w:r>
    </w:p>
    <w:p w14:paraId="6A2B3C63">
      <w:pPr>
        <w:pStyle w:val="14"/>
        <w:keepNext w:val="0"/>
        <w:keepLines w:val="0"/>
        <w:pageBreakBefore w:val="0"/>
        <w:widowControl w:val="0"/>
        <w:kinsoku/>
        <w:wordWrap/>
        <w:overflowPunct/>
        <w:topLinePunct w:val="0"/>
        <w:bidi w:val="0"/>
        <w:snapToGrid/>
        <w:spacing w:line="480" w:lineRule="exact"/>
        <w:ind w:firstLine="700" w:firstLineChars="25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十四</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关于</w:t>
      </w:r>
      <w:r>
        <w:rPr>
          <w:rFonts w:hint="eastAsia" w:ascii="仿宋_GB2312" w:hAnsi="仿宋_GB2312" w:eastAsia="仿宋_GB2312" w:cs="仿宋_GB2312"/>
          <w:sz w:val="28"/>
          <w:szCs w:val="28"/>
          <w:lang w:val="en-US" w:eastAsia="zh-CN"/>
        </w:rPr>
        <w:t>2024年度</w:t>
      </w:r>
      <w:r>
        <w:rPr>
          <w:rFonts w:hint="eastAsia" w:ascii="仿宋_GB2312" w:hAnsi="仿宋_GB2312" w:eastAsia="仿宋_GB2312" w:cs="仿宋_GB2312"/>
          <w:sz w:val="28"/>
          <w:szCs w:val="28"/>
          <w:lang w:eastAsia="zh-CN"/>
        </w:rPr>
        <w:t>预算绩效管理情况的说明</w:t>
      </w:r>
    </w:p>
    <w:p w14:paraId="203BAACB">
      <w:pPr>
        <w:pStyle w:val="14"/>
        <w:keepNext w:val="0"/>
        <w:keepLines w:val="0"/>
        <w:pageBreakBefore w:val="0"/>
        <w:widowControl w:val="0"/>
        <w:kinsoku/>
        <w:wordWrap/>
        <w:overflowPunct/>
        <w:topLinePunct w:val="0"/>
        <w:bidi w:val="0"/>
        <w:snapToGrid/>
        <w:spacing w:line="480" w:lineRule="exact"/>
        <w:textAlignment w:val="auto"/>
        <w:rPr>
          <w:rFonts w:ascii="黑体" w:hAnsi="黑体" w:eastAsia="黑体" w:cs="黑体"/>
          <w:b/>
          <w:color w:val="000000"/>
          <w:kern w:val="0"/>
          <w:sz w:val="28"/>
          <w:szCs w:val="28"/>
        </w:rPr>
      </w:pPr>
      <w:r>
        <w:rPr>
          <w:rFonts w:ascii="黑体" w:hAnsi="黑体" w:eastAsia="黑体" w:cs="黑体"/>
          <w:b/>
          <w:color w:val="000000"/>
          <w:kern w:val="0"/>
          <w:sz w:val="28"/>
          <w:szCs w:val="28"/>
        </w:rPr>
        <w:t>第四部分</w:t>
      </w:r>
      <w:r>
        <w:rPr>
          <w:rFonts w:hint="eastAsia" w:hAnsi="黑体" w:cs="黑体"/>
          <w:b/>
          <w:color w:val="000000"/>
          <w:kern w:val="0"/>
          <w:sz w:val="28"/>
          <w:szCs w:val="28"/>
          <w:lang w:val="en-US" w:eastAsia="zh-CN"/>
        </w:rPr>
        <w:t xml:space="preserve"> </w:t>
      </w:r>
      <w:r>
        <w:rPr>
          <w:rFonts w:ascii="黑体" w:hAnsi="黑体" w:eastAsia="黑体" w:cs="黑体"/>
          <w:b/>
          <w:color w:val="000000"/>
          <w:kern w:val="0"/>
          <w:sz w:val="28"/>
          <w:szCs w:val="28"/>
        </w:rPr>
        <w:t>名词解释</w:t>
      </w:r>
    </w:p>
    <w:p w14:paraId="780DE560">
      <w:pPr>
        <w:keepNext w:val="0"/>
        <w:keepLines w:val="0"/>
        <w:pageBreakBefore w:val="0"/>
        <w:widowControl w:val="0"/>
        <w:kinsoku/>
        <w:wordWrap/>
        <w:overflowPunct/>
        <w:topLinePunct w:val="0"/>
        <w:autoSpaceDE w:val="0"/>
        <w:autoSpaceDN w:val="0"/>
        <w:bidi w:val="0"/>
        <w:adjustRightInd w:val="0"/>
        <w:snapToGrid/>
        <w:spacing w:line="480" w:lineRule="exact"/>
        <w:jc w:val="left"/>
        <w:textAlignment w:val="auto"/>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w:t>
      </w:r>
      <w:r>
        <w:rPr>
          <w:rFonts w:hint="eastAsia" w:ascii="黑体" w:hAnsi="黑体" w:eastAsia="黑体" w:cs="黑体"/>
          <w:b/>
          <w:color w:val="000000"/>
          <w:kern w:val="0"/>
          <w:sz w:val="28"/>
          <w:szCs w:val="28"/>
          <w:lang w:val="en-US" w:eastAsia="zh-CN"/>
        </w:rPr>
        <w:t xml:space="preserve"> </w:t>
      </w:r>
      <w:r>
        <w:rPr>
          <w:rFonts w:hint="eastAsia" w:ascii="黑体" w:hAnsi="黑体" w:eastAsia="黑体" w:cs="黑体"/>
          <w:b/>
          <w:color w:val="000000"/>
          <w:kern w:val="0"/>
          <w:sz w:val="28"/>
          <w:szCs w:val="28"/>
        </w:rPr>
        <w:t>附件</w:t>
      </w:r>
    </w:p>
    <w:p w14:paraId="569C2F0C">
      <w:pPr>
        <w:jc w:val="center"/>
        <w:rPr>
          <w:sz w:val="72"/>
          <w:szCs w:val="72"/>
        </w:rPr>
      </w:pPr>
    </w:p>
    <w:p w14:paraId="35AD8D2C">
      <w:pPr>
        <w:jc w:val="center"/>
        <w:rPr>
          <w:sz w:val="72"/>
          <w:szCs w:val="72"/>
        </w:rPr>
      </w:pPr>
    </w:p>
    <w:p w14:paraId="2FDA4492">
      <w:pPr>
        <w:jc w:val="center"/>
        <w:rPr>
          <w:sz w:val="72"/>
          <w:szCs w:val="72"/>
        </w:rPr>
      </w:pPr>
    </w:p>
    <w:p w14:paraId="6DEDBBF4">
      <w:pPr>
        <w:jc w:val="center"/>
        <w:rPr>
          <w:sz w:val="72"/>
          <w:szCs w:val="72"/>
        </w:rPr>
      </w:pPr>
    </w:p>
    <w:p w14:paraId="4B95F8C5">
      <w:pPr>
        <w:rPr>
          <w:sz w:val="72"/>
          <w:szCs w:val="72"/>
        </w:rPr>
      </w:pPr>
    </w:p>
    <w:p w14:paraId="103C3FB2">
      <w:pPr>
        <w:pStyle w:val="14"/>
        <w:jc w:val="center"/>
        <w:rPr>
          <w:sz w:val="84"/>
          <w:szCs w:val="84"/>
        </w:rPr>
      </w:pPr>
      <w:r>
        <w:rPr>
          <w:rFonts w:hint="eastAsia"/>
          <w:sz w:val="84"/>
          <w:szCs w:val="84"/>
        </w:rPr>
        <w:t>第一部分</w:t>
      </w:r>
      <w:r>
        <w:rPr>
          <w:sz w:val="84"/>
          <w:szCs w:val="84"/>
        </w:rPr>
        <w:t xml:space="preserve"> </w:t>
      </w:r>
    </w:p>
    <w:p w14:paraId="59A79FE7">
      <w:pPr>
        <w:pStyle w:val="14"/>
        <w:jc w:val="center"/>
        <w:rPr>
          <w:sz w:val="84"/>
          <w:szCs w:val="84"/>
        </w:rPr>
      </w:pPr>
    </w:p>
    <w:p w14:paraId="795B8903">
      <w:pPr>
        <w:pStyle w:val="14"/>
        <w:jc w:val="center"/>
        <w:rPr>
          <w:sz w:val="84"/>
          <w:szCs w:val="84"/>
        </w:rPr>
      </w:pPr>
      <w:r>
        <w:rPr>
          <w:rFonts w:hint="eastAsia"/>
          <w:sz w:val="84"/>
          <w:szCs w:val="84"/>
          <w:lang w:eastAsia="zh-CN"/>
        </w:rPr>
        <w:t>怀化市林业局</w:t>
      </w:r>
      <w:r>
        <w:rPr>
          <w:rFonts w:hint="eastAsia"/>
          <w:sz w:val="84"/>
          <w:szCs w:val="84"/>
        </w:rPr>
        <w:t>概况</w:t>
      </w:r>
    </w:p>
    <w:p w14:paraId="36FAAD42">
      <w:pPr>
        <w:jc w:val="center"/>
        <w:rPr>
          <w:sz w:val="72"/>
          <w:szCs w:val="72"/>
        </w:rPr>
      </w:pPr>
    </w:p>
    <w:p w14:paraId="61BAE523">
      <w:pPr>
        <w:jc w:val="center"/>
        <w:rPr>
          <w:sz w:val="72"/>
          <w:szCs w:val="72"/>
        </w:rPr>
      </w:pPr>
    </w:p>
    <w:p w14:paraId="4A2A3BE6">
      <w:pPr>
        <w:jc w:val="center"/>
        <w:rPr>
          <w:sz w:val="72"/>
          <w:szCs w:val="72"/>
        </w:rPr>
      </w:pPr>
    </w:p>
    <w:p w14:paraId="125A2632">
      <w:pPr>
        <w:jc w:val="center"/>
        <w:rPr>
          <w:sz w:val="72"/>
          <w:szCs w:val="72"/>
        </w:rPr>
      </w:pPr>
    </w:p>
    <w:p w14:paraId="3C602154">
      <w:pPr>
        <w:jc w:val="center"/>
        <w:rPr>
          <w:sz w:val="72"/>
          <w:szCs w:val="72"/>
        </w:rPr>
      </w:pPr>
    </w:p>
    <w:p w14:paraId="5DD49537">
      <w:pPr>
        <w:pStyle w:val="15"/>
        <w:ind w:left="720" w:firstLine="0" w:firstLineChars="0"/>
        <w:jc w:val="left"/>
        <w:rPr>
          <w:rFonts w:ascii="黑体" w:hAnsi="黑体" w:eastAsia="黑体"/>
          <w:sz w:val="32"/>
          <w:szCs w:val="32"/>
        </w:rPr>
      </w:pPr>
    </w:p>
    <w:p w14:paraId="005DE495">
      <w:pPr>
        <w:pStyle w:val="15"/>
        <w:ind w:left="720" w:firstLine="0" w:firstLineChars="0"/>
        <w:jc w:val="left"/>
        <w:rPr>
          <w:rFonts w:ascii="黑体" w:hAnsi="黑体" w:eastAsia="黑体"/>
          <w:sz w:val="32"/>
          <w:szCs w:val="32"/>
        </w:rPr>
      </w:pPr>
    </w:p>
    <w:p w14:paraId="7C86E2ED">
      <w:pPr>
        <w:pStyle w:val="15"/>
        <w:ind w:left="720" w:firstLine="0" w:firstLineChars="0"/>
        <w:jc w:val="left"/>
        <w:rPr>
          <w:rFonts w:ascii="黑体" w:hAnsi="黑体" w:eastAsia="黑体"/>
          <w:sz w:val="32"/>
          <w:szCs w:val="32"/>
        </w:rPr>
      </w:pPr>
    </w:p>
    <w:p w14:paraId="068036AB">
      <w:pPr>
        <w:pStyle w:val="15"/>
        <w:ind w:left="720" w:firstLine="0" w:firstLineChars="0"/>
        <w:jc w:val="left"/>
        <w:rPr>
          <w:rFonts w:ascii="黑体" w:hAnsi="黑体" w:eastAsia="黑体"/>
          <w:sz w:val="32"/>
          <w:szCs w:val="32"/>
        </w:rPr>
      </w:pPr>
    </w:p>
    <w:p w14:paraId="43253BB0">
      <w:pPr>
        <w:pStyle w:val="15"/>
        <w:ind w:left="720" w:firstLine="0" w:firstLineChars="0"/>
        <w:jc w:val="left"/>
        <w:rPr>
          <w:rFonts w:ascii="黑体" w:hAnsi="黑体" w:eastAsia="黑体"/>
          <w:sz w:val="32"/>
          <w:szCs w:val="32"/>
        </w:rPr>
      </w:pPr>
    </w:p>
    <w:p w14:paraId="7E689636">
      <w:pPr>
        <w:pStyle w:val="15"/>
        <w:ind w:left="720" w:firstLine="0" w:firstLineChars="0"/>
        <w:jc w:val="left"/>
        <w:rPr>
          <w:rFonts w:ascii="黑体" w:hAnsi="黑体" w:eastAsia="黑体"/>
          <w:sz w:val="32"/>
          <w:szCs w:val="32"/>
        </w:rPr>
      </w:pPr>
    </w:p>
    <w:p w14:paraId="4AB9B554">
      <w:pPr>
        <w:pStyle w:val="9"/>
        <w:widowControl/>
        <w:numPr>
          <w:ilvl w:val="0"/>
          <w:numId w:val="1"/>
        </w:numPr>
        <w:shd w:val="clear" w:color="auto" w:fill="FFFFFF"/>
        <w:tabs>
          <w:tab w:val="left" w:pos="309"/>
          <w:tab w:val="left" w:pos="662"/>
        </w:tabs>
        <w:spacing w:beforeAutospacing="0" w:afterAutospacing="0" w:line="560" w:lineRule="exact"/>
        <w:ind w:firstLine="697"/>
        <w:jc w:val="both"/>
        <w:rPr>
          <w:rFonts w:ascii="黑体" w:hAnsi="黑体" w:eastAsia="黑体"/>
          <w:sz w:val="32"/>
          <w:szCs w:val="32"/>
        </w:rPr>
      </w:pPr>
      <w:r>
        <w:rPr>
          <w:rFonts w:hint="eastAsia" w:ascii="黑体" w:hAnsi="黑体" w:eastAsia="黑体"/>
          <w:sz w:val="32"/>
          <w:szCs w:val="32"/>
          <w:lang w:eastAsia="zh-CN"/>
        </w:rPr>
        <w:tab/>
      </w:r>
      <w:r>
        <w:rPr>
          <w:rFonts w:ascii="黑体" w:hAnsi="黑体" w:eastAsia="黑体"/>
          <w:sz w:val="32"/>
          <w:szCs w:val="32"/>
        </w:rPr>
        <w:t>部门职责</w:t>
      </w:r>
    </w:p>
    <w:p w14:paraId="68E4A673">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(一)负责全市林业和草原及其生态保护修复的监督管理。 拟订林业和草原及其生态保护修复的政策、规划、标准并组织实施,按规定起草相关地方性法规、规章草案。组织开展森林、草原、湿地、荒漠和陆生野生动植物资源动态监测与评价,统一发布相关信息。</w:t>
      </w:r>
    </w:p>
    <w:p w14:paraId="4AFECA76">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二)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p>
    <w:p w14:paraId="7800D2E0">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三)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14:paraId="59257CF6">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四)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14:paraId="6B8BB21C">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五)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14:paraId="116F1A8B">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六)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w:t>
      </w:r>
    </w:p>
    <w:p w14:paraId="2F5BF444">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(七)负责推进林业和草原改革相关工作。拟订集体林权制度、 国有林场、草原等重大改革意见并监督实施。拟订农村林业发展、维护林业经营者合法权益的政策措施,指导农村林地承包经营工作。 开展退耕(牧)还林还草,负责天然林保护工作。</w:t>
      </w:r>
    </w:p>
    <w:p w14:paraId="29A08599">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(八)拟订林业和草原资源优化配置及木材利用政策,拟订相关林业产业标准并监督实施,组织、指导林产品质量监督,指导生态扶贫相关工作。</w:t>
      </w:r>
    </w:p>
    <w:p w14:paraId="22FF0BD2">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(九)指导国有林场基本建设和发展,组织林木种子、草种种质资源普查,组织建立种质资源库,负责良种选育推广,管理林木种苗、草种生产经营行为,监管林木种苗、草种质量。 监督管理林业和草原生物种质资源转基因生物安全、植物新品种保护。</w:t>
      </w:r>
    </w:p>
    <w:p w14:paraId="1C8B9041">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(十)指导全市森林公安工作,监督管理森林公安队伍,指导全市林业重大违法案件的查处,负责相关行政执法监管工作,指导林区社会治安治理工作。</w:t>
      </w:r>
    </w:p>
    <w:p w14:paraId="582A5C32">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一)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14:paraId="61865902">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二)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14:paraId="4CC41115">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(十三)负责林业和草原科技、教育和外事工作,指导全市林业和草原人才队伍建设,组织实施林业和草原国际交流与合作事务,承担湿地、防治荒漠化、濒危野生动植物等国际公约履约工作。</w:t>
      </w:r>
    </w:p>
    <w:p w14:paraId="53265421">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(十四)完成市委,市政府交办的其他任务。</w:t>
      </w:r>
    </w:p>
    <w:p w14:paraId="61911111">
      <w:pPr>
        <w:pStyle w:val="9"/>
        <w:widowControl/>
        <w:shd w:val="clear" w:color="auto" w:fill="FFFFFF"/>
        <w:spacing w:beforeAutospacing="0" w:afterAutospacing="0" w:line="560" w:lineRule="exact"/>
        <w:ind w:firstLine="697"/>
        <w:jc w:val="both"/>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十五)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14:paraId="35E64546">
      <w:pPr>
        <w:widowControl/>
        <w:spacing w:line="600" w:lineRule="exact"/>
        <w:ind w:firstLine="643" w:firstLineChars="200"/>
        <w:rPr>
          <w:rFonts w:ascii="黑体" w:hAnsi="黑体" w:eastAsia="黑体"/>
          <w:b/>
          <w:kern w:val="0"/>
          <w:sz w:val="32"/>
          <w:szCs w:val="32"/>
        </w:rPr>
      </w:pPr>
      <w:r>
        <w:rPr>
          <w:rFonts w:hint="eastAsia" w:ascii="黑体" w:hAnsi="黑体" w:eastAsia="黑体"/>
          <w:b/>
          <w:kern w:val="0"/>
          <w:sz w:val="32"/>
          <w:szCs w:val="32"/>
        </w:rPr>
        <w:t>二、机构设置及决算单位构成</w:t>
      </w:r>
    </w:p>
    <w:p w14:paraId="5EAD2443">
      <w:pPr>
        <w:widowControl/>
        <w:spacing w:line="560" w:lineRule="exact"/>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一）内设机构设置。怀化市林业局作为一级部门预算单位，内设机构包括：怀化市林业局属全额拨款行政事业单位，行政级别正处级，辖7个内设行政科室（办公室、造林绿化科、森林资源管理科、自然保护地和野生动植物管理科、规划财务科、人事教育科、森林草原防火科）、5个非独立核算事业机构（怀化市林业综合服务中心、怀化市国有林场和森林公园服务中心、怀化市森林病虫害防治检疫站、怀化市野生动植物保护中心、怀化市林业改革发展服务中心）。下属的独立核算的二级单位有6个，其中全额拨款单位有1个：林业调查设计院；差额拨款财政补助单位2个：湖南省中坡森林公园管理处（副处级）、泸阳国有林场。</w:t>
      </w:r>
    </w:p>
    <w:p w14:paraId="1669214A">
      <w:pPr>
        <w:widowControl/>
        <w:spacing w:line="560" w:lineRule="exact"/>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（二）决算单位构成。怀化市林业局2025年部门决算公开单位构成包括：怀化市林业局本级。</w:t>
      </w:r>
    </w:p>
    <w:p w14:paraId="1C200F97">
      <w:pPr>
        <w:keepNext w:val="0"/>
        <w:keepLines w:val="0"/>
        <w:pageBreakBefore w:val="0"/>
        <w:widowControl/>
        <w:kinsoku/>
        <w:wordWrap/>
        <w:overflowPunct/>
        <w:topLinePunct w:val="0"/>
        <w:autoSpaceDE/>
        <w:autoSpaceDN/>
        <w:bidi w:val="0"/>
        <w:adjustRightInd/>
        <w:snapToGrid/>
        <w:spacing w:line="500" w:lineRule="auto"/>
        <w:ind w:right="0" w:rightChars="0"/>
        <w:jc w:val="left"/>
        <w:textAlignment w:val="auto"/>
        <w:outlineLvl w:val="9"/>
        <w:rPr>
          <w:rFonts w:hint="eastAsia" w:ascii="仿宋_GB2312" w:hAnsi="仿宋_GB2312" w:eastAsia="仿宋_GB2312" w:cs="仿宋_GB2312"/>
          <w:color w:val="000000"/>
          <w:kern w:val="0"/>
          <w:sz w:val="32"/>
          <w:szCs w:val="32"/>
          <w:lang w:val="en-US" w:eastAsia="zh-CN" w:bidi="ar-SA"/>
        </w:rPr>
      </w:pPr>
    </w:p>
    <w:p w14:paraId="0459BFCA">
      <w:pPr>
        <w:jc w:val="left"/>
        <w:rPr>
          <w:rFonts w:ascii="仿宋_GB2312" w:eastAsia="仿宋_GB2312" w:hAnsiTheme="minorEastAsia"/>
          <w:sz w:val="32"/>
          <w:szCs w:val="32"/>
        </w:rPr>
      </w:pPr>
    </w:p>
    <w:p w14:paraId="30A000B6">
      <w:pPr>
        <w:jc w:val="center"/>
        <w:rPr>
          <w:rFonts w:ascii="黑体" w:hAnsi="黑体" w:eastAsia="黑体"/>
          <w:sz w:val="32"/>
          <w:szCs w:val="32"/>
        </w:rPr>
      </w:pPr>
    </w:p>
    <w:p w14:paraId="2C74B676">
      <w:pPr>
        <w:jc w:val="center"/>
        <w:rPr>
          <w:rFonts w:ascii="黑体" w:hAnsi="黑体" w:eastAsia="黑体"/>
          <w:sz w:val="28"/>
          <w:szCs w:val="28"/>
        </w:rPr>
      </w:pPr>
    </w:p>
    <w:p w14:paraId="32FB481D">
      <w:pPr>
        <w:jc w:val="center"/>
        <w:rPr>
          <w:rFonts w:ascii="黑体" w:hAnsi="黑体" w:eastAsia="黑体"/>
          <w:sz w:val="28"/>
          <w:szCs w:val="28"/>
        </w:rPr>
      </w:pPr>
    </w:p>
    <w:p w14:paraId="52CF125E">
      <w:pPr>
        <w:jc w:val="center"/>
        <w:rPr>
          <w:rFonts w:ascii="黑体" w:hAnsi="黑体" w:eastAsia="黑体"/>
          <w:sz w:val="28"/>
          <w:szCs w:val="28"/>
        </w:rPr>
      </w:pPr>
    </w:p>
    <w:p w14:paraId="663E02B3">
      <w:pPr>
        <w:jc w:val="center"/>
        <w:rPr>
          <w:rFonts w:ascii="黑体" w:hAnsi="黑体" w:eastAsia="黑体"/>
          <w:sz w:val="28"/>
          <w:szCs w:val="28"/>
        </w:rPr>
      </w:pPr>
    </w:p>
    <w:p w14:paraId="65E4870A">
      <w:pPr>
        <w:jc w:val="center"/>
        <w:rPr>
          <w:rFonts w:ascii="黑体" w:hAnsi="黑体" w:eastAsia="黑体"/>
          <w:sz w:val="28"/>
          <w:szCs w:val="28"/>
        </w:rPr>
      </w:pPr>
    </w:p>
    <w:p w14:paraId="4DF82DFC">
      <w:pPr>
        <w:jc w:val="center"/>
        <w:rPr>
          <w:sz w:val="72"/>
          <w:szCs w:val="72"/>
        </w:rPr>
      </w:pPr>
      <w:r>
        <w:rPr>
          <w:rFonts w:hint="eastAsia"/>
          <w:sz w:val="72"/>
          <w:szCs w:val="72"/>
          <w:lang w:val="en-US" w:eastAsia="zh-CN"/>
        </w:rPr>
        <w:t xml:space="preserve"> </w:t>
      </w:r>
      <w:r>
        <w:rPr>
          <w:rFonts w:hint="eastAsia"/>
          <w:sz w:val="72"/>
          <w:szCs w:val="72"/>
        </w:rPr>
        <w:t>第二部分</w:t>
      </w:r>
    </w:p>
    <w:p w14:paraId="562B529E">
      <w:pPr>
        <w:jc w:val="center"/>
        <w:rPr>
          <w:sz w:val="72"/>
          <w:szCs w:val="72"/>
        </w:rPr>
      </w:pPr>
    </w:p>
    <w:p w14:paraId="1847A428">
      <w:pPr>
        <w:ind w:firstLine="3600" w:firstLineChars="500"/>
        <w:jc w:val="both"/>
        <w:rPr>
          <w:rFonts w:hint="eastAsia"/>
          <w:sz w:val="72"/>
          <w:szCs w:val="72"/>
        </w:rPr>
      </w:pPr>
      <w:r>
        <w:rPr>
          <w:rFonts w:hint="eastAsia"/>
          <w:sz w:val="72"/>
          <w:szCs w:val="72"/>
        </w:rPr>
        <w:t>部门决算表</w:t>
      </w:r>
    </w:p>
    <w:p w14:paraId="724867F2">
      <w:pPr>
        <w:ind w:firstLine="4320" w:firstLineChars="1200"/>
        <w:jc w:val="both"/>
        <w:rPr>
          <w:sz w:val="36"/>
          <w:szCs w:val="36"/>
        </w:rPr>
      </w:pPr>
      <w:r>
        <w:rPr>
          <w:rFonts w:hint="eastAsia"/>
          <w:sz w:val="36"/>
          <w:szCs w:val="36"/>
          <w:lang w:eastAsia="zh-CN"/>
        </w:rPr>
        <w:t>公开表见附件</w:t>
      </w:r>
    </w:p>
    <w:p w14:paraId="5387B1EB">
      <w:pPr>
        <w:jc w:val="center"/>
        <w:rPr>
          <w:sz w:val="72"/>
          <w:szCs w:val="72"/>
        </w:rPr>
      </w:pPr>
    </w:p>
    <w:p w14:paraId="66CF7CF7">
      <w:pPr>
        <w:jc w:val="both"/>
        <w:rPr>
          <w:sz w:val="72"/>
          <w:szCs w:val="72"/>
        </w:rPr>
      </w:pPr>
    </w:p>
    <w:p w14:paraId="1371F5DA">
      <w:pPr>
        <w:jc w:val="center"/>
        <w:rPr>
          <w:sz w:val="72"/>
          <w:szCs w:val="72"/>
        </w:rPr>
      </w:pPr>
    </w:p>
    <w:p w14:paraId="50F6B577">
      <w:pPr>
        <w:jc w:val="center"/>
        <w:rPr>
          <w:sz w:val="72"/>
          <w:szCs w:val="72"/>
        </w:rPr>
      </w:pPr>
    </w:p>
    <w:p w14:paraId="61C0F2B6">
      <w:pPr>
        <w:jc w:val="center"/>
        <w:rPr>
          <w:sz w:val="72"/>
          <w:szCs w:val="72"/>
        </w:rPr>
      </w:pPr>
    </w:p>
    <w:p w14:paraId="7E382E63">
      <w:pPr>
        <w:jc w:val="center"/>
        <w:rPr>
          <w:sz w:val="72"/>
          <w:szCs w:val="72"/>
        </w:rPr>
      </w:pPr>
    </w:p>
    <w:p w14:paraId="54BBC29D">
      <w:pPr>
        <w:jc w:val="center"/>
        <w:rPr>
          <w:sz w:val="72"/>
          <w:szCs w:val="72"/>
        </w:rPr>
      </w:pPr>
    </w:p>
    <w:p w14:paraId="00960B41">
      <w:pPr>
        <w:jc w:val="left"/>
        <w:rPr>
          <w:sz w:val="32"/>
          <w:szCs w:val="32"/>
        </w:rPr>
      </w:pPr>
    </w:p>
    <w:p w14:paraId="4781D839">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p w14:paraId="144FBD9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p>
    <w:p w14:paraId="4A767065">
      <w:pPr>
        <w:widowControl/>
        <w:rPr>
          <w:rFonts w:ascii="Times New Roman" w:hAnsi="Times New Roman" w:eastAsia="方正小标宋_GBK" w:cs="Times New Roman"/>
          <w:color w:val="000000"/>
          <w:kern w:val="0"/>
          <w:sz w:val="36"/>
          <w:szCs w:val="36"/>
        </w:rPr>
      </w:pPr>
    </w:p>
    <w:p w14:paraId="71DB4355">
      <w:pPr>
        <w:widowControl/>
        <w:ind w:left="93"/>
        <w:jc w:val="center"/>
        <w:rPr>
          <w:rFonts w:ascii="Times New Roman" w:hAnsi="Times New Roman" w:eastAsia="方正小标宋_GBK" w:cs="Times New Roman"/>
          <w:color w:val="000000"/>
          <w:kern w:val="0"/>
          <w:sz w:val="36"/>
          <w:szCs w:val="21"/>
        </w:rPr>
      </w:pPr>
    </w:p>
    <w:p w14:paraId="747D97F6">
      <w:pPr>
        <w:pStyle w:val="14"/>
        <w:rPr>
          <w:sz w:val="72"/>
          <w:szCs w:val="72"/>
        </w:rPr>
      </w:pPr>
      <w:bookmarkStart w:id="0" w:name="RANGE!A1:I22"/>
      <w:bookmarkEnd w:id="0"/>
    </w:p>
    <w:p w14:paraId="43A374DC">
      <w:pPr>
        <w:pStyle w:val="14"/>
        <w:rPr>
          <w:sz w:val="72"/>
          <w:szCs w:val="72"/>
        </w:rPr>
      </w:pPr>
    </w:p>
    <w:p w14:paraId="6BDFC503">
      <w:pPr>
        <w:pStyle w:val="14"/>
        <w:rPr>
          <w:sz w:val="72"/>
          <w:szCs w:val="72"/>
        </w:rPr>
      </w:pPr>
    </w:p>
    <w:p w14:paraId="7D994D86">
      <w:pPr>
        <w:pStyle w:val="14"/>
        <w:ind w:firstLine="3600" w:firstLineChars="500"/>
        <w:jc w:val="both"/>
        <w:rPr>
          <w:sz w:val="72"/>
          <w:szCs w:val="72"/>
        </w:rPr>
      </w:pPr>
      <w:r>
        <w:rPr>
          <w:rFonts w:hint="eastAsia"/>
          <w:sz w:val="72"/>
          <w:szCs w:val="72"/>
        </w:rPr>
        <w:t>第三部分</w:t>
      </w:r>
    </w:p>
    <w:p w14:paraId="5B40E5D7">
      <w:pPr>
        <w:pStyle w:val="14"/>
        <w:jc w:val="center"/>
        <w:rPr>
          <w:sz w:val="70"/>
          <w:szCs w:val="70"/>
        </w:rPr>
      </w:pPr>
    </w:p>
    <w:p w14:paraId="7C83824E">
      <w:pPr>
        <w:pStyle w:val="14"/>
        <w:jc w:val="center"/>
        <w:rPr>
          <w:sz w:val="70"/>
          <w:szCs w:val="70"/>
        </w:rPr>
      </w:pPr>
      <w:r>
        <w:rPr>
          <w:sz w:val="70"/>
          <w:szCs w:val="70"/>
        </w:rPr>
        <w:t>20</w:t>
      </w:r>
      <w:r>
        <w:rPr>
          <w:rFonts w:hint="eastAsia"/>
          <w:sz w:val="70"/>
          <w:szCs w:val="70"/>
        </w:rPr>
        <w:t>2</w:t>
      </w:r>
      <w:r>
        <w:rPr>
          <w:rFonts w:hint="eastAsia"/>
          <w:sz w:val="70"/>
          <w:szCs w:val="70"/>
          <w:lang w:val="en-US" w:eastAsia="zh-CN"/>
        </w:rPr>
        <w:t>5</w:t>
      </w:r>
      <w:r>
        <w:rPr>
          <w:rFonts w:hint="eastAsia"/>
          <w:sz w:val="70"/>
          <w:szCs w:val="70"/>
        </w:rPr>
        <w:t>年度部门决算情况说明</w:t>
      </w:r>
    </w:p>
    <w:p w14:paraId="20733CE8">
      <w:pPr>
        <w:widowControl/>
        <w:jc w:val="left"/>
        <w:rPr>
          <w:rFonts w:ascii="黑体" w:eastAsia="黑体" w:cs="黑体"/>
          <w:color w:val="000000"/>
          <w:kern w:val="0"/>
          <w:sz w:val="70"/>
          <w:szCs w:val="70"/>
        </w:rPr>
      </w:pPr>
      <w:r>
        <w:rPr>
          <w:sz w:val="70"/>
          <w:szCs w:val="70"/>
        </w:rPr>
        <w:br w:type="page"/>
      </w:r>
    </w:p>
    <w:p w14:paraId="0A165008">
      <w:pPr>
        <w:pStyle w:val="14"/>
        <w:rPr>
          <w:rFonts w:asciiTheme="minorEastAsia" w:hAnsiTheme="minorEastAsia" w:eastAsiaTheme="minorEastAsia"/>
          <w:sz w:val="32"/>
          <w:szCs w:val="32"/>
        </w:rPr>
      </w:pPr>
    </w:p>
    <w:p w14:paraId="0F3D0E90">
      <w:pPr>
        <w:pStyle w:val="14"/>
        <w:rPr>
          <w:rFonts w:hint="eastAsia" w:ascii="黑体" w:hAnsi="黑体" w:eastAsia="黑体" w:cs="黑体"/>
          <w:b/>
          <w:sz w:val="32"/>
          <w:szCs w:val="32"/>
        </w:rPr>
      </w:pPr>
      <w:r>
        <w:rPr>
          <w:rFonts w:hint="eastAsia" w:ascii="黑体" w:hAnsi="黑体" w:eastAsia="黑体" w:cs="黑体"/>
          <w:b/>
          <w:sz w:val="32"/>
          <w:szCs w:val="32"/>
        </w:rPr>
        <w:t>一、收入支出决算总体情况说明</w:t>
      </w:r>
    </w:p>
    <w:p w14:paraId="728FC6FA">
      <w:pPr>
        <w:pStyle w:val="14"/>
        <w:ind w:firstLine="640" w:firstLineChars="200"/>
        <w:rPr>
          <w:rFonts w:hint="eastAsia" w:ascii="宋体" w:hAnsi="宋体" w:eastAsia="宋体" w:cs="宋体"/>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4792.76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42.1%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项目支出较上年减少</w:t>
      </w:r>
      <w:r>
        <w:rPr>
          <w:rFonts w:hint="eastAsia" w:ascii="仿宋_GB2312" w:hAnsi="仿宋_GB2312" w:eastAsia="仿宋_GB2312" w:cs="仿宋_GB2312"/>
          <w:sz w:val="32"/>
          <w:szCs w:val="32"/>
          <w:lang w:val="en-US" w:eastAsia="zh-CN"/>
        </w:rPr>
        <w:t>4997.95万元，体现在怀化市森林火灾高风险区森林防火应急道路建设项目、怀化市森林火灾高风险区林火阻隔系统建设项目支出较上年减少4304.24万元，另因地方财力吃紧压减了市本级部分预算项目资金</w:t>
      </w:r>
      <w:r>
        <w:rPr>
          <w:rFonts w:hint="eastAsia" w:ascii="仿宋_GB2312" w:hAnsi="仿宋_GB2312" w:eastAsia="仿宋_GB2312" w:cs="仿宋_GB2312"/>
          <w:sz w:val="32"/>
          <w:szCs w:val="32"/>
          <w:lang w:eastAsia="zh-CN"/>
        </w:rPr>
        <w:t>。</w:t>
      </w:r>
    </w:p>
    <w:p w14:paraId="5621AB93">
      <w:pPr>
        <w:pStyle w:val="14"/>
        <w:rPr>
          <w:rFonts w:hAnsi="黑体"/>
          <w:b/>
          <w:sz w:val="32"/>
          <w:szCs w:val="32"/>
        </w:rPr>
      </w:pPr>
      <w:r>
        <w:rPr>
          <w:rFonts w:hint="eastAsia" w:hAnsi="黑体"/>
          <w:b/>
          <w:sz w:val="32"/>
          <w:szCs w:val="32"/>
        </w:rPr>
        <w:t>二、收入决算情况说明</w:t>
      </w:r>
    </w:p>
    <w:p w14:paraId="72A43F34">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年度收入合计</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p>
    <w:p w14:paraId="1F84A9C1">
      <w:pPr>
        <w:pStyle w:val="14"/>
        <w:rPr>
          <w:rFonts w:hAnsi="黑体"/>
          <w:b/>
          <w:sz w:val="32"/>
          <w:szCs w:val="32"/>
        </w:rPr>
      </w:pPr>
      <w:r>
        <w:rPr>
          <w:rFonts w:hint="eastAsia" w:hAnsi="黑体"/>
          <w:b/>
          <w:sz w:val="32"/>
          <w:szCs w:val="32"/>
        </w:rPr>
        <w:t>三、支出决算情况说明</w:t>
      </w:r>
    </w:p>
    <w:p w14:paraId="459F415D">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2002.02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30.37</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4589.02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69.63</w:t>
      </w:r>
      <w:r>
        <w:rPr>
          <w:rFonts w:hint="eastAsia" w:ascii="仿宋_GB2312" w:hAnsi="仿宋_GB2312" w:eastAsia="仿宋_GB2312" w:cs="仿宋_GB2312"/>
          <w:sz w:val="32"/>
          <w:szCs w:val="32"/>
        </w:rPr>
        <w:t>%。</w:t>
      </w:r>
    </w:p>
    <w:p w14:paraId="19DDB4A0">
      <w:pPr>
        <w:pStyle w:val="14"/>
        <w:rPr>
          <w:rFonts w:hint="eastAsia" w:asciiTheme="minorEastAsia" w:hAnsiTheme="minorEastAsia" w:eastAsiaTheme="minorEastAsia" w:cstheme="minorEastAsia"/>
          <w:b/>
          <w:sz w:val="32"/>
          <w:szCs w:val="32"/>
        </w:rPr>
      </w:pPr>
      <w:r>
        <w:rPr>
          <w:rFonts w:hint="eastAsia" w:hAnsi="黑体"/>
          <w:b/>
          <w:sz w:val="32"/>
          <w:szCs w:val="32"/>
        </w:rPr>
        <w:t>四、财政拨款收入支出决算总体情况说明</w:t>
      </w:r>
    </w:p>
    <w:p w14:paraId="66460551">
      <w:pPr>
        <w:pStyle w:val="14"/>
        <w:ind w:firstLine="640" w:firstLineChars="200"/>
        <w:rPr>
          <w:rFonts w:hint="eastAsia" w:ascii="宋体" w:hAnsi="宋体" w:eastAsia="宋体" w:cs="宋体"/>
          <w:sz w:val="32"/>
          <w:szCs w:val="32"/>
          <w:lang w:eastAsia="zh-CN"/>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年度财政拨款收、支总计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4792.76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42.1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项目支出较上年减少</w:t>
      </w:r>
      <w:r>
        <w:rPr>
          <w:rFonts w:hint="eastAsia" w:ascii="仿宋_GB2312" w:hAnsi="仿宋_GB2312" w:eastAsia="仿宋_GB2312" w:cs="仿宋_GB2312"/>
          <w:sz w:val="32"/>
          <w:szCs w:val="32"/>
          <w:lang w:val="en-US" w:eastAsia="zh-CN"/>
        </w:rPr>
        <w:t>4997.95万元，体现在怀化市森林火灾高风险区森林防火应急道路建设项目、怀化市森林火灾高风险区林火阻隔系统建设项目支出较上年减少4304.24万元，另因地方财力吃紧压减了市本级部分预算项目资金</w:t>
      </w:r>
      <w:r>
        <w:rPr>
          <w:rFonts w:hint="eastAsia" w:ascii="仿宋_GB2312" w:hAnsi="仿宋_GB2312" w:eastAsia="仿宋_GB2312" w:cs="仿宋_GB2312"/>
          <w:sz w:val="32"/>
          <w:szCs w:val="32"/>
          <w:lang w:eastAsia="zh-CN"/>
        </w:rPr>
        <w:t>。</w:t>
      </w:r>
    </w:p>
    <w:p w14:paraId="460CBA73">
      <w:pPr>
        <w:pStyle w:val="14"/>
        <w:rPr>
          <w:rFonts w:hAnsi="黑体"/>
          <w:b/>
          <w:sz w:val="32"/>
          <w:szCs w:val="32"/>
        </w:rPr>
      </w:pPr>
      <w:r>
        <w:rPr>
          <w:rFonts w:hint="eastAsia" w:hAnsi="黑体"/>
          <w:b/>
          <w:sz w:val="32"/>
          <w:szCs w:val="32"/>
        </w:rPr>
        <w:t>五、一般公共预算财政拨款支出决算情况说明</w:t>
      </w:r>
    </w:p>
    <w:p w14:paraId="565507F7">
      <w:pPr>
        <w:pStyle w:val="14"/>
        <w:tabs>
          <w:tab w:val="left" w:pos="7243"/>
        </w:tabs>
        <w:ind w:firstLine="640" w:firstLineChars="200"/>
        <w:rPr>
          <w:rFonts w:hint="eastAsia" w:ascii="黑体" w:hAnsi="黑体" w:eastAsia="黑体" w:cs="黑体"/>
          <w:b/>
          <w:sz w:val="32"/>
          <w:szCs w:val="32"/>
          <w:lang w:eastAsia="zh-CN"/>
        </w:rPr>
      </w:pPr>
      <w:r>
        <w:rPr>
          <w:rFonts w:hint="eastAsia" w:ascii="黑体" w:hAnsi="黑体" w:eastAsia="黑体" w:cs="黑体"/>
          <w:b/>
          <w:sz w:val="32"/>
          <w:szCs w:val="32"/>
        </w:rPr>
        <w:t>（一）财政拨款支出决算总体情况</w:t>
      </w:r>
      <w:r>
        <w:rPr>
          <w:rFonts w:hint="eastAsia" w:hAnsi="黑体" w:cs="黑体"/>
          <w:b/>
          <w:sz w:val="32"/>
          <w:szCs w:val="32"/>
          <w:lang w:eastAsia="zh-CN"/>
        </w:rPr>
        <w:tab/>
      </w:r>
    </w:p>
    <w:p w14:paraId="62DE8A97">
      <w:pPr>
        <w:pStyle w:val="14"/>
        <w:ind w:firstLine="640" w:firstLineChars="200"/>
        <w:rPr>
          <w:rFonts w:hint="eastAsia" w:ascii="宋体" w:hAnsi="宋体" w:eastAsia="宋体" w:cs="宋体"/>
          <w:sz w:val="32"/>
          <w:szCs w:val="32"/>
          <w:lang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%，与上年相比，财政拨款支出</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4792.76</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42.1</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项目支出较上年减少</w:t>
      </w:r>
      <w:r>
        <w:rPr>
          <w:rFonts w:hint="eastAsia" w:ascii="仿宋_GB2312" w:hAnsi="仿宋_GB2312" w:eastAsia="仿宋_GB2312" w:cs="仿宋_GB2312"/>
          <w:sz w:val="32"/>
          <w:szCs w:val="32"/>
          <w:lang w:val="en-US" w:eastAsia="zh-CN"/>
        </w:rPr>
        <w:t>4997.95万元，体现在怀化市森林火灾高风险区森林防火应急道路建设项目、怀化市森林火灾高风险区林火阻隔系统建设项目支出较上年减少4304.24万元，另因地方财力吃紧压减了市本级部分预算项目资金。</w:t>
      </w:r>
    </w:p>
    <w:p w14:paraId="3E26B065">
      <w:pPr>
        <w:pStyle w:val="14"/>
        <w:ind w:firstLine="640" w:firstLineChars="200"/>
        <w:rPr>
          <w:rFonts w:asciiTheme="minorEastAsia" w:hAnsiTheme="minorEastAsia" w:eastAsiaTheme="minorEastAsia"/>
          <w:b/>
          <w:sz w:val="32"/>
          <w:szCs w:val="32"/>
        </w:rPr>
      </w:pPr>
      <w:r>
        <w:rPr>
          <w:rFonts w:hint="eastAsia" w:ascii="黑体" w:hAnsi="黑体" w:eastAsia="黑体" w:cs="黑体"/>
          <w:b/>
          <w:sz w:val="32"/>
          <w:szCs w:val="32"/>
        </w:rPr>
        <w:t>（二）财政拨款支出决算结构情况</w:t>
      </w:r>
    </w:p>
    <w:p w14:paraId="4EE9C5BC">
      <w:pPr>
        <w:pStyle w:val="14"/>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万元，主要用于以下方面：一般公共服务支出</w:t>
      </w:r>
      <w:r>
        <w:rPr>
          <w:rFonts w:hint="eastAsia" w:ascii="仿宋_GB2312" w:hAnsi="仿宋_GB2312" w:eastAsia="仿宋_GB2312" w:cs="仿宋_GB2312"/>
          <w:sz w:val="32"/>
          <w:szCs w:val="32"/>
          <w:lang w:val="en-US" w:eastAsia="zh-CN"/>
        </w:rPr>
        <w:t>80.93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1.23</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科学技术支出</w:t>
      </w:r>
      <w:r>
        <w:rPr>
          <w:rFonts w:hint="eastAsia" w:ascii="仿宋_GB2312" w:hAnsi="仿宋_GB2312" w:eastAsia="仿宋_GB2312" w:cs="仿宋_GB2312"/>
          <w:sz w:val="32"/>
          <w:szCs w:val="32"/>
          <w:lang w:val="en-US" w:eastAsia="zh-CN"/>
        </w:rPr>
        <w:t>28.8万元，占0.44%；社会保障和就业支出276.11万元，占4.19%；卫生健康支出63.85万元，占0.97%；节能环保支出79万元，占1.2%；农林水支出5936.28万元，占90.06%；交通运输支出114.97万元，占1.74%；资源勘探工业信息等支出11.1万元，占0.17%。</w:t>
      </w:r>
    </w:p>
    <w:p w14:paraId="3C8200D8">
      <w:pPr>
        <w:ind w:firstLine="640" w:firstLineChars="200"/>
        <w:rPr>
          <w:rFonts w:hint="eastAsia" w:ascii="黑体" w:hAnsi="黑体" w:eastAsia="黑体" w:cs="黑体"/>
          <w:b/>
          <w:sz w:val="32"/>
          <w:szCs w:val="32"/>
        </w:rPr>
      </w:pPr>
      <w:r>
        <w:rPr>
          <w:rFonts w:hint="eastAsia" w:ascii="黑体" w:hAnsi="黑体" w:eastAsia="黑体" w:cs="黑体"/>
          <w:b/>
          <w:sz w:val="32"/>
          <w:szCs w:val="32"/>
          <w:lang w:eastAsia="zh-CN"/>
        </w:rPr>
        <w:t>（三</w:t>
      </w:r>
      <w:r>
        <w:rPr>
          <w:rFonts w:hint="eastAsia" w:ascii="黑体" w:hAnsi="黑体" w:eastAsia="黑体" w:cs="黑体"/>
          <w:b/>
          <w:sz w:val="32"/>
          <w:szCs w:val="32"/>
        </w:rPr>
        <w:t>）财政拨款支出决算具体情况</w:t>
      </w:r>
    </w:p>
    <w:p w14:paraId="0BE7D4C5">
      <w:pPr>
        <w:pStyle w:val="14"/>
        <w:ind w:firstLine="800" w:firstLineChars="250"/>
        <w:rPr>
          <w:rFonts w:hint="eastAsia" w:ascii="仿宋_GB2312" w:hAnsi="仿宋_GB2312" w:eastAsia="仿宋_GB2312" w:cs="仿宋_GB2312"/>
          <w:sz w:val="32"/>
          <w:szCs w:val="32"/>
          <w:lang w:val="en-GB"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年度财政拨款支出年初预算数为</w:t>
      </w:r>
      <w:r>
        <w:rPr>
          <w:rFonts w:hint="eastAsia" w:ascii="仿宋_GB2312" w:hAnsi="仿宋_GB2312" w:eastAsia="仿宋_GB2312" w:cs="仿宋_GB2312"/>
          <w:sz w:val="32"/>
          <w:szCs w:val="32"/>
          <w:lang w:val="en-US" w:eastAsia="zh-CN"/>
        </w:rPr>
        <w:t>2579.74</w:t>
      </w:r>
      <w:r>
        <w:rPr>
          <w:rFonts w:hint="eastAsia"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6591.04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255.49</w:t>
      </w:r>
      <w:r>
        <w:rPr>
          <w:rFonts w:hint="eastAsia" w:ascii="仿宋_GB2312" w:hAnsi="仿宋_GB2312" w:eastAsia="仿宋_GB2312" w:cs="仿宋_GB2312"/>
          <w:sz w:val="32"/>
          <w:szCs w:val="32"/>
        </w:rPr>
        <w:t>%，其中：</w:t>
      </w:r>
    </w:p>
    <w:p w14:paraId="27935607">
      <w:pPr>
        <w:pStyle w:val="14"/>
        <w:numPr>
          <w:ilvl w:val="0"/>
          <w:numId w:val="2"/>
        </w:numPr>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一般公共服务支出（类）其他一般公共服务支出（款）其他一般公共服务支出（项)</w:t>
      </w:r>
    </w:p>
    <w:p w14:paraId="424FE047">
      <w:pPr>
        <w:pStyle w:val="14"/>
        <w:numPr>
          <w:ilvl w:val="0"/>
          <w:numId w:val="0"/>
        </w:num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80.93</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：市财政追加我局人才资源开发专项资金。</w:t>
      </w:r>
    </w:p>
    <w:p w14:paraId="13641079">
      <w:pPr>
        <w:pStyle w:val="14"/>
        <w:numPr>
          <w:ilvl w:val="0"/>
          <w:numId w:val="2"/>
        </w:numPr>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科学技术支出（类）其他科学技术支出(款）其他科学技术支出（项）</w:t>
      </w:r>
    </w:p>
    <w:p w14:paraId="4C252AE5">
      <w:pPr>
        <w:pStyle w:val="14"/>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28.8万元</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eastAsia="zh-CN"/>
        </w:rPr>
        <w:t>：财政年度追加五溪智慧柔性引进人才资金</w:t>
      </w:r>
      <w:r>
        <w:rPr>
          <w:rFonts w:hint="eastAsia" w:ascii="仿宋_GB2312" w:hAnsi="仿宋_GB2312" w:eastAsia="仿宋_GB2312" w:cs="仿宋_GB2312"/>
          <w:sz w:val="32"/>
          <w:szCs w:val="32"/>
          <w:lang w:val="en-US" w:eastAsia="zh-CN"/>
        </w:rPr>
        <w:t>。</w:t>
      </w:r>
    </w:p>
    <w:p w14:paraId="77D69067">
      <w:pPr>
        <w:pStyle w:val="14"/>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社会保障和就业支出（类）行政</w:t>
      </w:r>
      <w:r>
        <w:rPr>
          <w:rFonts w:hint="eastAsia" w:ascii="仿宋_GB2312" w:hAnsi="仿宋_GB2312" w:eastAsia="仿宋_GB2312" w:cs="仿宋_GB2312"/>
          <w:sz w:val="32"/>
          <w:szCs w:val="32"/>
          <w:lang w:eastAsia="zh-CN"/>
        </w:rPr>
        <w:t>事业</w:t>
      </w:r>
      <w:r>
        <w:rPr>
          <w:rFonts w:hint="eastAsia" w:ascii="仿宋_GB2312" w:hAnsi="仿宋_GB2312" w:eastAsia="仿宋_GB2312" w:cs="仿宋_GB2312"/>
          <w:sz w:val="32"/>
          <w:szCs w:val="32"/>
        </w:rPr>
        <w:t>单位养老支出（款）行政单位离退休（项）。</w:t>
      </w:r>
    </w:p>
    <w:p w14:paraId="6F0D78D0">
      <w:pPr>
        <w:pStyle w:val="14"/>
        <w:keepNext w:val="0"/>
        <w:keepLines w:val="0"/>
        <w:pageBreakBefore w:val="0"/>
        <w:widowControl w:val="0"/>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sz w:val="32"/>
          <w:szCs w:val="32"/>
          <w:lang w:val="en-GB"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129.97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120.16</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92.45%,决算数小于预算数的原因是提前退休人员转正式退休。</w:t>
      </w:r>
    </w:p>
    <w:p w14:paraId="4C6DBE93">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、社会保障和就业支出（类）行政事业单位养老支出（款）机关事业单位基本养老保险缴费支出（项）。</w:t>
      </w:r>
    </w:p>
    <w:p w14:paraId="60B3BA99">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152.82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155.95</w:t>
      </w:r>
      <w:r>
        <w:rPr>
          <w:rFonts w:hint="eastAsia" w:ascii="仿宋_GB2312" w:hAnsi="仿宋_GB2312" w:eastAsia="仿宋_GB2312" w:cs="仿宋_GB2312"/>
          <w:sz w:val="32"/>
          <w:szCs w:val="32"/>
        </w:rPr>
        <w:t>万元，</w:t>
      </w:r>
      <w:r>
        <w:rPr>
          <w:rFonts w:hint="eastAsia" w:ascii="仿宋_GB2312" w:hAnsi="Times New Roman" w:eastAsia="仿宋_GB2312"/>
          <w:sz w:val="32"/>
          <w:szCs w:val="32"/>
        </w:rPr>
        <w:t>决算数</w:t>
      </w:r>
      <w:r>
        <w:rPr>
          <w:rFonts w:hint="eastAsia" w:ascii="仿宋_GB2312" w:hAnsi="Times New Roman" w:eastAsia="仿宋_GB2312"/>
          <w:sz w:val="32"/>
          <w:szCs w:val="32"/>
          <w:lang w:eastAsia="zh-CN"/>
        </w:rPr>
        <w:t>与</w:t>
      </w:r>
      <w:r>
        <w:rPr>
          <w:rFonts w:hint="eastAsia" w:ascii="仿宋_GB2312" w:hAnsi="Times New Roman" w:eastAsia="仿宋_GB2312"/>
          <w:sz w:val="32"/>
          <w:szCs w:val="32"/>
        </w:rPr>
        <w:t>预算数基本一致</w:t>
      </w:r>
      <w:r>
        <w:rPr>
          <w:rFonts w:hint="eastAsia" w:ascii="仿宋_GB2312" w:hAnsi="仿宋_GB2312" w:eastAsia="仿宋_GB2312" w:cs="仿宋_GB2312"/>
          <w:sz w:val="32"/>
          <w:szCs w:val="32"/>
        </w:rPr>
        <w:t>。</w:t>
      </w:r>
    </w:p>
    <w:p w14:paraId="3AAF7736">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5、卫生健康支出（类）行政事业单位医疗（款）行政单位医疗（项）。</w:t>
      </w:r>
    </w:p>
    <w:p w14:paraId="57CBF281">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61.09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63.85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，完成年初预算的</w:t>
      </w:r>
      <w:r>
        <w:rPr>
          <w:rFonts w:hint="eastAsia" w:ascii="仿宋_GB2312" w:hAnsi="仿宋_GB2312" w:eastAsia="仿宋_GB2312" w:cs="仿宋_GB2312"/>
          <w:sz w:val="32"/>
          <w:szCs w:val="32"/>
          <w:lang w:val="en-US" w:eastAsia="zh-CN"/>
        </w:rPr>
        <w:t>94.88%，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新增行政人员，追加预算行政单位医疗支出</w:t>
      </w:r>
      <w:r>
        <w:rPr>
          <w:rFonts w:hint="eastAsia" w:ascii="仿宋_GB2312" w:hAnsi="仿宋_GB2312" w:eastAsia="仿宋_GB2312" w:cs="仿宋_GB2312"/>
          <w:sz w:val="32"/>
          <w:szCs w:val="32"/>
        </w:rPr>
        <w:t>。</w:t>
      </w:r>
    </w:p>
    <w:p w14:paraId="395F53C9">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节能环保支出（类）</w:t>
      </w:r>
      <w:r>
        <w:rPr>
          <w:rFonts w:hint="eastAsia" w:ascii="仿宋_GB2312" w:hAnsi="仿宋_GB2312" w:eastAsia="仿宋_GB2312" w:cs="仿宋_GB2312"/>
          <w:sz w:val="32"/>
          <w:szCs w:val="32"/>
          <w:lang w:eastAsia="zh-CN"/>
        </w:rPr>
        <w:t>自然生态保护</w:t>
      </w:r>
      <w:r>
        <w:rPr>
          <w:rFonts w:hint="eastAsia" w:ascii="仿宋_GB2312" w:hAnsi="仿宋_GB2312" w:eastAsia="仿宋_GB2312" w:cs="仿宋_GB2312"/>
          <w:sz w:val="32"/>
          <w:szCs w:val="32"/>
        </w:rPr>
        <w:t>（款）其他</w:t>
      </w:r>
      <w:r>
        <w:rPr>
          <w:rFonts w:hint="eastAsia" w:ascii="仿宋_GB2312" w:hAnsi="仿宋_GB2312" w:eastAsia="仿宋_GB2312" w:cs="仿宋_GB2312"/>
          <w:sz w:val="32"/>
          <w:szCs w:val="32"/>
          <w:lang w:eastAsia="zh-CN"/>
        </w:rPr>
        <w:t>自然生态保护支出</w:t>
      </w:r>
      <w:r>
        <w:rPr>
          <w:rFonts w:hint="eastAsia" w:ascii="仿宋_GB2312" w:hAnsi="仿宋_GB2312" w:eastAsia="仿宋_GB2312" w:cs="仿宋_GB2312"/>
          <w:sz w:val="32"/>
          <w:szCs w:val="32"/>
        </w:rPr>
        <w:t>（项）。</w:t>
      </w:r>
    </w:p>
    <w:p w14:paraId="264F2AED">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万元，决算数大于预算数的原因是</w:t>
      </w:r>
      <w:r>
        <w:rPr>
          <w:rFonts w:hint="eastAsia" w:ascii="仿宋_GB2312" w:hAnsi="仿宋_GB2312" w:eastAsia="仿宋_GB2312" w:cs="仿宋_GB2312"/>
          <w:sz w:val="32"/>
          <w:szCs w:val="32"/>
          <w:lang w:eastAsia="zh-CN"/>
        </w:rPr>
        <w:t>结转怀化市武陵山</w:t>
      </w:r>
      <w:r>
        <w:rPr>
          <w:rFonts w:hint="eastAsia" w:ascii="仿宋_GB2312" w:hAnsi="仿宋_GB2312" w:eastAsia="仿宋_GB2312" w:cs="仿宋_GB2312"/>
          <w:sz w:val="32"/>
          <w:szCs w:val="32"/>
          <w:lang w:val="en-US" w:eastAsia="zh-CN"/>
        </w:rPr>
        <w:t>-雪峰山多样性保护及石漠化综合治理项目资金、怀化市湘西南水土流失及石漠化综合治理项目资金，追加省级专项怀化市野生动物致害调查与防控</w:t>
      </w:r>
      <w:r>
        <w:rPr>
          <w:rFonts w:hint="eastAsia" w:ascii="仿宋_GB2312" w:hAnsi="仿宋_GB2312" w:eastAsia="仿宋_GB2312" w:cs="仿宋_GB2312"/>
          <w:sz w:val="32"/>
          <w:szCs w:val="32"/>
        </w:rPr>
        <w:t>。</w:t>
      </w:r>
    </w:p>
    <w:p w14:paraId="21993B48">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农林水支出（类）林业和草原（款）行政运行（项）。</w:t>
      </w:r>
    </w:p>
    <w:p w14:paraId="27AF35B9">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1375.41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1504.99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105.24</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2025年调入5人、军转2人，相应的增加了行政运行经费</w:t>
      </w:r>
      <w:r>
        <w:rPr>
          <w:rFonts w:hint="eastAsia" w:ascii="仿宋_GB2312" w:hAnsi="仿宋_GB2312" w:eastAsia="仿宋_GB2312" w:cs="仿宋_GB2312"/>
          <w:sz w:val="32"/>
          <w:szCs w:val="32"/>
          <w:lang w:eastAsia="zh-CN"/>
        </w:rPr>
        <w:t>。</w:t>
      </w:r>
    </w:p>
    <w:p w14:paraId="5183AE4F">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农林水支出（类）林业和草原（款）森林资源培育（项）。</w:t>
      </w:r>
    </w:p>
    <w:p w14:paraId="4A05ED42">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5B0DB36E">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农林水支出（类）林业和草原（款）</w:t>
      </w:r>
      <w:r>
        <w:rPr>
          <w:rFonts w:hint="eastAsia" w:ascii="仿宋_GB2312" w:hAnsi="仿宋_GB2312" w:eastAsia="仿宋_GB2312" w:cs="仿宋_GB2312"/>
          <w:sz w:val="32"/>
          <w:szCs w:val="32"/>
          <w:lang w:eastAsia="zh-CN"/>
        </w:rPr>
        <w:t>技术推广与转化</w:t>
      </w:r>
      <w:r>
        <w:rPr>
          <w:rFonts w:hint="eastAsia" w:ascii="仿宋_GB2312" w:hAnsi="仿宋_GB2312" w:eastAsia="仿宋_GB2312" w:cs="仿宋_GB2312"/>
          <w:sz w:val="32"/>
          <w:szCs w:val="32"/>
        </w:rPr>
        <w:t>（项）。</w:t>
      </w:r>
    </w:p>
    <w:p w14:paraId="77684729">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决算数大于年初预算数的主要原因是追加了上级资金省级林业科技攻关与创新补助项目。</w:t>
      </w:r>
    </w:p>
    <w:p w14:paraId="6B6AA8C7">
      <w:pPr>
        <w:pStyle w:val="14"/>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农林水支出（类）林业和草原（款）</w:t>
      </w:r>
      <w:r>
        <w:rPr>
          <w:rFonts w:hint="eastAsia" w:ascii="仿宋_GB2312" w:hAnsi="仿宋_GB2312" w:eastAsia="仿宋_GB2312" w:cs="仿宋_GB2312"/>
          <w:sz w:val="32"/>
          <w:szCs w:val="32"/>
          <w:lang w:eastAsia="zh-CN"/>
        </w:rPr>
        <w:t>森林资源管理</w:t>
      </w:r>
      <w:r>
        <w:rPr>
          <w:rFonts w:hint="eastAsia" w:ascii="仿宋_GB2312" w:hAnsi="仿宋_GB2312" w:eastAsia="仿宋_GB2312" w:cs="仿宋_GB2312"/>
          <w:sz w:val="32"/>
          <w:szCs w:val="32"/>
        </w:rPr>
        <w:t>（项）。</w:t>
      </w:r>
    </w:p>
    <w:p w14:paraId="511B7B73">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完成年初预算的</w:t>
      </w:r>
      <w:r>
        <w:rPr>
          <w:rFonts w:hint="eastAsia" w:ascii="仿宋_GB2312" w:hAnsi="仿宋_GB2312" w:eastAsia="仿宋_GB2312" w:cs="仿宋_GB2312"/>
          <w:sz w:val="32"/>
          <w:szCs w:val="32"/>
          <w:lang w:val="en-US" w:eastAsia="zh-CN"/>
        </w:rPr>
        <w:t>46.67%，</w:t>
      </w:r>
      <w:r>
        <w:rPr>
          <w:rFonts w:hint="eastAsia" w:ascii="仿宋_GB2312" w:hAnsi="仿宋_GB2312" w:eastAsia="仿宋_GB2312" w:cs="仿宋_GB2312"/>
          <w:sz w:val="32"/>
          <w:szCs w:val="32"/>
          <w:lang w:eastAsia="zh-CN"/>
        </w:rPr>
        <w:t>决算数小于年初预算数的主要原因是市财政财力吃紧。</w:t>
      </w:r>
    </w:p>
    <w:p w14:paraId="06EE55AC">
      <w:pPr>
        <w:pStyle w:val="14"/>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农林水支出（类）林业和草原（款）</w:t>
      </w:r>
      <w:r>
        <w:rPr>
          <w:rFonts w:hint="eastAsia" w:ascii="仿宋_GB2312" w:hAnsi="仿宋_GB2312" w:eastAsia="仿宋_GB2312" w:cs="仿宋_GB2312"/>
          <w:sz w:val="32"/>
          <w:szCs w:val="32"/>
          <w:lang w:eastAsia="zh-CN"/>
        </w:rPr>
        <w:t>产业化管理</w:t>
      </w:r>
      <w:r>
        <w:rPr>
          <w:rFonts w:hint="eastAsia" w:ascii="仿宋_GB2312" w:hAnsi="仿宋_GB2312" w:eastAsia="仿宋_GB2312" w:cs="仿宋_GB2312"/>
          <w:sz w:val="32"/>
          <w:szCs w:val="32"/>
        </w:rPr>
        <w:t>（项）。</w:t>
      </w:r>
    </w:p>
    <w:p w14:paraId="7B515EA3">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170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决算数大于年初预算数的主要原因是追加下达湖南省怀化市</w:t>
      </w:r>
      <w:r>
        <w:rPr>
          <w:rFonts w:hint="eastAsia" w:ascii="仿宋_GB2312" w:hAnsi="仿宋_GB2312" w:eastAsia="仿宋_GB2312" w:cs="仿宋_GB2312"/>
          <w:sz w:val="32"/>
          <w:szCs w:val="32"/>
          <w:lang w:val="en-US" w:eastAsia="zh-CN"/>
        </w:rPr>
        <w:t>2025年中央财政油茶产业发展示范奖补项目省级财政资金</w:t>
      </w:r>
      <w:r>
        <w:rPr>
          <w:rFonts w:hint="eastAsia" w:ascii="仿宋_GB2312" w:hAnsi="仿宋_GB2312" w:eastAsia="仿宋_GB2312" w:cs="仿宋_GB2312"/>
          <w:sz w:val="32"/>
          <w:szCs w:val="32"/>
          <w:lang w:eastAsia="zh-CN"/>
        </w:rPr>
        <w:t>。</w:t>
      </w:r>
    </w:p>
    <w:p w14:paraId="0F6B95CF">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12、农林水支出（类）林业和草原（款）林业草原防灾减灾（项）。</w:t>
      </w:r>
    </w:p>
    <w:p w14:paraId="56B49A33">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年初预算为0万元，支出决算为</w:t>
      </w:r>
      <w:r>
        <w:rPr>
          <w:rFonts w:hint="eastAsia" w:ascii="仿宋_GB2312" w:hAnsi="仿宋_GB2312" w:eastAsia="仿宋_GB2312" w:cs="仿宋_GB2312"/>
          <w:sz w:val="32"/>
          <w:szCs w:val="32"/>
          <w:lang w:val="en-US" w:eastAsia="zh-CN"/>
        </w:rPr>
        <w:t>3680.74</w:t>
      </w:r>
      <w:r>
        <w:rPr>
          <w:rFonts w:hint="eastAsia" w:ascii="仿宋_GB2312" w:hAnsi="仿宋_GB2312" w:eastAsia="仿宋_GB2312" w:cs="仿宋_GB2312"/>
          <w:sz w:val="32"/>
          <w:szCs w:val="32"/>
        </w:rPr>
        <w:t>万元，决算数大于年初预算数的主要原因是：</w:t>
      </w:r>
      <w:r>
        <w:rPr>
          <w:rFonts w:hint="eastAsia" w:ascii="仿宋_GB2312" w:hAnsi="仿宋_GB2312" w:eastAsia="仿宋_GB2312" w:cs="仿宋_GB2312"/>
          <w:sz w:val="32"/>
          <w:szCs w:val="32"/>
          <w:lang w:eastAsia="zh-CN"/>
        </w:rPr>
        <w:t>新增中央国债项目怀化市森林火灾高风险区森林应急道路建设项目和怀化市森立火灾高风险区林火阻隔系统建设项目，涉及中央增发国债资金</w:t>
      </w:r>
      <w:r>
        <w:rPr>
          <w:rFonts w:hint="eastAsia" w:ascii="仿宋_GB2312" w:hAnsi="仿宋_GB2312" w:eastAsia="仿宋_GB2312" w:cs="仿宋_GB2312"/>
          <w:sz w:val="32"/>
          <w:szCs w:val="32"/>
          <w:lang w:val="en-US" w:eastAsia="zh-CN"/>
        </w:rPr>
        <w:t>1.39亿元，根据项目实施进度拨付</w:t>
      </w:r>
      <w:r>
        <w:rPr>
          <w:rFonts w:hint="eastAsia" w:ascii="仿宋_GB2312" w:hAnsi="仿宋_GB2312" w:eastAsia="仿宋_GB2312" w:cs="仿宋_GB2312"/>
          <w:sz w:val="32"/>
          <w:szCs w:val="32"/>
          <w:lang w:eastAsia="zh-CN"/>
        </w:rPr>
        <w:t>。</w:t>
      </w:r>
    </w:p>
    <w:p w14:paraId="6B73F24A">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13、农林水支出（类）林业和草原（款）其他林业和草原支出（项）。</w:t>
      </w:r>
    </w:p>
    <w:p w14:paraId="0548036E">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810.44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525.55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完成年初预算的</w:t>
      </w:r>
      <w:r>
        <w:rPr>
          <w:rFonts w:hint="eastAsia" w:ascii="仿宋_GB2312" w:hAnsi="仿宋_GB2312" w:eastAsia="仿宋_GB2312" w:cs="仿宋_GB2312"/>
          <w:sz w:val="32"/>
          <w:szCs w:val="32"/>
          <w:lang w:val="en-US" w:eastAsia="zh-CN"/>
        </w:rPr>
        <w:t>64.85%，</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因市级财力吃紧，年初预算批复下达项目资金未完全下达。</w:t>
      </w:r>
    </w:p>
    <w:p w14:paraId="1BF01A3E">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14、农林水支出（类）农业农村（款）其他农业农村支出（项）。</w:t>
      </w:r>
    </w:p>
    <w:p w14:paraId="2DDBB677">
      <w:pPr>
        <w:pStyle w:val="14"/>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财政追加中央国土绿化项目前期工作经费。</w:t>
      </w:r>
    </w:p>
    <w:p w14:paraId="5D5C82B7">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15、交通运输支出（类）公路水路运输（款）其他公路水路运输支出</w:t>
      </w:r>
    </w:p>
    <w:p w14:paraId="7DF1038D">
      <w:pPr>
        <w:pStyle w:val="14"/>
        <w:numPr>
          <w:ilvl w:val="0"/>
          <w:numId w:val="0"/>
        </w:num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年初预算为0万元，支出决算为114.97万元，决算数大于年预算数的主要原因是：市本级追加凉山公路硬化项目资金。</w:t>
      </w:r>
    </w:p>
    <w:p w14:paraId="659752C5">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16、资源勘探工业信息等支出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制造业</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通用设备、计算机及其他电子设备制造业</w:t>
      </w:r>
      <w:r>
        <w:rPr>
          <w:rFonts w:hint="eastAsia" w:ascii="仿宋_GB2312" w:hAnsi="仿宋_GB2312" w:eastAsia="仿宋_GB2312" w:cs="仿宋_GB2312"/>
          <w:sz w:val="32"/>
          <w:szCs w:val="32"/>
        </w:rPr>
        <w:t>（项）。</w:t>
      </w:r>
    </w:p>
    <w:p w14:paraId="5D05CF6A">
      <w:pPr>
        <w:pStyle w:val="14"/>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财政追加</w:t>
      </w:r>
      <w:r>
        <w:rPr>
          <w:rFonts w:hint="eastAsia" w:ascii="仿宋_GB2312" w:hAnsi="仿宋_GB2312" w:eastAsia="仿宋_GB2312" w:cs="仿宋_GB2312"/>
          <w:sz w:val="32"/>
          <w:szCs w:val="32"/>
          <w:lang w:val="en-US" w:eastAsia="zh-CN"/>
        </w:rPr>
        <w:t>AK替代专项经费。</w:t>
      </w:r>
    </w:p>
    <w:p w14:paraId="2049A05C">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17、资源勘探工业信息等支出</w:t>
      </w:r>
      <w:r>
        <w:rPr>
          <w:rFonts w:hint="eastAsia" w:ascii="仿宋_GB2312" w:hAnsi="仿宋_GB2312" w:eastAsia="仿宋_GB2312" w:cs="仿宋_GB2312"/>
          <w:sz w:val="32"/>
          <w:szCs w:val="32"/>
        </w:rPr>
        <w:t>（类）其他资源勘探工业信息等支出（款）</w:t>
      </w:r>
      <w:r>
        <w:rPr>
          <w:rFonts w:hint="eastAsia" w:ascii="仿宋_GB2312" w:hAnsi="仿宋_GB2312" w:eastAsia="仿宋_GB2312" w:cs="仿宋_GB2312"/>
          <w:sz w:val="32"/>
          <w:szCs w:val="32"/>
          <w:lang w:eastAsia="zh-CN"/>
        </w:rPr>
        <w:t>其他资源勘探工业信息等支出</w:t>
      </w:r>
      <w:r>
        <w:rPr>
          <w:rFonts w:hint="eastAsia" w:ascii="仿宋_GB2312" w:hAnsi="仿宋_GB2312" w:eastAsia="仿宋_GB2312" w:cs="仿宋_GB2312"/>
          <w:sz w:val="32"/>
          <w:szCs w:val="32"/>
        </w:rPr>
        <w:t>（项）</w:t>
      </w:r>
    </w:p>
    <w:p w14:paraId="3EE15253">
      <w:pPr>
        <w:pStyle w:val="14"/>
        <w:ind w:firstLine="800" w:firstLineChars="25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大于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eastAsia="zh-CN"/>
        </w:rPr>
        <w:t>财政追加</w:t>
      </w:r>
      <w:r>
        <w:rPr>
          <w:rFonts w:hint="eastAsia" w:ascii="仿宋_GB2312" w:hAnsi="仿宋_GB2312" w:eastAsia="仿宋_GB2312" w:cs="仿宋_GB2312"/>
          <w:sz w:val="32"/>
          <w:szCs w:val="32"/>
          <w:lang w:val="en-US" w:eastAsia="zh-CN"/>
        </w:rPr>
        <w:t>竹产业工作经费。</w:t>
      </w:r>
    </w:p>
    <w:p w14:paraId="42D503A9">
      <w:pPr>
        <w:pStyle w:val="14"/>
        <w:rPr>
          <w:rFonts w:hAnsi="黑体"/>
          <w:b/>
          <w:sz w:val="32"/>
          <w:szCs w:val="32"/>
        </w:rPr>
      </w:pPr>
      <w:r>
        <w:rPr>
          <w:rFonts w:hint="eastAsia" w:hAnsi="黑体"/>
          <w:b/>
          <w:sz w:val="32"/>
          <w:szCs w:val="32"/>
        </w:rPr>
        <w:t>六、一般公共预算财政拨款基本支出决算情况说明</w:t>
      </w:r>
    </w:p>
    <w:p w14:paraId="4FB15F58">
      <w:pPr>
        <w:pStyle w:val="14"/>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年度财政拨款基本支出</w:t>
      </w:r>
      <w:r>
        <w:rPr>
          <w:rFonts w:hint="eastAsia" w:ascii="仿宋_GB2312" w:hAnsi="仿宋_GB2312" w:eastAsia="仿宋_GB2312" w:cs="仿宋_GB2312"/>
          <w:sz w:val="32"/>
          <w:szCs w:val="32"/>
          <w:lang w:val="en-US" w:eastAsia="zh-CN"/>
        </w:rPr>
        <w:t>2002.02</w:t>
      </w:r>
      <w:r>
        <w:rPr>
          <w:rFonts w:hint="eastAsia" w:ascii="仿宋_GB2312" w:hAnsi="仿宋_GB2312" w:eastAsia="仿宋_GB2312" w:cs="仿宋_GB2312"/>
          <w:sz w:val="32"/>
          <w:szCs w:val="32"/>
        </w:rPr>
        <w:t>万元，其中：人员经费</w:t>
      </w:r>
      <w:r>
        <w:rPr>
          <w:rFonts w:hint="eastAsia" w:ascii="仿宋_GB2312" w:hAnsi="仿宋_GB2312" w:eastAsia="仿宋_GB2312" w:cs="仿宋_GB2312"/>
          <w:sz w:val="32"/>
          <w:szCs w:val="32"/>
          <w:lang w:val="en-US" w:eastAsia="zh-CN"/>
        </w:rPr>
        <w:t>1843.31</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92.07</w:t>
      </w:r>
      <w:r>
        <w:rPr>
          <w:rFonts w:hint="eastAsia" w:ascii="仿宋_GB2312" w:hAnsi="仿宋_GB2312" w:eastAsia="仿宋_GB2312" w:cs="仿宋_GB2312"/>
          <w:sz w:val="32"/>
          <w:szCs w:val="32"/>
        </w:rPr>
        <w:t>%,主要包括基本工资、津贴补贴、奖金、</w:t>
      </w:r>
      <w:r>
        <w:rPr>
          <w:rFonts w:hint="eastAsia" w:ascii="仿宋_GB2312" w:hAnsi="仿宋_GB2312" w:eastAsia="仿宋_GB2312" w:cs="仿宋_GB2312"/>
          <w:sz w:val="32"/>
          <w:szCs w:val="32"/>
          <w:lang w:eastAsia="zh-CN"/>
        </w:rPr>
        <w:t>绩效工</w:t>
      </w:r>
      <w:r>
        <w:rPr>
          <w:rFonts w:hint="eastAsia" w:ascii="仿宋_GB2312" w:hAnsi="仿宋_GB2312" w:eastAsia="仿宋_GB2312" w:cs="仿宋_GB2312"/>
          <w:sz w:val="32"/>
          <w:szCs w:val="32"/>
        </w:rPr>
        <w:t>资、机关事业单位基本养老保险缴费、职业年金缴费、职工基本医疗保险缴费、其他社会保障缴费、住房公积金、对个人和家庭的补助等；公用经费</w:t>
      </w:r>
      <w:r>
        <w:rPr>
          <w:rFonts w:hint="eastAsia" w:ascii="仿宋_GB2312" w:hAnsi="仿宋_GB2312" w:eastAsia="仿宋_GB2312" w:cs="仿宋_GB2312"/>
          <w:sz w:val="32"/>
          <w:szCs w:val="32"/>
          <w:lang w:val="en-US" w:eastAsia="zh-CN"/>
        </w:rPr>
        <w:t>158.71</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7.93</w:t>
      </w:r>
      <w:r>
        <w:rPr>
          <w:rFonts w:hint="eastAsia" w:ascii="仿宋_GB2312" w:hAnsi="仿宋_GB2312" w:eastAsia="仿宋_GB2312" w:cs="仿宋_GB2312"/>
          <w:sz w:val="32"/>
          <w:szCs w:val="32"/>
        </w:rPr>
        <w:t>%，主要包括办公费、印刷费、咨询费、手续费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电费、邮电费、物业管理费、差旅费、维修（护）费、会议费、培训费、公务接待费、福利费、公务用车运行维护费、其他交通费、其他商品服务支出等。</w:t>
      </w:r>
    </w:p>
    <w:p w14:paraId="3B40A550">
      <w:pPr>
        <w:pStyle w:val="14"/>
        <w:rPr>
          <w:rFonts w:hAnsi="黑体"/>
          <w:b/>
          <w:sz w:val="32"/>
          <w:szCs w:val="32"/>
        </w:rPr>
      </w:pPr>
      <w:r>
        <w:rPr>
          <w:rFonts w:hint="eastAsia" w:hAnsi="黑体"/>
          <w:b/>
          <w:sz w:val="32"/>
          <w:szCs w:val="32"/>
        </w:rPr>
        <w:t>七、财政拨款“三公”经费支出决算情况说明</w:t>
      </w:r>
    </w:p>
    <w:p w14:paraId="4C59B85D">
      <w:pPr>
        <w:pStyle w:val="14"/>
        <w:rPr>
          <w:rFonts w:hint="eastAsia" w:ascii="黑体" w:hAnsi="黑体" w:eastAsia="黑体" w:cs="黑体"/>
          <w:b/>
          <w:sz w:val="32"/>
          <w:szCs w:val="32"/>
        </w:rPr>
      </w:pPr>
      <w:r>
        <w:rPr>
          <w:rFonts w:hint="eastAsia" w:ascii="黑体" w:hAnsi="黑体" w:eastAsia="黑体" w:cs="黑体"/>
          <w:b/>
          <w:sz w:val="32"/>
          <w:szCs w:val="32"/>
        </w:rPr>
        <w:t>（一）“三公”经费财政拨款支出决算总体情况说明</w:t>
      </w:r>
    </w:p>
    <w:p w14:paraId="267FAC78">
      <w:pPr>
        <w:pStyle w:val="14"/>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年度“三公”经费财政拨款支出预算为</w:t>
      </w:r>
      <w:r>
        <w:rPr>
          <w:rFonts w:hint="eastAsia" w:ascii="仿宋_GB2312" w:hAnsi="仿宋_GB2312" w:eastAsia="仿宋_GB2312" w:cs="仿宋_GB2312"/>
          <w:sz w:val="32"/>
          <w:szCs w:val="32"/>
          <w:lang w:val="en-US" w:eastAsia="zh-CN"/>
        </w:rPr>
        <w:t>63.5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39.15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61.65</w:t>
      </w:r>
      <w:r>
        <w:rPr>
          <w:rFonts w:hint="eastAsia" w:ascii="仿宋_GB2312" w:hAnsi="仿宋_GB2312" w:eastAsia="仿宋_GB2312" w:cs="仿宋_GB2312"/>
          <w:sz w:val="32"/>
          <w:szCs w:val="32"/>
        </w:rPr>
        <w:t>%，决算数小于预算数的主要原因是落实过“紧日子”要求，严格执行开支标准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厉行节约；与上年相比减少13.36万元，下降25.44%，减少的主要原因是：按照财政要求，三公经费呈逐年下降趋势。</w:t>
      </w:r>
      <w:r>
        <w:rPr>
          <w:rFonts w:hint="eastAsia" w:ascii="仿宋_GB2312" w:hAnsi="仿宋_GB2312" w:eastAsia="仿宋_GB2312" w:cs="仿宋_GB2312"/>
          <w:sz w:val="32"/>
          <w:szCs w:val="32"/>
        </w:rPr>
        <w:t>其中：</w:t>
      </w:r>
    </w:p>
    <w:p w14:paraId="78B3DD20">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因公出国(境)费支出预算为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万元，预算决算金额均</w:t>
      </w:r>
      <w:r>
        <w:rPr>
          <w:rFonts w:hint="eastAsia" w:ascii="仿宋_GB2312" w:hAnsi="仿宋_GB2312" w:eastAsia="仿宋_GB2312" w:cs="仿宋_GB2312"/>
          <w:sz w:val="32"/>
          <w:szCs w:val="32"/>
          <w:lang w:val="en-US" w:eastAsia="zh-CN"/>
        </w:rPr>
        <w:t>为0万元</w:t>
      </w:r>
      <w:r>
        <w:rPr>
          <w:rFonts w:hint="eastAsia" w:ascii="仿宋_GB2312" w:hAnsi="仿宋_GB2312" w:eastAsia="仿宋_GB2312" w:cs="仿宋_GB2312"/>
          <w:sz w:val="32"/>
          <w:szCs w:val="32"/>
        </w:rPr>
        <w:t>，无法计算完成百分比，主要原因</w:t>
      </w:r>
      <w:r>
        <w:rPr>
          <w:rFonts w:hint="eastAsia" w:ascii="仿宋_GB2312" w:hAnsi="仿宋_GB2312" w:eastAsia="仿宋_GB2312" w:cs="仿宋_GB2312"/>
          <w:sz w:val="32"/>
          <w:szCs w:val="32"/>
          <w:lang w:val="en-US" w:eastAsia="zh-CN"/>
        </w:rPr>
        <w:t>是单位未</w:t>
      </w:r>
      <w:r>
        <w:rPr>
          <w:rFonts w:hint="eastAsia" w:ascii="仿宋_GB2312" w:hAnsi="仿宋_GB2312" w:eastAsia="仿宋_GB2312" w:cs="仿宋_GB2312"/>
          <w:sz w:val="32"/>
          <w:szCs w:val="32"/>
        </w:rPr>
        <w:t>因公出国（境），</w:t>
      </w:r>
      <w:r>
        <w:rPr>
          <w:rFonts w:hint="eastAsia" w:ascii="仿宋_GB2312" w:hAnsi="仿宋_GB2312" w:eastAsia="仿宋_GB2312" w:cs="仿宋_GB2312"/>
          <w:sz w:val="32"/>
          <w:szCs w:val="32"/>
          <w:lang w:val="en-US" w:eastAsia="zh-CN"/>
        </w:rPr>
        <w:t>与上年相比持平均为0万元，</w:t>
      </w:r>
      <w:r>
        <w:rPr>
          <w:rFonts w:hint="eastAsia" w:ascii="仿宋_GB2312" w:hAnsi="仿宋_GB2312" w:eastAsia="仿宋_GB2312" w:cs="仿宋_GB2312"/>
          <w:sz w:val="32"/>
          <w:szCs w:val="32"/>
        </w:rPr>
        <w:t>无法计算完成百分比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主要原因是单位未</w:t>
      </w:r>
      <w:r>
        <w:rPr>
          <w:rFonts w:hint="eastAsia" w:ascii="仿宋_GB2312" w:hAnsi="仿宋_GB2312" w:eastAsia="仿宋_GB2312" w:cs="仿宋_GB2312"/>
          <w:sz w:val="32"/>
          <w:szCs w:val="32"/>
        </w:rPr>
        <w:t>因公出国（境）。</w:t>
      </w:r>
    </w:p>
    <w:p w14:paraId="6A49B916">
      <w:pPr>
        <w:pStyle w:val="14"/>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公务接待费支出预算为</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3.65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lang w:val="en-US" w:eastAsia="zh-CN"/>
        </w:rPr>
        <w:t>15.87</w:t>
      </w:r>
      <w:r>
        <w:rPr>
          <w:rFonts w:hint="eastAsia" w:ascii="仿宋_GB2312" w:hAnsi="仿宋_GB2312" w:eastAsia="仿宋_GB2312" w:cs="仿宋_GB2312"/>
          <w:sz w:val="32"/>
          <w:szCs w:val="32"/>
        </w:rPr>
        <w:t>%，决算数小于预算数的主要原因是我局严格控制公务接待费的规模和比例，严把公务接待支出的审核、审批关，与上年相比</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10.73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74.62%，下降的主要原因是厉行节约、落实过紧日子的要求。</w:t>
      </w:r>
    </w:p>
    <w:p w14:paraId="25795303">
      <w:pPr>
        <w:pStyle w:val="14"/>
        <w:spacing w:line="600" w:lineRule="exact"/>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公务用车购置费支出预算为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万元，支出决算为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万元，预算决算金额均</w:t>
      </w:r>
      <w:r>
        <w:rPr>
          <w:rFonts w:hint="eastAsia" w:ascii="仿宋_GB2312" w:hAnsi="仿宋_GB2312" w:eastAsia="仿宋_GB2312" w:cs="仿宋_GB2312"/>
          <w:sz w:val="32"/>
          <w:szCs w:val="32"/>
          <w:highlight w:val="none"/>
          <w:lang w:val="en-US" w:eastAsia="zh-CN"/>
        </w:rPr>
        <w:t>为0万元</w:t>
      </w:r>
      <w:r>
        <w:rPr>
          <w:rFonts w:hint="eastAsia" w:ascii="仿宋_GB2312" w:hAnsi="仿宋_GB2312" w:eastAsia="仿宋_GB2312" w:cs="仿宋_GB2312"/>
          <w:sz w:val="32"/>
          <w:szCs w:val="32"/>
          <w:highlight w:val="none"/>
        </w:rPr>
        <w:t>，无法计算完成百分比，主要原因</w:t>
      </w:r>
      <w:r>
        <w:rPr>
          <w:rFonts w:hint="eastAsia" w:ascii="仿宋_GB2312" w:hAnsi="仿宋_GB2312" w:eastAsia="仿宋_GB2312" w:cs="仿宋_GB2312"/>
          <w:sz w:val="32"/>
          <w:szCs w:val="32"/>
          <w:highlight w:val="none"/>
          <w:lang w:val="en-US" w:eastAsia="zh-CN"/>
        </w:rPr>
        <w:t>是未</w:t>
      </w:r>
      <w:r>
        <w:rPr>
          <w:rFonts w:hint="eastAsia" w:ascii="仿宋_GB2312" w:hAnsi="仿宋_GB2312" w:eastAsia="仿宋_GB2312" w:cs="仿宋_GB2312"/>
          <w:sz w:val="32"/>
          <w:szCs w:val="32"/>
          <w:highlight w:val="none"/>
        </w:rPr>
        <w:t>购置公务用车</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与上年相比持平均为0万元，</w:t>
      </w:r>
      <w:r>
        <w:rPr>
          <w:rFonts w:hint="eastAsia" w:ascii="仿宋_GB2312" w:hAnsi="仿宋_GB2312" w:eastAsia="仿宋_GB2312" w:cs="仿宋_GB2312"/>
          <w:sz w:val="32"/>
          <w:szCs w:val="32"/>
          <w:highlight w:val="none"/>
        </w:rPr>
        <w:t>无法计算完成百分比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主要原因</w:t>
      </w:r>
      <w:r>
        <w:rPr>
          <w:rFonts w:hint="eastAsia" w:ascii="仿宋_GB2312" w:hAnsi="仿宋_GB2312" w:eastAsia="仿宋_GB2312" w:cs="仿宋_GB2312"/>
          <w:sz w:val="32"/>
          <w:szCs w:val="32"/>
          <w:highlight w:val="none"/>
          <w:lang w:val="en-US" w:eastAsia="zh-CN"/>
        </w:rPr>
        <w:t>是未</w:t>
      </w:r>
      <w:r>
        <w:rPr>
          <w:rFonts w:hint="eastAsia" w:ascii="仿宋_GB2312" w:hAnsi="仿宋_GB2312" w:eastAsia="仿宋_GB2312" w:cs="仿宋_GB2312"/>
          <w:sz w:val="32"/>
          <w:szCs w:val="32"/>
          <w:highlight w:val="none"/>
        </w:rPr>
        <w:t>购置公务用车</w:t>
      </w:r>
      <w:r>
        <w:rPr>
          <w:rFonts w:hint="eastAsia" w:ascii="仿宋_GB2312" w:hAnsi="仿宋_GB2312" w:eastAsia="仿宋_GB2312" w:cs="仿宋_GB2312"/>
          <w:sz w:val="32"/>
          <w:szCs w:val="32"/>
          <w:highlight w:val="none"/>
          <w:lang w:eastAsia="zh-CN"/>
        </w:rPr>
        <w:t>。</w:t>
      </w:r>
    </w:p>
    <w:p w14:paraId="7AEC2DF3">
      <w:pPr>
        <w:pStyle w:val="14"/>
        <w:ind w:firstLine="800" w:firstLineChars="25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公务用车运行维护费支出预算为</w:t>
      </w:r>
      <w:r>
        <w:rPr>
          <w:rFonts w:hint="eastAsia" w:ascii="仿宋_GB2312" w:hAnsi="仿宋_GB2312" w:eastAsia="仿宋_GB2312" w:cs="仿宋_GB2312"/>
          <w:sz w:val="32"/>
          <w:szCs w:val="32"/>
          <w:lang w:val="en-US" w:eastAsia="zh-CN"/>
        </w:rPr>
        <w:t>40.5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35.5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87.65</w:t>
      </w:r>
      <w:r>
        <w:rPr>
          <w:rFonts w:hint="eastAsia" w:ascii="仿宋_GB2312" w:hAnsi="仿宋_GB2312" w:eastAsia="仿宋_GB2312" w:cs="仿宋_GB2312"/>
          <w:sz w:val="32"/>
          <w:szCs w:val="32"/>
        </w:rPr>
        <w:t>%，决算数小于预算数的主要原因是厉行节约，严把公务出行审批关</w:t>
      </w:r>
      <w:r>
        <w:rPr>
          <w:rFonts w:hint="eastAsia" w:ascii="仿宋_GB2312" w:hAnsi="仿宋_GB2312" w:eastAsia="仿宋_GB2312" w:cs="仿宋_GB2312"/>
          <w:sz w:val="32"/>
          <w:szCs w:val="32"/>
          <w:lang w:eastAsia="zh-CN"/>
        </w:rPr>
        <w:t>，与上年相比减少</w:t>
      </w:r>
      <w:r>
        <w:rPr>
          <w:rFonts w:hint="eastAsia" w:ascii="仿宋_GB2312" w:hAnsi="仿宋_GB2312" w:eastAsia="仿宋_GB2312" w:cs="仿宋_GB2312"/>
          <w:sz w:val="32"/>
          <w:szCs w:val="32"/>
          <w:lang w:val="en-US" w:eastAsia="zh-CN"/>
        </w:rPr>
        <w:t>2.64万元，下降6.92%。</w:t>
      </w:r>
    </w:p>
    <w:p w14:paraId="4F9314C2">
      <w:pPr>
        <w:pStyle w:val="14"/>
        <w:rPr>
          <w:rFonts w:hint="eastAsia" w:ascii="黑体" w:hAnsi="黑体" w:eastAsia="黑体" w:cs="黑体"/>
          <w:b/>
          <w:sz w:val="32"/>
          <w:szCs w:val="32"/>
        </w:rPr>
      </w:pPr>
      <w:r>
        <w:rPr>
          <w:rFonts w:hint="eastAsia" w:ascii="黑体" w:hAnsi="黑体" w:eastAsia="黑体" w:cs="黑体"/>
          <w:b/>
          <w:sz w:val="32"/>
          <w:szCs w:val="32"/>
        </w:rPr>
        <w:t>（二）“三公”经费财政拨款支出决算具体情况说明</w:t>
      </w:r>
    </w:p>
    <w:p w14:paraId="3C652068">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年度“三公”经费财政拨款支出决算中，公务接待费支出决算</w:t>
      </w:r>
      <w:r>
        <w:rPr>
          <w:rFonts w:hint="eastAsia" w:ascii="仿宋_GB2312" w:hAnsi="仿宋_GB2312" w:eastAsia="仿宋_GB2312" w:cs="仿宋_GB2312"/>
          <w:sz w:val="32"/>
          <w:szCs w:val="32"/>
          <w:lang w:val="en-US" w:eastAsia="zh-CN"/>
        </w:rPr>
        <w:t>3.65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9.32</w:t>
      </w:r>
      <w:r>
        <w:rPr>
          <w:rFonts w:hint="eastAsia" w:ascii="仿宋_GB2312" w:hAnsi="仿宋_GB2312" w:eastAsia="仿宋_GB2312" w:cs="仿宋_GB2312"/>
          <w:sz w:val="32"/>
          <w:szCs w:val="32"/>
        </w:rPr>
        <w:t>%,因公出国（境）费支出决算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%,公务用车购置费及运行维护费支出决算</w:t>
      </w:r>
      <w:r>
        <w:rPr>
          <w:rFonts w:hint="eastAsia" w:ascii="仿宋_GB2312" w:hAnsi="仿宋_GB2312" w:eastAsia="仿宋_GB2312" w:cs="仿宋_GB2312"/>
          <w:sz w:val="32"/>
          <w:szCs w:val="32"/>
          <w:lang w:val="en-US" w:eastAsia="zh-CN"/>
        </w:rPr>
        <w:t>35.5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90.68</w:t>
      </w:r>
      <w:r>
        <w:rPr>
          <w:rFonts w:hint="eastAsia" w:ascii="仿宋_GB2312" w:hAnsi="仿宋_GB2312" w:eastAsia="仿宋_GB2312" w:cs="仿宋_GB2312"/>
          <w:sz w:val="32"/>
          <w:szCs w:val="32"/>
        </w:rPr>
        <w:t>%。其中：</w:t>
      </w:r>
    </w:p>
    <w:p w14:paraId="1B06BFCE">
      <w:pPr>
        <w:pStyle w:val="4"/>
        <w:keepNext w:val="0"/>
        <w:keepLines w:val="0"/>
        <w:pageBreakBefore w:val="0"/>
        <w:widowControl w:val="0"/>
        <w:numPr>
          <w:ilvl w:val="0"/>
          <w:numId w:val="3"/>
        </w:numPr>
        <w:tabs>
          <w:tab w:val="left" w:pos="3864"/>
          <w:tab w:val="left" w:pos="6248"/>
          <w:tab w:val="left" w:pos="7386"/>
        </w:tabs>
        <w:kinsoku/>
        <w:wordWrap/>
        <w:overflowPunct w:val="0"/>
        <w:topLinePunct w:val="0"/>
        <w:bidi w:val="0"/>
        <w:snapToGrid/>
        <w:spacing w:before="1" w:line="600" w:lineRule="exact"/>
        <w:ind w:right="42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SA"/>
        </w:rPr>
        <w:t>因公出国（境）费支出决算为0万元，全年安排因公出国（境）团组0个，累计团组</w:t>
      </w:r>
      <w:bookmarkStart w:id="1" w:name="THERR_YGCGJFY_TZRS"/>
      <w:r>
        <w:rPr>
          <w:rFonts w:hint="eastAsia" w:ascii="仿宋_GB2312" w:hAnsi="仿宋_GB2312" w:eastAsia="仿宋_GB2312" w:cs="仿宋_GB2312"/>
          <w:color w:val="000000"/>
          <w:kern w:val="0"/>
          <w:sz w:val="32"/>
          <w:szCs w:val="32"/>
          <w:lang w:val="en-US" w:eastAsia="zh-CN" w:bidi="ar-SA"/>
        </w:rPr>
        <w:t>0</w:t>
      </w:r>
      <w:bookmarkEnd w:id="1"/>
      <w:r>
        <w:rPr>
          <w:rFonts w:hint="eastAsia" w:ascii="仿宋_GB2312" w:hAnsi="仿宋_GB2312" w:eastAsia="仿宋_GB2312" w:cs="仿宋_GB2312"/>
          <w:color w:val="000000"/>
          <w:kern w:val="0"/>
          <w:sz w:val="32"/>
          <w:szCs w:val="32"/>
          <w:lang w:val="en-US" w:eastAsia="zh-CN" w:bidi="ar-SA"/>
        </w:rPr>
        <w:t>人次，主要是</w:t>
      </w:r>
      <w:bookmarkStart w:id="2" w:name="THERR_YGCGJFY_ZYYY"/>
      <w:r>
        <w:rPr>
          <w:rFonts w:hint="eastAsia" w:ascii="仿宋_GB2312" w:hAnsi="仿宋_GB2312" w:eastAsia="仿宋_GB2312" w:cs="仿宋_GB2312"/>
          <w:color w:val="000000"/>
          <w:kern w:val="0"/>
          <w:sz w:val="32"/>
          <w:szCs w:val="32"/>
          <w:lang w:val="en-US" w:eastAsia="zh-CN" w:bidi="ar-SA"/>
        </w:rPr>
        <w:t>2025年我单位没有因公出国（境）费支出</w:t>
      </w:r>
      <w:bookmarkEnd w:id="2"/>
      <w:bookmarkStart w:id="3" w:name="END_THERR_YGCGJFY_AMT"/>
      <w:bookmarkEnd w:id="3"/>
      <w:r>
        <w:rPr>
          <w:rFonts w:hint="eastAsia" w:ascii="仿宋_GB2312" w:hAnsi="仿宋_GB2312" w:eastAsia="仿宋_GB2312" w:cs="仿宋_GB2312"/>
          <w:color w:val="000000"/>
          <w:kern w:val="0"/>
          <w:sz w:val="32"/>
          <w:szCs w:val="32"/>
          <w:lang w:val="en-US" w:eastAsia="zh-CN" w:bidi="ar-SA"/>
        </w:rPr>
        <w:t>。</w:t>
      </w:r>
    </w:p>
    <w:p w14:paraId="59EB38A0">
      <w:pPr>
        <w:pStyle w:val="4"/>
        <w:keepNext w:val="0"/>
        <w:keepLines w:val="0"/>
        <w:pageBreakBefore w:val="0"/>
        <w:widowControl w:val="0"/>
        <w:numPr>
          <w:ilvl w:val="0"/>
          <w:numId w:val="0"/>
        </w:numPr>
        <w:tabs>
          <w:tab w:val="left" w:pos="3864"/>
          <w:tab w:val="left" w:pos="6248"/>
          <w:tab w:val="left" w:pos="7386"/>
        </w:tabs>
        <w:kinsoku/>
        <w:wordWrap/>
        <w:overflowPunct w:val="0"/>
        <w:topLinePunct w:val="0"/>
        <w:bidi w:val="0"/>
        <w:snapToGrid/>
        <w:spacing w:before="1" w:line="600" w:lineRule="exact"/>
        <w:ind w:right="42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2、公务接待费支出决算为</w:t>
      </w:r>
      <w:r>
        <w:rPr>
          <w:rFonts w:hint="eastAsia" w:ascii="仿宋_GB2312" w:hAnsi="仿宋_GB2312" w:eastAsia="仿宋_GB2312" w:cs="仿宋_GB2312"/>
          <w:sz w:val="32"/>
          <w:szCs w:val="32"/>
          <w:lang w:val="en-US" w:eastAsia="zh-CN"/>
        </w:rPr>
        <w:t>3.65</w:t>
      </w:r>
      <w:r>
        <w:rPr>
          <w:rFonts w:hint="eastAsia" w:ascii="仿宋_GB2312" w:hAnsi="仿宋_GB2312" w:eastAsia="仿宋_GB2312" w:cs="仿宋_GB2312"/>
          <w:sz w:val="32"/>
          <w:szCs w:val="32"/>
        </w:rPr>
        <w:t>万元，全年共接待来访团组</w:t>
      </w:r>
      <w:r>
        <w:rPr>
          <w:rFonts w:hint="eastAsia" w:ascii="仿宋_GB2312" w:hAnsi="仿宋_GB2312" w:eastAsia="仿宋_GB2312" w:cs="仿宋_GB2312"/>
          <w:sz w:val="32"/>
          <w:szCs w:val="32"/>
          <w:lang w:val="en-US" w:eastAsia="zh-CN"/>
        </w:rPr>
        <w:t>123</w:t>
      </w:r>
      <w:r>
        <w:rPr>
          <w:rFonts w:hint="eastAsia" w:ascii="仿宋_GB2312" w:hAnsi="仿宋_GB2312" w:eastAsia="仿宋_GB2312" w:cs="仿宋_GB2312"/>
          <w:sz w:val="32"/>
          <w:szCs w:val="32"/>
        </w:rPr>
        <w:t>个、来宾</w:t>
      </w:r>
      <w:r>
        <w:rPr>
          <w:rFonts w:hint="eastAsia" w:ascii="仿宋_GB2312" w:hAnsi="仿宋_GB2312" w:eastAsia="仿宋_GB2312" w:cs="仿宋_GB2312"/>
          <w:sz w:val="32"/>
          <w:szCs w:val="32"/>
          <w:lang w:val="en-US" w:eastAsia="zh-CN"/>
        </w:rPr>
        <w:t>954</w:t>
      </w:r>
      <w:r>
        <w:rPr>
          <w:rFonts w:hint="eastAsia" w:ascii="仿宋_GB2312" w:hAnsi="仿宋_GB2312" w:eastAsia="仿宋_GB2312" w:cs="仿宋_GB2312"/>
          <w:sz w:val="32"/>
          <w:szCs w:val="32"/>
        </w:rPr>
        <w:t>人次，主要是</w:t>
      </w:r>
      <w:r>
        <w:rPr>
          <w:rFonts w:hint="eastAsia" w:ascii="仿宋_GB2312" w:hAnsi="仿宋_GB2312" w:eastAsia="仿宋_GB2312" w:cs="仿宋_GB2312"/>
          <w:sz w:val="32"/>
          <w:szCs w:val="32"/>
          <w:lang w:eastAsia="zh-CN"/>
        </w:rPr>
        <w:t>接待省及各县业务检查及汇报</w:t>
      </w:r>
      <w:r>
        <w:rPr>
          <w:rFonts w:hint="eastAsia" w:ascii="仿宋_GB2312" w:hAnsi="仿宋_GB2312" w:eastAsia="仿宋_GB2312" w:cs="仿宋_GB2312"/>
          <w:sz w:val="32"/>
          <w:szCs w:val="32"/>
        </w:rPr>
        <w:t>发生的接待支出。</w:t>
      </w:r>
    </w:p>
    <w:p w14:paraId="5A240014">
      <w:pPr>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3、公务用车购置费及运行维护费支出决算为</w:t>
      </w:r>
      <w:r>
        <w:rPr>
          <w:rFonts w:hint="eastAsia" w:ascii="仿宋_GB2312" w:hAnsi="仿宋_GB2312" w:eastAsia="仿宋_GB2312" w:cs="仿宋_GB2312"/>
          <w:sz w:val="32"/>
          <w:szCs w:val="32"/>
          <w:lang w:val="en-US" w:eastAsia="zh-CN"/>
        </w:rPr>
        <w:t>35.5</w:t>
      </w:r>
      <w:r>
        <w:rPr>
          <w:rFonts w:hint="eastAsia" w:ascii="仿宋_GB2312" w:hAnsi="仿宋_GB2312" w:eastAsia="仿宋_GB2312" w:cs="仿宋_GB2312"/>
          <w:sz w:val="32"/>
          <w:szCs w:val="32"/>
        </w:rPr>
        <w:t>万元，其中：公务用车购置费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万元，公务用车运行维护费</w:t>
      </w:r>
      <w:r>
        <w:rPr>
          <w:rFonts w:hint="eastAsia" w:ascii="仿宋_GB2312" w:hAnsi="仿宋_GB2312" w:eastAsia="仿宋_GB2312" w:cs="仿宋_GB2312"/>
          <w:sz w:val="32"/>
          <w:szCs w:val="32"/>
          <w:lang w:val="en-US" w:eastAsia="zh-CN"/>
        </w:rPr>
        <w:t>35.5</w:t>
      </w:r>
      <w:r>
        <w:rPr>
          <w:rFonts w:hint="eastAsia" w:ascii="仿宋_GB2312" w:hAnsi="仿宋_GB2312" w:eastAsia="仿宋_GB2312" w:cs="仿宋_GB2312"/>
          <w:sz w:val="32"/>
          <w:szCs w:val="32"/>
        </w:rPr>
        <w:t>万元，主要</w:t>
      </w:r>
      <w:r>
        <w:rPr>
          <w:rFonts w:hint="eastAsia" w:ascii="仿宋_GB2312" w:hAnsi="仿宋_GB2312" w:eastAsia="仿宋_GB2312" w:cs="仿宋_GB2312"/>
          <w:sz w:val="32"/>
          <w:szCs w:val="32"/>
          <w:lang w:eastAsia="zh-CN"/>
        </w:rPr>
        <w:t>是车辆购置费、车辆油料、保险、维修、路桥费等</w:t>
      </w:r>
      <w:r>
        <w:rPr>
          <w:rFonts w:hint="eastAsia" w:ascii="仿宋_GB2312" w:hAnsi="仿宋_GB2312" w:eastAsia="仿宋_GB2312" w:cs="仿宋_GB2312"/>
          <w:sz w:val="32"/>
          <w:szCs w:val="32"/>
        </w:rPr>
        <w:t>支出，截止202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年12月31日，我单位开支财政拨款的公务用车保有量为</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辆。</w:t>
      </w:r>
    </w:p>
    <w:p w14:paraId="4934BD07">
      <w:pPr>
        <w:pStyle w:val="14"/>
        <w:rPr>
          <w:rFonts w:hAnsi="黑体"/>
          <w:b/>
          <w:sz w:val="32"/>
          <w:szCs w:val="32"/>
        </w:rPr>
      </w:pPr>
      <w:r>
        <w:rPr>
          <w:rFonts w:hint="eastAsia" w:hAnsi="黑体"/>
          <w:b/>
          <w:sz w:val="32"/>
          <w:szCs w:val="32"/>
        </w:rPr>
        <w:t>八、政府性基金预算收入支出决算情况</w:t>
      </w:r>
    </w:p>
    <w:p w14:paraId="03206A69">
      <w:pPr>
        <w:pStyle w:val="14"/>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本单位无政府性基金预算财政拨款收支</w:t>
      </w:r>
    </w:p>
    <w:p w14:paraId="66A3C889">
      <w:pPr>
        <w:pStyle w:val="14"/>
        <w:rPr>
          <w:rFonts w:hint="eastAsia" w:hAnsi="黑体"/>
          <w:b/>
          <w:sz w:val="32"/>
          <w:szCs w:val="32"/>
        </w:rPr>
      </w:pPr>
      <w:r>
        <w:rPr>
          <w:rFonts w:hint="eastAsia" w:hAnsi="黑体"/>
          <w:b/>
          <w:sz w:val="32"/>
          <w:szCs w:val="32"/>
          <w:lang w:eastAsia="zh-CN"/>
        </w:rPr>
        <w:t>九、</w:t>
      </w:r>
      <w:r>
        <w:rPr>
          <w:rFonts w:hint="eastAsia" w:hAnsi="黑体"/>
          <w:b/>
          <w:sz w:val="32"/>
          <w:szCs w:val="32"/>
        </w:rPr>
        <w:t>国有资本经营预算</w:t>
      </w:r>
      <w:r>
        <w:rPr>
          <w:rFonts w:hint="eastAsia" w:hAnsi="黑体"/>
          <w:b/>
          <w:sz w:val="32"/>
          <w:szCs w:val="32"/>
          <w:lang w:eastAsia="zh-CN"/>
        </w:rPr>
        <w:t>财政拨款</w:t>
      </w:r>
      <w:r>
        <w:rPr>
          <w:rFonts w:hint="eastAsia" w:hAnsi="黑体"/>
          <w:b/>
          <w:sz w:val="32"/>
          <w:szCs w:val="32"/>
        </w:rPr>
        <w:t>支出决算情况</w:t>
      </w:r>
    </w:p>
    <w:p w14:paraId="70DDB41C">
      <w:pPr>
        <w:pStyle w:val="14"/>
        <w:ind w:firstLine="640" w:firstLineChars="200"/>
        <w:rPr>
          <w:rFonts w:hint="eastAsia" w:ascii="仿宋_GB2312" w:hAnsi="仿宋_GB2312" w:eastAsia="仿宋_GB2312" w:cs="仿宋_GB2312"/>
          <w:sz w:val="32"/>
          <w:szCs w:val="32"/>
          <w:lang w:eastAsia="zh-CN"/>
        </w:rPr>
      </w:pPr>
      <w:r>
        <w:rPr>
          <w:rFonts w:hint="eastAsia" w:ascii="仿宋_GB2312" w:eastAsia="仿宋_GB2312" w:cs="仿宋" w:hAnsiTheme="minorEastAsia"/>
          <w:color w:val="auto"/>
          <w:sz w:val="32"/>
          <w:szCs w:val="32"/>
        </w:rPr>
        <w:t>202</w:t>
      </w:r>
      <w:r>
        <w:rPr>
          <w:rFonts w:hint="eastAsia" w:ascii="仿宋_GB2312" w:eastAsia="仿宋_GB2312" w:cs="仿宋" w:hAnsiTheme="minorEastAsia"/>
          <w:color w:val="auto"/>
          <w:sz w:val="32"/>
          <w:szCs w:val="32"/>
          <w:lang w:val="en-US" w:eastAsia="zh-CN"/>
        </w:rPr>
        <w:t>5</w:t>
      </w:r>
      <w:r>
        <w:rPr>
          <w:rFonts w:hint="eastAsia" w:ascii="仿宋_GB2312" w:eastAsia="仿宋_GB2312" w:cs="仿宋" w:hAnsiTheme="minorEastAsia"/>
          <w:color w:val="auto"/>
          <w:sz w:val="32"/>
          <w:szCs w:val="32"/>
        </w:rPr>
        <w:t>年本单位无</w:t>
      </w:r>
      <w:r>
        <w:rPr>
          <w:rFonts w:hint="eastAsia" w:ascii="仿宋_GB2312" w:eastAsia="仿宋_GB2312" w:cs="仿宋" w:hAnsiTheme="minorEastAsia"/>
          <w:bCs/>
          <w:sz w:val="32"/>
          <w:szCs w:val="32"/>
        </w:rPr>
        <w:t>国有资本经营预算财政拨款</w:t>
      </w:r>
      <w:r>
        <w:rPr>
          <w:rFonts w:hint="eastAsia" w:ascii="仿宋_GB2312" w:eastAsia="仿宋_GB2312" w:cs="仿宋" w:hAnsiTheme="minorEastAsia"/>
          <w:bCs/>
          <w:sz w:val="32"/>
          <w:szCs w:val="32"/>
          <w:lang w:eastAsia="zh-CN"/>
        </w:rPr>
        <w:t>支出</w:t>
      </w:r>
    </w:p>
    <w:p w14:paraId="291132F5">
      <w:pPr>
        <w:pStyle w:val="14"/>
        <w:rPr>
          <w:rFonts w:ascii="Times New Roman" w:hAnsi="Times New Roman" w:eastAsia="仿宋_GB2312"/>
          <w:b/>
          <w:sz w:val="32"/>
          <w:szCs w:val="32"/>
        </w:rPr>
      </w:pPr>
      <w:r>
        <w:rPr>
          <w:rFonts w:hint="eastAsia" w:hAnsi="黑体"/>
          <w:b/>
          <w:sz w:val="32"/>
          <w:szCs w:val="32"/>
          <w:lang w:eastAsia="zh-CN"/>
        </w:rPr>
        <w:t>十、关于机关运行经费支出说明</w:t>
      </w:r>
    </w:p>
    <w:p w14:paraId="1E3A2A6C">
      <w:pPr>
        <w:pStyle w:val="14"/>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年度机关运行经费支出</w:t>
      </w:r>
      <w:r>
        <w:rPr>
          <w:rFonts w:hint="eastAsia" w:ascii="仿宋_GB2312" w:hAnsi="仿宋_GB2312" w:eastAsia="仿宋_GB2312" w:cs="仿宋_GB2312"/>
          <w:sz w:val="32"/>
          <w:szCs w:val="32"/>
          <w:lang w:val="en-US" w:eastAsia="zh-CN"/>
        </w:rPr>
        <w:t>158.71</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去年决算数减少</w:t>
      </w:r>
      <w:r>
        <w:rPr>
          <w:rFonts w:hint="eastAsia" w:ascii="仿宋_GB2312" w:hAnsi="仿宋_GB2312" w:eastAsia="仿宋_GB2312" w:cs="仿宋_GB2312"/>
          <w:sz w:val="32"/>
          <w:szCs w:val="32"/>
          <w:lang w:val="en-US" w:eastAsia="zh-CN"/>
        </w:rPr>
        <w:t>28.21</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下降</w:t>
      </w:r>
      <w:r>
        <w:rPr>
          <w:rFonts w:hint="eastAsia" w:ascii="仿宋_GB2312" w:hAnsi="仿宋_GB2312" w:eastAsia="仿宋_GB2312" w:cs="仿宋_GB2312"/>
          <w:sz w:val="32"/>
          <w:szCs w:val="32"/>
          <w:lang w:val="en-US" w:eastAsia="zh-CN"/>
        </w:rPr>
        <w:t>15.09</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厉行节约、缩减开支</w:t>
      </w:r>
      <w:r>
        <w:rPr>
          <w:rFonts w:hint="eastAsia" w:ascii="仿宋_GB2312" w:hAnsi="仿宋_GB2312" w:eastAsia="仿宋_GB2312" w:cs="仿宋_GB2312"/>
          <w:sz w:val="32"/>
          <w:szCs w:val="32"/>
          <w:lang w:val="en-US" w:eastAsia="zh-CN"/>
        </w:rPr>
        <w:t>。</w:t>
      </w:r>
    </w:p>
    <w:p w14:paraId="1113B0D8">
      <w:pPr>
        <w:pStyle w:val="14"/>
        <w:rPr>
          <w:rFonts w:hint="eastAsia" w:hAnsi="黑体" w:eastAsia="黑体"/>
          <w:b/>
          <w:sz w:val="32"/>
          <w:szCs w:val="32"/>
          <w:lang w:eastAsia="zh-CN"/>
        </w:rPr>
      </w:pPr>
      <w:r>
        <w:rPr>
          <w:rFonts w:hint="eastAsia" w:hAnsi="黑体"/>
          <w:b/>
          <w:sz w:val="32"/>
          <w:szCs w:val="32"/>
          <w:lang w:eastAsia="zh-CN"/>
        </w:rPr>
        <w:t>十一</w:t>
      </w:r>
      <w:r>
        <w:rPr>
          <w:rFonts w:hint="eastAsia" w:hAnsi="黑体"/>
          <w:b/>
          <w:sz w:val="32"/>
          <w:szCs w:val="32"/>
        </w:rPr>
        <w:t>、</w:t>
      </w:r>
      <w:r>
        <w:rPr>
          <w:rFonts w:hint="eastAsia" w:hAnsi="黑体"/>
          <w:b/>
          <w:sz w:val="32"/>
          <w:szCs w:val="32"/>
          <w:lang w:eastAsia="zh-CN"/>
        </w:rPr>
        <w:t>一般性支出情况说明</w:t>
      </w:r>
    </w:p>
    <w:p w14:paraId="470DDD72">
      <w:pPr>
        <w:pStyle w:val="14"/>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年本部门开支会议费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3.32</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color w:val="000000" w:themeColor="text1"/>
          <w:sz w:val="32"/>
          <w:szCs w:val="32"/>
          <w:lang w:eastAsia="zh-CN"/>
          <w14:textFill>
            <w14:solidFill>
              <w14:schemeClr w14:val="tx1"/>
            </w14:solidFill>
          </w14:textFill>
        </w:rPr>
        <w:t>主要用于召开以下会议：</w:t>
      </w:r>
    </w:p>
    <w:p w14:paraId="1037F983">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用于召</w:t>
      </w:r>
      <w:r>
        <w:rPr>
          <w:rFonts w:hint="eastAsia" w:ascii="仿宋_GB2312" w:hAnsi="仿宋_GB2312" w:eastAsia="仿宋_GB2312" w:cs="仿宋_GB2312"/>
          <w:color w:val="000000" w:themeColor="text1"/>
          <w:sz w:val="32"/>
          <w:szCs w:val="32"/>
          <w:lang w:eastAsia="zh-CN"/>
          <w14:textFill>
            <w14:solidFill>
              <w14:schemeClr w14:val="tx1"/>
            </w14:solidFill>
          </w14:textFill>
        </w:rPr>
        <w:t>开</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2025年中央财政油茶产业发展示范奖补项目中坡工作座谈会</w:t>
      </w:r>
      <w:r>
        <w:rPr>
          <w:rFonts w:hint="eastAsia" w:ascii="仿宋_GB2312" w:hAnsi="仿宋_GB2312" w:eastAsia="仿宋_GB2312" w:cs="仿宋_GB2312"/>
          <w:color w:val="000000" w:themeColor="text1"/>
          <w:sz w:val="32"/>
          <w:szCs w:val="32"/>
          <w14:textFill>
            <w14:solidFill>
              <w14:schemeClr w14:val="tx1"/>
            </w14:solidFill>
          </w14:textFill>
        </w:rPr>
        <w:t>，人数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34</w:t>
      </w:r>
      <w:r>
        <w:rPr>
          <w:rFonts w:hint="eastAsia" w:ascii="仿宋_GB2312" w:hAnsi="仿宋_GB2312" w:eastAsia="仿宋_GB2312" w:cs="仿宋_GB2312"/>
          <w:color w:val="000000" w:themeColor="text1"/>
          <w:sz w:val="32"/>
          <w:szCs w:val="32"/>
          <w14:textFill>
            <w14:solidFill>
              <w14:schemeClr w14:val="tx1"/>
            </w14:solidFill>
          </w14:textFill>
        </w:rPr>
        <w:t>人，内容为</w:t>
      </w:r>
      <w:r>
        <w:rPr>
          <w:rFonts w:hint="eastAsia" w:ascii="仿宋_GB2312" w:hAnsi="仿宋_GB2312" w:eastAsia="仿宋_GB2312" w:cs="仿宋_GB2312"/>
          <w:color w:val="000000" w:themeColor="text1"/>
          <w:sz w:val="32"/>
          <w:szCs w:val="32"/>
          <w:lang w:eastAsia="zh-CN"/>
          <w14:textFill>
            <w14:solidFill>
              <w14:schemeClr w14:val="tx1"/>
            </w14:solidFill>
          </w14:textFill>
        </w:rPr>
        <w:t>传达学习国家、省关于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2025年中央财政油茶产业发展示范奖补项目有关要求，研究部署我市项目申报工作</w:t>
      </w:r>
      <w:r>
        <w:rPr>
          <w:rFonts w:hint="eastAsia" w:ascii="仿宋_GB2312" w:hAnsi="仿宋_GB2312" w:eastAsia="仿宋_GB2312" w:cs="仿宋_GB2312"/>
          <w:color w:val="000000" w:themeColor="text1"/>
          <w:sz w:val="32"/>
          <w:szCs w:val="32"/>
          <w:lang w:eastAsia="zh-CN"/>
          <w14:textFill>
            <w14:solidFill>
              <w14:schemeClr w14:val="tx1"/>
            </w14:solidFill>
          </w14:textFill>
        </w:rPr>
        <w:t>，预算支出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0.45万元。</w:t>
      </w:r>
    </w:p>
    <w:p w14:paraId="314AB9C6">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2.用于召开全市林业工作会议，人数44人，内容为传达全国、全省林业工作会议精神，相关县市区做工作交流发言，尹培国同志做重要讲话，预算支出0.16万元。</w:t>
      </w:r>
    </w:p>
    <w:p w14:paraId="51FCFA58">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用于召开国家储备林项目评估市级复核工作会议，分三批合计人数57人，内容为项目建设主体单位负责人汇报自评估情况，相关人员发表意见并讨论，张华同志归纳形成怀化市林业局复核意见，预算支出0.09万元；</w:t>
      </w:r>
    </w:p>
    <w:p w14:paraId="3B0F0F99">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4.用于召开2025年怀化市国土绿化工作推进会议，人数41人，内容为营造林项目管理培训，迎接省级营造林项目质量评估培训，安排部署下阶段国土绿化工作，预算支出0.06万元；</w:t>
      </w:r>
    </w:p>
    <w:p w14:paraId="24746950">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用于召开中央财政油茶产业发展示范奖补项目实施暨林业十五五规划会议，人数53人，内容为推进中央财政油茶产业发展示范奖补项目实施，统筹谋划林业“十五五”规划编制工作，各县市区围绕相关情况发言，预算支出0.15万元；</w:t>
      </w:r>
    </w:p>
    <w:p w14:paraId="58FD732A">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用于召开怀化市中央财政油茶产业发展示范奖补项目作业设计编制技术会议，人数53人，内容为围绕项目作业设计地块选择，负面清单内容核查，示范点和水肥一体化建设，外业调查注意事项，项目落地上图，经营主体选择，油茶苗木选择，公益林调整和天然林纠错等内容进行培训，预算支出0.19万元；</w:t>
      </w:r>
    </w:p>
    <w:p w14:paraId="54B98F59">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7.用于召开怀化市林业局松材线虫病防控工作会，人数63人，内容为观看松材线虫病防控宣传片，通报全市松材线虫病防控工作情况，预算支出0.78万元；</w:t>
      </w:r>
    </w:p>
    <w:p w14:paraId="4D5D780A">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8.用于召开2025年度怀化林业工程系列中级职称评审会议，人数22人，内容为60人申报参评林业工程系列职称，按照中级职称通过率不高于85%的原则评审表决职称通过人员，预算支出0.06万元；</w:t>
      </w:r>
    </w:p>
    <w:p w14:paraId="0895F7E4">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9.用于召开全市林业系统统计工作会议，人数38人，内容为农林牧渔产产值构成、经济作物统计解读，林草快报统计系统填报及林业草原综合统计制度落实，预算支出0.3万元；</w:t>
      </w:r>
    </w:p>
    <w:p w14:paraId="18D36492">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用于召开2025年全市林业有害生物防治工作暨松树蛀干害虫系统调查培训会议，人数38人，内容为总结2024年全市林业有害生物防治工作，部署当前林业有害生物防治工作，开展松树钻蛀类害虫系统调查培训,预算支出0.3万元；</w:t>
      </w:r>
    </w:p>
    <w:p w14:paraId="3C470B89">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11.用于召开全市2025年松树线虫病秋季普查暨今冬明春松枯死木除治工作会议，人数35人，内容为研究当前松树线虫病秋季普查及松枯死木清除相关工作，各县市区做汇报工作，预算支出0.26万元；</w:t>
      </w:r>
    </w:p>
    <w:p w14:paraId="0040DC15">
      <w:pPr>
        <w:pStyle w:val="14"/>
        <w:keepNext w:val="0"/>
        <w:keepLines w:val="0"/>
        <w:pageBreakBefore w:val="0"/>
        <w:widowControl w:val="0"/>
        <w:numPr>
          <w:ilvl w:val="0"/>
          <w:numId w:val="0"/>
        </w:numPr>
        <w:kinsoku/>
        <w:wordWrap/>
        <w:overflowPunct/>
        <w:topLinePunct w:val="0"/>
        <w:autoSpaceDE w:val="0"/>
        <w:autoSpaceDN w:val="0"/>
        <w:bidi w:val="0"/>
        <w:adjustRightInd w:val="0"/>
        <w:snapToGrid/>
        <w:ind w:firstLine="640" w:firstLineChars="20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12.用于召开2025年省林长制督查座谈会，人数63人，内容为汇报2025年度怀化市林长制工作情况，督察组反馈情况，预算支出0.52万元；</w:t>
      </w:r>
    </w:p>
    <w:p w14:paraId="4AD4AF93">
      <w:pPr>
        <w:pStyle w:val="14"/>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本部门用于</w:t>
      </w:r>
      <w:r>
        <w:rPr>
          <w:rFonts w:hint="eastAsia" w:ascii="仿宋_GB2312" w:hAnsi="仿宋_GB2312" w:eastAsia="仿宋_GB2312" w:cs="仿宋_GB2312"/>
          <w:sz w:val="32"/>
          <w:szCs w:val="32"/>
        </w:rPr>
        <w:t>开支培训费</w:t>
      </w:r>
      <w:r>
        <w:rPr>
          <w:rFonts w:hint="eastAsia" w:ascii="仿宋_GB2312" w:hAnsi="仿宋_GB2312" w:eastAsia="仿宋_GB2312" w:cs="仿宋_GB2312"/>
          <w:sz w:val="32"/>
          <w:szCs w:val="32"/>
          <w:lang w:val="en-US" w:eastAsia="zh-CN"/>
        </w:rPr>
        <w:t>2.59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主要</w:t>
      </w:r>
      <w:r>
        <w:rPr>
          <w:rFonts w:hint="eastAsia" w:ascii="仿宋_GB2312" w:hAnsi="仿宋_GB2312" w:eastAsia="仿宋_GB2312" w:cs="仿宋_GB2312"/>
          <w:sz w:val="32"/>
          <w:szCs w:val="32"/>
        </w:rPr>
        <w:t>用于</w:t>
      </w:r>
      <w:r>
        <w:rPr>
          <w:rFonts w:hint="eastAsia" w:ascii="仿宋_GB2312" w:hAnsi="仿宋_GB2312" w:eastAsia="仿宋_GB2312" w:cs="仿宋_GB2312"/>
          <w:sz w:val="32"/>
          <w:szCs w:val="32"/>
          <w:lang w:eastAsia="zh-CN"/>
        </w:rPr>
        <w:t>事业单位工作人员继续教育培训，人数</w:t>
      </w:r>
      <w:r>
        <w:rPr>
          <w:rFonts w:hint="eastAsia" w:ascii="仿宋_GB2312" w:hAnsi="仿宋_GB2312" w:eastAsia="仿宋_GB2312" w:cs="仿宋_GB2312"/>
          <w:sz w:val="32"/>
          <w:szCs w:val="32"/>
          <w:lang w:val="en-US" w:eastAsia="zh-CN"/>
        </w:rPr>
        <w:t>68人，内容为公需科及相关专业课程；无举办节庆、晚会、论坛、赛事等活动开支。</w:t>
      </w:r>
    </w:p>
    <w:p w14:paraId="36FD0632">
      <w:pPr>
        <w:pStyle w:val="14"/>
        <w:rPr>
          <w:rFonts w:hAnsi="黑体"/>
          <w:b/>
          <w:sz w:val="32"/>
          <w:szCs w:val="32"/>
        </w:rPr>
      </w:pPr>
      <w:r>
        <w:rPr>
          <w:rFonts w:hint="eastAsia" w:hAnsi="黑体"/>
          <w:b/>
          <w:sz w:val="32"/>
          <w:szCs w:val="32"/>
        </w:rPr>
        <w:t>十</w:t>
      </w:r>
      <w:r>
        <w:rPr>
          <w:rFonts w:hint="eastAsia" w:hAnsi="黑体"/>
          <w:b/>
          <w:sz w:val="32"/>
          <w:szCs w:val="32"/>
          <w:lang w:eastAsia="zh-CN"/>
        </w:rPr>
        <w:t>二</w:t>
      </w:r>
      <w:r>
        <w:rPr>
          <w:rFonts w:hint="eastAsia" w:hAnsi="黑体"/>
          <w:b/>
          <w:sz w:val="32"/>
          <w:szCs w:val="32"/>
        </w:rPr>
        <w:t>、政府采购支出说明</w:t>
      </w:r>
    </w:p>
    <w:p w14:paraId="682734A5">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年度政府采购支出总额</w:t>
      </w:r>
      <w:r>
        <w:rPr>
          <w:rFonts w:hint="eastAsia" w:ascii="仿宋_GB2312" w:hAnsi="仿宋_GB2312" w:eastAsia="仿宋_GB2312" w:cs="仿宋_GB2312"/>
          <w:sz w:val="32"/>
          <w:szCs w:val="32"/>
          <w:lang w:val="en-US" w:eastAsia="zh-CN"/>
        </w:rPr>
        <w:t>3875.07</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3875.07</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115.55</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2.98</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115.55</w:t>
      </w:r>
      <w:r>
        <w:rPr>
          <w:rFonts w:hint="eastAsia" w:ascii="仿宋_GB2312" w:hAnsi="仿宋_GB2312" w:eastAsia="仿宋_GB2312" w:cs="仿宋_GB2312"/>
          <w:sz w:val="32"/>
          <w:szCs w:val="32"/>
        </w:rPr>
        <w:t>万元，占授予中小企业合同金额的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%；货物采购授予中小企业合同金额占货物支出金额的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%，工程采购授予中小企业合同金额占工程支出金额的</w:t>
      </w:r>
      <w:r>
        <w:rPr>
          <w:rFonts w:hint="eastAsia" w:ascii="仿宋_GB2312" w:hAnsi="仿宋_GB2312" w:eastAsia="仿宋_GB2312" w:cs="仿宋_GB2312"/>
          <w:sz w:val="32"/>
          <w:szCs w:val="32"/>
          <w:lang w:val="en-US" w:eastAsia="zh-CN"/>
        </w:rPr>
        <w:t>2.98</w:t>
      </w:r>
      <w:r>
        <w:rPr>
          <w:rFonts w:hint="eastAsia" w:ascii="仿宋_GB2312" w:hAnsi="仿宋_GB2312" w:eastAsia="仿宋_GB2312" w:cs="仿宋_GB2312"/>
          <w:sz w:val="32"/>
          <w:szCs w:val="32"/>
        </w:rPr>
        <w:t>%，服务采购授予中小企业合同金额占服务支出金额的</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7539F7D2">
      <w:pPr>
        <w:pStyle w:val="14"/>
        <w:rPr>
          <w:rFonts w:hAnsi="黑体"/>
          <w:b/>
          <w:sz w:val="32"/>
          <w:szCs w:val="32"/>
        </w:rPr>
      </w:pPr>
      <w:r>
        <w:rPr>
          <w:rFonts w:hint="eastAsia" w:hAnsi="黑体"/>
          <w:b/>
          <w:sz w:val="32"/>
          <w:szCs w:val="32"/>
        </w:rPr>
        <w:t>十</w:t>
      </w:r>
      <w:r>
        <w:rPr>
          <w:rFonts w:hint="eastAsia" w:hAnsi="黑体"/>
          <w:b/>
          <w:sz w:val="32"/>
          <w:szCs w:val="32"/>
          <w:lang w:eastAsia="zh-CN"/>
        </w:rPr>
        <w:t>三</w:t>
      </w:r>
      <w:r>
        <w:rPr>
          <w:rFonts w:hint="eastAsia" w:hAnsi="黑体"/>
          <w:b/>
          <w:sz w:val="32"/>
          <w:szCs w:val="32"/>
        </w:rPr>
        <w:t>、国有资产占用情况说明</w:t>
      </w:r>
    </w:p>
    <w:p w14:paraId="66D84E6C">
      <w:pPr>
        <w:pStyle w:val="14"/>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w:t>
      </w:r>
      <w:r>
        <w:rPr>
          <w:rFonts w:hint="eastAsia" w:ascii="仿宋_GB2312" w:hAnsi="仿宋_GB2312" w:eastAsia="仿宋_GB2312" w:cs="仿宋_GB2312"/>
          <w:sz w:val="32"/>
          <w:szCs w:val="32"/>
          <w:lang w:eastAsia="zh-CN"/>
        </w:rPr>
        <w:t>本</w:t>
      </w:r>
      <w:r>
        <w:rPr>
          <w:rFonts w:hint="eastAsia" w:ascii="仿宋_GB2312" w:hAnsi="仿宋_GB2312" w:eastAsia="仿宋_GB2312" w:cs="仿宋_GB2312"/>
          <w:sz w:val="32"/>
          <w:szCs w:val="32"/>
        </w:rPr>
        <w:t>单位共有车辆</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辆，其中，主要领导干部用车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辆、其他用</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辆，其他用车主要</w:t>
      </w:r>
      <w:r>
        <w:rPr>
          <w:rFonts w:hint="eastAsia" w:ascii="仿宋_GB2312" w:hAnsi="仿宋_GB2312" w:eastAsia="仿宋_GB2312" w:cs="仿宋_GB2312"/>
          <w:sz w:val="32"/>
          <w:szCs w:val="32"/>
          <w:lang w:eastAsia="zh-CN"/>
        </w:rPr>
        <w:t>是一般公务用车</w:t>
      </w:r>
      <w:r>
        <w:rPr>
          <w:rFonts w:hint="eastAsia" w:ascii="仿宋_GB2312" w:hAnsi="仿宋_GB2312" w:eastAsia="仿宋_GB2312" w:cs="仿宋_GB2312"/>
          <w:sz w:val="32"/>
          <w:szCs w:val="32"/>
        </w:rPr>
        <w:t>；单位价值50万元以上通用设备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台（套）；单位价值100万元以上专用设备</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p>
    <w:p w14:paraId="32CD56C4">
      <w:pPr>
        <w:pStyle w:val="14"/>
        <w:rPr>
          <w:rFonts w:hint="eastAsia" w:ascii="黑体" w:hAnsi="黑体" w:eastAsia="黑体" w:cs="黑体"/>
          <w:b/>
          <w:sz w:val="32"/>
          <w:szCs w:val="32"/>
        </w:rPr>
      </w:pPr>
      <w:r>
        <w:rPr>
          <w:rFonts w:hint="eastAsia" w:ascii="黑体" w:hAnsi="黑体" w:eastAsia="黑体" w:cs="黑体"/>
          <w:b/>
          <w:sz w:val="32"/>
          <w:szCs w:val="32"/>
        </w:rPr>
        <w:t>十</w:t>
      </w:r>
      <w:r>
        <w:rPr>
          <w:rFonts w:hint="eastAsia" w:hAnsi="黑体" w:cs="黑体"/>
          <w:b/>
          <w:sz w:val="32"/>
          <w:szCs w:val="32"/>
          <w:lang w:eastAsia="zh-CN"/>
        </w:rPr>
        <w:t>四</w:t>
      </w:r>
      <w:r>
        <w:rPr>
          <w:rFonts w:hint="eastAsia" w:ascii="黑体" w:hAnsi="黑体" w:eastAsia="黑体" w:cs="黑体"/>
          <w:b/>
          <w:sz w:val="32"/>
          <w:szCs w:val="32"/>
        </w:rPr>
        <w:t>、</w:t>
      </w:r>
      <w:r>
        <w:rPr>
          <w:rFonts w:hint="eastAsia" w:hAnsi="黑体" w:cs="黑体"/>
          <w:b/>
          <w:sz w:val="32"/>
          <w:szCs w:val="32"/>
          <w:lang w:val="en-US" w:eastAsia="zh-CN"/>
        </w:rPr>
        <w:t>2025</w:t>
      </w:r>
      <w:r>
        <w:rPr>
          <w:rFonts w:hint="eastAsia" w:ascii="黑体" w:hAnsi="黑体" w:eastAsia="黑体" w:cs="黑体"/>
          <w:b/>
          <w:sz w:val="32"/>
          <w:szCs w:val="32"/>
        </w:rPr>
        <w:t>年度预算绩效情况说明</w:t>
      </w:r>
    </w:p>
    <w:p w14:paraId="1BE35A73">
      <w:pPr>
        <w:pStyle w:val="14"/>
        <w:keepNext w:val="0"/>
        <w:keepLines w:val="0"/>
        <w:pageBreakBefore w:val="0"/>
        <w:widowControl w:val="0"/>
        <w:numPr>
          <w:ilvl w:val="0"/>
          <w:numId w:val="4"/>
        </w:numPr>
        <w:kinsoku/>
        <w:wordWrap/>
        <w:overflowPunct/>
        <w:topLinePunct w:val="0"/>
        <w:bidi w:val="0"/>
        <w:snapToGrid/>
        <w:spacing w:line="600" w:lineRule="exact"/>
        <w:ind w:firstLine="640" w:firstLineChars="200"/>
        <w:jc w:val="left"/>
        <w:textAlignment w:val="auto"/>
        <w:rPr>
          <w:rFonts w:hint="eastAsia" w:hAnsi="黑体" w:cs="黑体"/>
          <w:b/>
          <w:bCs/>
          <w:sz w:val="32"/>
          <w:szCs w:val="32"/>
          <w:lang w:val="en-US" w:eastAsia="zh-CN"/>
        </w:rPr>
      </w:pPr>
      <w:r>
        <w:rPr>
          <w:rFonts w:hint="eastAsia" w:hAnsi="黑体" w:cs="黑体"/>
          <w:b/>
          <w:bCs/>
          <w:sz w:val="32"/>
          <w:szCs w:val="32"/>
          <w:lang w:val="en-US" w:eastAsia="zh-CN"/>
        </w:rPr>
        <w:t>绩效管理工作开展情况</w:t>
      </w:r>
    </w:p>
    <w:p w14:paraId="12A681D2">
      <w:pPr>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一是绩效自评开展情况。</w:t>
      </w:r>
      <w:r>
        <w:rPr>
          <w:rFonts w:hint="eastAsia" w:ascii="仿宋_GB2312" w:hAnsi="仿宋_GB2312" w:eastAsia="仿宋_GB2312" w:cs="仿宋_GB2312"/>
          <w:color w:val="000000"/>
          <w:kern w:val="0"/>
          <w:sz w:val="32"/>
          <w:szCs w:val="32"/>
          <w:lang w:val="en-US" w:eastAsia="zh-CN" w:bidi="ar-SA"/>
        </w:rPr>
        <w:t>组织对2025年度本部门（单位）整体支出开展绩效自评，涉及项目9个，共涉及资金854.5万元。其中，一般公共预算项目9个854.5万元，占一般公共预算支出总额的12.96%；政府性基金预算项目0个0万元，占政府性基金预算支出总额的0%；国有资本经营预算项目0 个0万元，占国有资本经营预算支出总额的0%；社会保险基金预算项目0 个0万元，占社会保险基金预算支出总额的0%。</w:t>
      </w:r>
    </w:p>
    <w:p w14:paraId="224885FF">
      <w:pPr>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二是部门评价开展情况。</w:t>
      </w:r>
      <w:r>
        <w:rPr>
          <w:rFonts w:hint="eastAsia" w:ascii="仿宋_GB2312" w:hAnsi="仿宋_GB2312" w:eastAsia="仿宋_GB2312" w:cs="仿宋_GB2312"/>
          <w:color w:val="000000"/>
          <w:kern w:val="0"/>
          <w:sz w:val="32"/>
          <w:szCs w:val="32"/>
          <w:lang w:val="en-US" w:eastAsia="zh-CN" w:bidi="ar-SA"/>
        </w:rPr>
        <w:t>组织对所属单位2025年度怀化市林业局、怀化市林业调查设计院、湖南中坡国家森林公园管理处、怀化市泸阳国有林场等20个项目开展了部门评价，涉及一般公共预算支出1035.62万元，政府性基金预算支出0万元，国有资本经营预算支出0万元，社会保险基金预算支出0万元。</w:t>
      </w:r>
    </w:p>
    <w:p w14:paraId="0063A76B">
      <w:pPr>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b/>
          <w:bCs/>
          <w:color w:val="000000"/>
          <w:kern w:val="0"/>
          <w:sz w:val="32"/>
          <w:szCs w:val="32"/>
          <w:lang w:val="en-US" w:eastAsia="zh-CN" w:bidi="ar-SA"/>
        </w:rPr>
        <w:t>三是事前绩效评估开展情况</w:t>
      </w:r>
      <w:r>
        <w:rPr>
          <w:rFonts w:hint="eastAsia" w:ascii="仿宋_GB2312" w:hAnsi="仿宋_GB2312" w:eastAsia="仿宋_GB2312" w:cs="仿宋_GB2312"/>
          <w:color w:val="000000"/>
          <w:kern w:val="0"/>
          <w:sz w:val="32"/>
          <w:szCs w:val="32"/>
          <w:lang w:val="en-US" w:eastAsia="zh-CN" w:bidi="ar-SA"/>
        </w:rPr>
        <w:t>。组织对2025年度0个新增重大政策和0个重大项目开展事前绩效评估，共涉及资金0万元。</w:t>
      </w:r>
    </w:p>
    <w:p w14:paraId="400D2885">
      <w:pPr>
        <w:ind w:firstLine="640" w:firstLineChars="200"/>
        <w:rPr>
          <w:rFonts w:hint="default" w:hAnsi="黑体" w:cs="黑体"/>
          <w:b/>
          <w:bCs/>
          <w:sz w:val="32"/>
          <w:szCs w:val="32"/>
          <w:lang w:val="en-US" w:eastAsia="zh-CN"/>
        </w:rPr>
      </w:pPr>
      <w:r>
        <w:rPr>
          <w:rFonts w:hint="eastAsia" w:hAnsi="黑体" w:cs="黑体"/>
          <w:b/>
          <w:bCs/>
          <w:sz w:val="32"/>
          <w:szCs w:val="32"/>
          <w:lang w:val="en-US" w:eastAsia="zh-CN"/>
        </w:rPr>
        <w:t>（二）</w:t>
      </w:r>
      <w:r>
        <w:rPr>
          <w:rFonts w:hint="default" w:hAnsi="黑体" w:cs="黑体"/>
          <w:b/>
          <w:bCs/>
          <w:sz w:val="32"/>
          <w:szCs w:val="32"/>
          <w:lang w:val="en-US" w:eastAsia="zh-CN"/>
        </w:rPr>
        <w:t>绩效评价结果</w:t>
      </w:r>
    </w:p>
    <w:p w14:paraId="49F68D06">
      <w:pPr>
        <w:ind w:firstLine="640" w:firstLineChars="200"/>
        <w:rPr>
          <w:rFonts w:hint="default" w:ascii="仿宋_GB2312" w:hAnsi="仿宋_GB2312" w:eastAsia="仿宋_GB2312" w:cs="仿宋_GB2312"/>
          <w:color w:val="000000"/>
          <w:kern w:val="0"/>
          <w:sz w:val="32"/>
          <w:szCs w:val="32"/>
          <w:lang w:val="en-US" w:eastAsia="zh-CN" w:bidi="ar-SA"/>
        </w:rPr>
      </w:pPr>
      <w:r>
        <w:rPr>
          <w:rFonts w:hint="default" w:ascii="仿宋_GB2312" w:hAnsi="仿宋_GB2312" w:eastAsia="仿宋_GB2312" w:cs="仿宋_GB2312"/>
          <w:b/>
          <w:bCs/>
          <w:color w:val="000000"/>
          <w:kern w:val="0"/>
          <w:sz w:val="32"/>
          <w:szCs w:val="32"/>
          <w:lang w:val="en-US" w:eastAsia="zh-CN" w:bidi="ar-SA"/>
        </w:rPr>
        <w:t>一是绩效自评结果。</w:t>
      </w:r>
      <w:r>
        <w:rPr>
          <w:rFonts w:hint="default" w:ascii="仿宋_GB2312" w:hAnsi="仿宋_GB2312" w:eastAsia="仿宋_GB2312" w:cs="仿宋_GB2312"/>
          <w:color w:val="000000"/>
          <w:kern w:val="0"/>
          <w:sz w:val="32"/>
          <w:szCs w:val="32"/>
          <w:lang w:val="en-US" w:eastAsia="zh-CN" w:bidi="ar-SA"/>
        </w:rPr>
        <w:t>202</w:t>
      </w:r>
      <w:r>
        <w:rPr>
          <w:rFonts w:hint="eastAsia" w:ascii="仿宋_GB2312" w:hAnsi="仿宋_GB2312" w:eastAsia="仿宋_GB2312" w:cs="仿宋_GB2312"/>
          <w:color w:val="000000"/>
          <w:kern w:val="0"/>
          <w:sz w:val="32"/>
          <w:szCs w:val="32"/>
          <w:lang w:val="en-US" w:eastAsia="zh-CN" w:bidi="ar-SA"/>
        </w:rPr>
        <w:t>5</w:t>
      </w:r>
      <w:r>
        <w:rPr>
          <w:rFonts w:hint="default" w:ascii="仿宋_GB2312" w:hAnsi="仿宋_GB2312" w:eastAsia="仿宋_GB2312" w:cs="仿宋_GB2312"/>
          <w:color w:val="000000"/>
          <w:kern w:val="0"/>
          <w:sz w:val="32"/>
          <w:szCs w:val="32"/>
          <w:lang w:val="en-US" w:eastAsia="zh-CN" w:bidi="ar-SA"/>
        </w:rPr>
        <w:t>年度本部门(单位)整体支出全年预算数</w:t>
      </w:r>
      <w:r>
        <w:rPr>
          <w:rFonts w:hint="eastAsia" w:ascii="仿宋_GB2312" w:hAnsi="仿宋_GB2312" w:eastAsia="仿宋_GB2312" w:cs="仿宋_GB2312"/>
          <w:color w:val="000000"/>
          <w:kern w:val="0"/>
          <w:sz w:val="32"/>
          <w:szCs w:val="32"/>
          <w:lang w:val="en-US" w:eastAsia="zh-CN" w:bidi="ar-SA"/>
        </w:rPr>
        <w:t>34835.11</w:t>
      </w:r>
      <w:r>
        <w:rPr>
          <w:rFonts w:hint="default" w:ascii="仿宋_GB2312" w:hAnsi="仿宋_GB2312" w:eastAsia="仿宋_GB2312" w:cs="仿宋_GB2312"/>
          <w:color w:val="000000"/>
          <w:kern w:val="0"/>
          <w:sz w:val="32"/>
          <w:szCs w:val="32"/>
          <w:lang w:val="en-US" w:eastAsia="zh-CN" w:bidi="ar-SA"/>
        </w:rPr>
        <w:t>万元，执行数</w:t>
      </w:r>
      <w:r>
        <w:rPr>
          <w:rFonts w:hint="eastAsia" w:ascii="仿宋_GB2312" w:hAnsi="仿宋_GB2312" w:eastAsia="仿宋_GB2312" w:cs="仿宋_GB2312"/>
          <w:color w:val="000000"/>
          <w:kern w:val="0"/>
          <w:sz w:val="32"/>
          <w:szCs w:val="32"/>
          <w:lang w:val="en-US" w:eastAsia="zh-CN" w:bidi="ar-SA"/>
        </w:rPr>
        <w:t>6591.04</w:t>
      </w:r>
      <w:r>
        <w:rPr>
          <w:rFonts w:hint="default" w:ascii="仿宋_GB2312" w:hAnsi="仿宋_GB2312" w:eastAsia="仿宋_GB2312" w:cs="仿宋_GB2312"/>
          <w:color w:val="000000"/>
          <w:kern w:val="0"/>
          <w:sz w:val="32"/>
          <w:szCs w:val="32"/>
          <w:lang w:val="en-US" w:eastAsia="zh-CN" w:bidi="ar-SA"/>
        </w:rPr>
        <w:t xml:space="preserve">万元，完成预算的 </w:t>
      </w:r>
      <w:r>
        <w:rPr>
          <w:rFonts w:hint="eastAsia" w:ascii="仿宋_GB2312" w:hAnsi="仿宋_GB2312" w:eastAsia="仿宋_GB2312" w:cs="仿宋_GB2312"/>
          <w:color w:val="000000"/>
          <w:kern w:val="0"/>
          <w:sz w:val="32"/>
          <w:szCs w:val="32"/>
          <w:lang w:val="en-US" w:eastAsia="zh-CN" w:bidi="ar-SA"/>
        </w:rPr>
        <w:t>18.92</w:t>
      </w:r>
      <w:r>
        <w:rPr>
          <w:rFonts w:hint="default" w:ascii="仿宋_GB2312" w:hAnsi="仿宋_GB2312" w:eastAsia="仿宋_GB2312" w:cs="仿宋_GB2312"/>
          <w:color w:val="000000"/>
          <w:kern w:val="0"/>
          <w:sz w:val="32"/>
          <w:szCs w:val="32"/>
          <w:lang w:val="en-US" w:eastAsia="zh-CN" w:bidi="ar-SA"/>
        </w:rPr>
        <w:t>%，绩效自评得分</w:t>
      </w:r>
      <w:r>
        <w:rPr>
          <w:rFonts w:hint="eastAsia" w:ascii="仿宋_GB2312" w:hAnsi="仿宋_GB2312" w:eastAsia="仿宋_GB2312" w:cs="仿宋_GB2312"/>
          <w:color w:val="000000"/>
          <w:kern w:val="0"/>
          <w:sz w:val="32"/>
          <w:szCs w:val="32"/>
          <w:lang w:val="en-US" w:eastAsia="zh-CN" w:bidi="ar-SA"/>
        </w:rPr>
        <w:t>91.89</w:t>
      </w:r>
      <w:r>
        <w:rPr>
          <w:rFonts w:hint="default" w:ascii="仿宋_GB2312" w:hAnsi="仿宋_GB2312" w:eastAsia="仿宋_GB2312" w:cs="仿宋_GB2312"/>
          <w:color w:val="000000"/>
          <w:kern w:val="0"/>
          <w:sz w:val="32"/>
          <w:szCs w:val="32"/>
          <w:lang w:val="en-US" w:eastAsia="zh-CN" w:bidi="ar-SA"/>
        </w:rPr>
        <w:t>分，评价等级为“</w:t>
      </w:r>
      <w:r>
        <w:rPr>
          <w:rFonts w:hint="eastAsia" w:ascii="仿宋_GB2312" w:hAnsi="仿宋_GB2312" w:eastAsia="仿宋_GB2312" w:cs="仿宋_GB2312"/>
          <w:color w:val="000000"/>
          <w:kern w:val="0"/>
          <w:sz w:val="32"/>
          <w:szCs w:val="32"/>
          <w:lang w:val="en-US" w:eastAsia="zh-CN" w:bidi="ar-SA"/>
        </w:rPr>
        <w:t>优秀</w:t>
      </w:r>
      <w:r>
        <w:rPr>
          <w:rFonts w:hint="default" w:ascii="仿宋_GB2312" w:hAnsi="仿宋_GB2312" w:eastAsia="仿宋_GB2312" w:cs="仿宋_GB2312"/>
          <w:color w:val="000000"/>
          <w:kern w:val="0"/>
          <w:sz w:val="32"/>
          <w:szCs w:val="32"/>
          <w:lang w:val="en-US" w:eastAsia="zh-CN" w:bidi="ar-SA"/>
        </w:rPr>
        <w:t>”。</w:t>
      </w:r>
    </w:p>
    <w:p w14:paraId="7A2D089E">
      <w:pPr>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绩效目标完成情况：圆满完成深化集体林权制度改革省级试点任务，积极推进林业适度规模发展先行县建设；指导全市开展义务植树活动，完成市直机关义务植树13亩以上；建立健全森林防火监测体系，提高火情早期处置能力和监测预警能力；林长履职高质高效，市级林长开展巡林50次，全年护林员综合巡护率高于90%；有序组织开展市本级国储林工作，稳步推进林业碳汇开发；组织开展松材线虫病除治与预防，开展本土主要林业有害生物防治，林业有害生物成灾率控制在省定指标2.98‰以下；森林资源状况(森林覆盖率达到67.59%、森林蓄积量达到1.35亿立方米)达到省林业局制定的考核标准。发现的主要问题及原因：一是年中预算追加比例较大，既存在金额上的不确定，也存在时间上及时性的不确定，导致会一定程度的影响项目工作的计划和开展，也一定程度的影响了项目支出的预算执行进度。二是专项经费拨付时间与项目实施要求时间不一致，导致项目开展实施中资金周转困难，业务人员垫付费用，报账资金滞后，影响专项工作的开展。下一步改进措施：一是提前谋划，加强与财政沟通，项目资金纳入年初预算应编尽编，减少年中追加。；二是建议专项资金拨付与专项工作实施开展时间同步到位，减少垫付方便账务处理，利用工作开展。</w:t>
      </w:r>
    </w:p>
    <w:p w14:paraId="7CE4136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default" w:ascii="仿宋_GB2312" w:hAnsi="仿宋_GB2312" w:eastAsia="仿宋_GB2312" w:cs="仿宋_GB2312"/>
          <w:b/>
          <w:bCs/>
          <w:color w:val="000000"/>
          <w:kern w:val="0"/>
          <w:sz w:val="32"/>
          <w:szCs w:val="32"/>
          <w:lang w:val="en-US" w:eastAsia="zh-CN" w:bidi="ar-SA"/>
        </w:rPr>
        <w:t>二是部门评价结果。</w:t>
      </w:r>
      <w:r>
        <w:rPr>
          <w:rFonts w:hint="eastAsia" w:ascii="仿宋_GB2312" w:hAnsi="仿宋_GB2312" w:eastAsia="仿宋_GB2312" w:cs="仿宋_GB2312"/>
          <w:color w:val="000000"/>
          <w:kern w:val="0"/>
          <w:sz w:val="32"/>
          <w:szCs w:val="32"/>
          <w:lang w:val="en-US" w:eastAsia="zh-CN" w:bidi="ar-SA"/>
        </w:rPr>
        <w:t>全年预算数1584.68万元，执行数1035.62万元，完成预算的65.35%，部门评价得分96.53分，评价等级为“优”。发现的主要问题及原因：一是年中预算追加比例较大，既存在金额上的不确定，也存在时间上及时性的不确定，导致会一定程度的影响项目工作的计划和开展，也一定程度的影响了项目支出的预算执行进度。二是专项经费拨付时间与项目实施要求时间不一致，导致项目开展实施中资金周转困难，业务人员垫付费用，报账资金滞后，影响专项工作的开展。下一步改进措施：一是提前谋划，加强与财政沟通，项目资金纳入年初预算应编尽编，减少年中追加。；二是建议专项资金拨付与专项工作实施开展时间同步到位，减少垫付方便账务处理，利用工作开展。</w:t>
      </w:r>
    </w:p>
    <w:p w14:paraId="3ADAA42F">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jc w:val="left"/>
        <w:textAlignment w:val="auto"/>
        <w:rPr>
          <w:rFonts w:hint="eastAsia" w:hAnsi="黑体" w:cs="黑体"/>
          <w:b/>
          <w:bCs/>
          <w:sz w:val="32"/>
          <w:szCs w:val="32"/>
          <w:lang w:val="en-US" w:eastAsia="zh-CN"/>
        </w:rPr>
      </w:pPr>
      <w:r>
        <w:rPr>
          <w:rFonts w:hint="eastAsia" w:hAnsi="黑体" w:cs="黑体"/>
          <w:b/>
          <w:bCs/>
          <w:sz w:val="32"/>
          <w:szCs w:val="32"/>
          <w:lang w:val="en-US" w:eastAsia="zh-CN"/>
        </w:rPr>
        <w:t>（三）、评价结果应用情况</w:t>
      </w:r>
    </w:p>
    <w:p w14:paraId="52A8DA4D">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针对绩效自评中发现的问题，制定详细的整改措施，明确整改责任人和整改时限，确保问题得到及时有效整改。通过整改，进一步完善项目管理流程，提高项目实施质量和资金使用效益。</w:t>
      </w:r>
    </w:p>
    <w:p w14:paraId="48474323">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按照信息公开的有关要求，将绩效自评报告在网站或其他公开渠道进行公开，接受社会监督,增强财政资金使用的透明度。</w:t>
      </w:r>
    </w:p>
    <w:p w14:paraId="7B72760F">
      <w:pPr>
        <w:numPr>
          <w:ilvl w:val="0"/>
          <w:numId w:val="0"/>
        </w:numPr>
        <w:rPr>
          <w:rFonts w:hint="default" w:eastAsia="宋体" w:cs="Times New Roman"/>
          <w:sz w:val="28"/>
          <w:szCs w:val="36"/>
          <w:lang w:val="en-US" w:eastAsia="zh-CN"/>
        </w:rPr>
      </w:pPr>
    </w:p>
    <w:p w14:paraId="1BB4C9FB">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仿宋_GB2312" w:hAnsi="仿宋_GB2312" w:eastAsia="仿宋_GB2312" w:cs="仿宋_GB2312"/>
          <w:color w:val="000000"/>
          <w:kern w:val="0"/>
          <w:sz w:val="32"/>
          <w:szCs w:val="32"/>
          <w:lang w:val="en-US" w:eastAsia="zh-CN" w:bidi="ar-SA"/>
        </w:rPr>
      </w:pPr>
    </w:p>
    <w:p w14:paraId="47ADD28A">
      <w:pPr>
        <w:pStyle w:val="14"/>
        <w:jc w:val="center"/>
        <w:rPr>
          <w:sz w:val="72"/>
          <w:szCs w:val="72"/>
        </w:rPr>
      </w:pPr>
    </w:p>
    <w:p w14:paraId="71B542C9">
      <w:pPr>
        <w:pStyle w:val="14"/>
        <w:jc w:val="center"/>
        <w:rPr>
          <w:sz w:val="72"/>
          <w:szCs w:val="72"/>
        </w:rPr>
      </w:pPr>
    </w:p>
    <w:p w14:paraId="419F229A">
      <w:pPr>
        <w:pStyle w:val="14"/>
        <w:rPr>
          <w:sz w:val="72"/>
          <w:szCs w:val="72"/>
        </w:rPr>
      </w:pPr>
    </w:p>
    <w:p w14:paraId="2294D320">
      <w:pPr>
        <w:pStyle w:val="14"/>
        <w:rPr>
          <w:sz w:val="72"/>
          <w:szCs w:val="72"/>
        </w:rPr>
      </w:pPr>
    </w:p>
    <w:p w14:paraId="11E5574F">
      <w:pPr>
        <w:pStyle w:val="14"/>
        <w:tabs>
          <w:tab w:val="left" w:pos="3471"/>
        </w:tabs>
        <w:ind w:firstLine="3600" w:firstLineChars="500"/>
        <w:jc w:val="both"/>
        <w:rPr>
          <w:rFonts w:hint="eastAsia"/>
          <w:sz w:val="72"/>
          <w:szCs w:val="72"/>
        </w:rPr>
      </w:pPr>
    </w:p>
    <w:p w14:paraId="65794262">
      <w:pPr>
        <w:pStyle w:val="14"/>
        <w:tabs>
          <w:tab w:val="left" w:pos="3471"/>
        </w:tabs>
        <w:ind w:firstLine="3600" w:firstLineChars="500"/>
        <w:jc w:val="both"/>
        <w:rPr>
          <w:rFonts w:hint="eastAsia"/>
          <w:sz w:val="72"/>
          <w:szCs w:val="72"/>
        </w:rPr>
      </w:pPr>
    </w:p>
    <w:p w14:paraId="2F408A97">
      <w:pPr>
        <w:pStyle w:val="14"/>
        <w:tabs>
          <w:tab w:val="left" w:pos="3471"/>
        </w:tabs>
        <w:ind w:firstLine="3600" w:firstLineChars="500"/>
        <w:jc w:val="both"/>
        <w:rPr>
          <w:rFonts w:hint="eastAsia"/>
          <w:sz w:val="72"/>
          <w:szCs w:val="72"/>
        </w:rPr>
      </w:pPr>
      <w:r>
        <w:rPr>
          <w:rFonts w:hint="eastAsia"/>
          <w:sz w:val="72"/>
          <w:szCs w:val="72"/>
        </w:rPr>
        <w:t>第四部分</w:t>
      </w:r>
    </w:p>
    <w:p w14:paraId="338E429C">
      <w:pPr>
        <w:pStyle w:val="14"/>
        <w:tabs>
          <w:tab w:val="left" w:pos="3471"/>
        </w:tabs>
        <w:ind w:firstLine="3600" w:firstLineChars="500"/>
        <w:jc w:val="both"/>
        <w:rPr>
          <w:rFonts w:hint="eastAsia"/>
          <w:sz w:val="72"/>
          <w:szCs w:val="72"/>
        </w:rPr>
      </w:pPr>
    </w:p>
    <w:p w14:paraId="590130B5">
      <w:pPr>
        <w:pStyle w:val="14"/>
        <w:tabs>
          <w:tab w:val="left" w:pos="3471"/>
        </w:tabs>
        <w:ind w:firstLine="3500" w:firstLineChars="500"/>
        <w:jc w:val="both"/>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78F943A8">
      <w:pPr>
        <w:widowControl/>
        <w:ind w:firstLine="640" w:firstLineChars="200"/>
        <w:jc w:val="left"/>
        <w:rPr>
          <w:rFonts w:hint="eastAsia" w:ascii="黑体" w:hAnsi="黑体" w:eastAsia="黑体" w:cs="黑体"/>
          <w:color w:val="000000"/>
          <w:kern w:val="0"/>
          <w:sz w:val="32"/>
          <w:szCs w:val="32"/>
        </w:rPr>
      </w:pPr>
    </w:p>
    <w:p w14:paraId="3EED8721">
      <w:pPr>
        <w:widowControl/>
        <w:ind w:firstLine="640" w:firstLineChars="200"/>
        <w:jc w:val="left"/>
        <w:rPr>
          <w:rFonts w:hint="eastAsia" w:ascii="黑体" w:hAnsi="黑体" w:eastAsia="黑体" w:cs="黑体"/>
          <w:color w:val="000000"/>
          <w:kern w:val="0"/>
          <w:sz w:val="32"/>
          <w:szCs w:val="32"/>
        </w:rPr>
      </w:pPr>
    </w:p>
    <w:p w14:paraId="62552174">
      <w:pPr>
        <w:widowControl/>
        <w:ind w:firstLine="640" w:firstLineChars="200"/>
        <w:jc w:val="left"/>
        <w:rPr>
          <w:rFonts w:hint="eastAsia" w:ascii="黑体" w:hAnsi="黑体" w:eastAsia="黑体" w:cs="黑体"/>
          <w:color w:val="000000"/>
          <w:kern w:val="0"/>
          <w:sz w:val="32"/>
          <w:szCs w:val="32"/>
        </w:rPr>
      </w:pPr>
    </w:p>
    <w:p w14:paraId="0F0953FB">
      <w:pPr>
        <w:widowControl/>
        <w:ind w:firstLine="640" w:firstLineChars="200"/>
        <w:jc w:val="left"/>
        <w:rPr>
          <w:rFonts w:hint="eastAsia" w:ascii="黑体" w:hAnsi="黑体" w:eastAsia="黑体" w:cs="黑体"/>
          <w:color w:val="000000"/>
          <w:kern w:val="0"/>
          <w:sz w:val="32"/>
          <w:szCs w:val="32"/>
        </w:rPr>
      </w:pPr>
    </w:p>
    <w:p w14:paraId="665FB7A9">
      <w:pPr>
        <w:widowControl/>
        <w:ind w:firstLine="640" w:firstLineChars="200"/>
        <w:jc w:val="left"/>
        <w:rPr>
          <w:rFonts w:hint="eastAsia" w:cs="黑体" w:asciiTheme="minorEastAsia" w:hAnsiTheme="minorEastAsia"/>
          <w:color w:val="000000"/>
          <w:kern w:val="0"/>
          <w:sz w:val="32"/>
          <w:szCs w:val="32"/>
        </w:rPr>
      </w:pPr>
      <w:r>
        <w:rPr>
          <w:rFonts w:hint="eastAsia" w:ascii="黑体" w:hAnsi="黑体" w:eastAsia="黑体" w:cs="黑体"/>
          <w:color w:val="000000"/>
          <w:kern w:val="0"/>
          <w:sz w:val="32"/>
          <w:szCs w:val="32"/>
        </w:rPr>
        <w:t>一</w:t>
      </w:r>
      <w:r>
        <w:rPr>
          <w:rFonts w:hint="eastAsia" w:ascii="黑体" w:hAnsi="黑体" w:eastAsia="黑体" w:cs="黑体"/>
          <w:b/>
          <w:color w:val="000000"/>
          <w:kern w:val="0"/>
          <w:sz w:val="32"/>
          <w:szCs w:val="32"/>
        </w:rPr>
        <w:t>、机关运行经费：</w:t>
      </w:r>
      <w:r>
        <w:rPr>
          <w:rFonts w:hint="eastAsia" w:cs="黑体" w:asciiTheme="minorEastAsia" w:hAnsiTheme="minorEastAsia"/>
          <w:color w:val="000000"/>
          <w:kern w:val="0"/>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00739185">
      <w:pPr>
        <w:autoSpaceDE w:val="0"/>
        <w:autoSpaceDN w:val="0"/>
        <w:adjustRightInd w:val="0"/>
        <w:ind w:firstLine="640" w:firstLineChars="200"/>
        <w:jc w:val="left"/>
        <w:rPr>
          <w:rFonts w:hint="eastAsia" w:cs="黑体" w:asciiTheme="minorEastAsia" w:hAnsiTheme="minorEastAsia"/>
          <w:color w:val="000000"/>
          <w:kern w:val="0"/>
          <w:sz w:val="32"/>
          <w:szCs w:val="32"/>
        </w:rPr>
      </w:pPr>
    </w:p>
    <w:p w14:paraId="1173F25E">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ascii="黑体" w:hAnsi="黑体" w:eastAsia="黑体" w:cs="黑体"/>
          <w:color w:val="000000"/>
          <w:kern w:val="0"/>
          <w:sz w:val="32"/>
          <w:szCs w:val="32"/>
          <w:lang w:eastAsia="zh-CN"/>
        </w:rPr>
        <w:t>二、</w:t>
      </w:r>
      <w:r>
        <w:rPr>
          <w:rFonts w:hint="eastAsia" w:ascii="黑体" w:hAnsi="黑体" w:eastAsia="黑体" w:cs="黑体"/>
          <w:color w:val="000000"/>
          <w:kern w:val="0"/>
          <w:sz w:val="32"/>
          <w:szCs w:val="32"/>
        </w:rPr>
        <w:t>“三公”</w:t>
      </w:r>
      <w:r>
        <w:rPr>
          <w:rFonts w:hint="eastAsia" w:ascii="黑体" w:hAnsi="黑体" w:eastAsia="黑体" w:cs="黑体"/>
          <w:b/>
          <w:color w:val="000000"/>
          <w:kern w:val="0"/>
          <w:sz w:val="32"/>
          <w:szCs w:val="32"/>
        </w:rPr>
        <w:t>经费：</w:t>
      </w:r>
      <w:r>
        <w:rPr>
          <w:rFonts w:hint="eastAsia" w:cs="黑体" w:asciiTheme="minorEastAsia" w:hAnsiTheme="minorEastAsia"/>
          <w:color w:val="000000"/>
          <w:kern w:val="0"/>
          <w:sz w:val="32"/>
          <w:szCs w:val="32"/>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08DA8B6E">
      <w:pPr>
        <w:ind w:firstLine="640" w:firstLineChars="200"/>
        <w:jc w:val="left"/>
        <w:rPr>
          <w:rFonts w:cs="黑体" w:asciiTheme="minorEastAsia" w:hAnsiTheme="minorEastAsia"/>
          <w:color w:val="000000"/>
          <w:kern w:val="0"/>
          <w:sz w:val="32"/>
          <w:szCs w:val="32"/>
        </w:rPr>
      </w:pPr>
    </w:p>
    <w:p w14:paraId="2635EBD7">
      <w:pPr>
        <w:widowControl/>
        <w:tabs>
          <w:tab w:val="right" w:pos="10466"/>
        </w:tabs>
        <w:jc w:val="left"/>
        <w:rPr>
          <w:rFonts w:hint="eastAsia" w:cs="黑体" w:asciiTheme="minorEastAsia" w:hAnsiTheme="minorEastAsia" w:eastAsiaTheme="minorEastAsia"/>
          <w:color w:val="000000"/>
          <w:kern w:val="0"/>
          <w:sz w:val="28"/>
          <w:szCs w:val="32"/>
          <w:lang w:eastAsia="zh-CN"/>
        </w:rPr>
      </w:pPr>
    </w:p>
    <w:p w14:paraId="7FB28EAA">
      <w:pPr>
        <w:pStyle w:val="14"/>
        <w:jc w:val="center"/>
        <w:rPr>
          <w:sz w:val="72"/>
          <w:szCs w:val="72"/>
        </w:rPr>
      </w:pPr>
    </w:p>
    <w:p w14:paraId="26371EA0">
      <w:pPr>
        <w:pStyle w:val="14"/>
        <w:jc w:val="center"/>
        <w:rPr>
          <w:sz w:val="72"/>
          <w:szCs w:val="72"/>
        </w:rPr>
      </w:pPr>
    </w:p>
    <w:p w14:paraId="3544C793">
      <w:pPr>
        <w:pStyle w:val="14"/>
        <w:jc w:val="center"/>
        <w:rPr>
          <w:sz w:val="72"/>
          <w:szCs w:val="72"/>
        </w:rPr>
      </w:pPr>
    </w:p>
    <w:p w14:paraId="4B7A5845">
      <w:pPr>
        <w:pStyle w:val="14"/>
        <w:jc w:val="center"/>
        <w:rPr>
          <w:sz w:val="72"/>
          <w:szCs w:val="72"/>
        </w:rPr>
      </w:pPr>
    </w:p>
    <w:p w14:paraId="03A840BD">
      <w:pPr>
        <w:pStyle w:val="14"/>
        <w:jc w:val="center"/>
        <w:rPr>
          <w:sz w:val="72"/>
          <w:szCs w:val="72"/>
        </w:rPr>
      </w:pPr>
    </w:p>
    <w:p w14:paraId="7870B5BF">
      <w:pPr>
        <w:pStyle w:val="14"/>
        <w:ind w:firstLine="3600" w:firstLineChars="500"/>
        <w:jc w:val="both"/>
        <w:rPr>
          <w:sz w:val="72"/>
          <w:szCs w:val="72"/>
        </w:rPr>
      </w:pPr>
      <w:r>
        <w:rPr>
          <w:rFonts w:hint="eastAsia"/>
          <w:sz w:val="72"/>
          <w:szCs w:val="72"/>
        </w:rPr>
        <w:t>第五部分</w:t>
      </w:r>
    </w:p>
    <w:p w14:paraId="0B1B9DDF">
      <w:pPr>
        <w:jc w:val="center"/>
        <w:rPr>
          <w:rFonts w:ascii="黑体" w:eastAsia="黑体" w:cs="黑体"/>
          <w:color w:val="000000"/>
          <w:kern w:val="0"/>
          <w:sz w:val="70"/>
          <w:szCs w:val="70"/>
        </w:rPr>
      </w:pPr>
    </w:p>
    <w:p w14:paraId="49C01C2B">
      <w:pPr>
        <w:jc w:val="center"/>
        <w:rPr>
          <w:rFonts w:hint="eastAsia" w:ascii="黑体" w:eastAsia="黑体" w:cs="黑体"/>
          <w:color w:val="000000"/>
          <w:kern w:val="0"/>
          <w:sz w:val="70"/>
          <w:szCs w:val="70"/>
        </w:rPr>
      </w:pPr>
      <w:r>
        <w:rPr>
          <w:rFonts w:hint="eastAsia" w:ascii="黑体" w:eastAsia="黑体" w:cs="黑体"/>
          <w:color w:val="000000"/>
          <w:kern w:val="0"/>
          <w:sz w:val="70"/>
          <w:szCs w:val="70"/>
        </w:rPr>
        <w:t>附件</w:t>
      </w:r>
    </w:p>
    <w:p w14:paraId="2E0B4C35">
      <w:pPr>
        <w:tabs>
          <w:tab w:val="left" w:pos="538"/>
        </w:tabs>
        <w:ind w:left="638" w:leftChars="304" w:firstLine="0" w:firstLineChars="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br w:type="textWrapping"/>
      </w:r>
    </w:p>
    <w:p w14:paraId="5F4BC0F5">
      <w:pPr>
        <w:tabs>
          <w:tab w:val="left" w:pos="538"/>
        </w:tabs>
        <w:ind w:left="638" w:leftChars="304" w:firstLine="0" w:firstLineChars="0"/>
        <w:jc w:val="left"/>
        <w:rPr>
          <w:rFonts w:hint="eastAsia" w:cs="黑体" w:asciiTheme="minorEastAsia" w:hAnsiTheme="minorEastAsia" w:eastAsiaTheme="minorEastAsia"/>
          <w:color w:val="000000"/>
          <w:kern w:val="0"/>
          <w:sz w:val="32"/>
          <w:szCs w:val="32"/>
          <w:lang w:eastAsia="zh-CN"/>
        </w:rPr>
      </w:pPr>
      <w:r>
        <w:rPr>
          <w:rFonts w:hint="eastAsia" w:cs="黑体" w:asciiTheme="minorEastAsia" w:hAnsiTheme="minorEastAsia"/>
          <w:color w:val="000000"/>
          <w:kern w:val="0"/>
          <w:sz w:val="32"/>
          <w:szCs w:val="32"/>
        </w:rPr>
        <w:t>附件一、</w:t>
      </w:r>
      <w:r>
        <w:rPr>
          <w:rFonts w:hint="eastAsia" w:cs="黑体" w:asciiTheme="minorEastAsia" w:hAnsiTheme="minorEastAsia"/>
          <w:color w:val="000000"/>
          <w:kern w:val="0"/>
          <w:sz w:val="32"/>
          <w:szCs w:val="32"/>
          <w:lang w:eastAsia="zh-CN"/>
        </w:rPr>
        <w:t>怀化市林业局</w:t>
      </w:r>
      <w:r>
        <w:rPr>
          <w:rFonts w:hint="eastAsia" w:cs="黑体" w:asciiTheme="minorEastAsia" w:hAnsiTheme="minorEastAsia"/>
          <w:color w:val="000000"/>
          <w:kern w:val="0"/>
          <w:sz w:val="32"/>
          <w:szCs w:val="32"/>
          <w:lang w:val="en-US" w:eastAsia="zh-CN"/>
        </w:rPr>
        <w:t>2025年</w:t>
      </w:r>
      <w:r>
        <w:rPr>
          <w:rFonts w:hint="eastAsia" w:cs="黑体" w:asciiTheme="minorEastAsia" w:hAnsiTheme="minorEastAsia"/>
          <w:color w:val="000000"/>
          <w:kern w:val="0"/>
          <w:sz w:val="32"/>
          <w:szCs w:val="32"/>
          <w:lang w:eastAsia="zh-CN"/>
        </w:rPr>
        <w:t>部门决算公开表</w:t>
      </w:r>
    </w:p>
    <w:p w14:paraId="5639EB8D">
      <w:pPr>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附件二、</w:t>
      </w:r>
      <w:r>
        <w:rPr>
          <w:rFonts w:hint="eastAsia" w:cs="黑体" w:asciiTheme="minorEastAsia" w:hAnsiTheme="minorEastAsia"/>
          <w:color w:val="000000"/>
          <w:kern w:val="0"/>
          <w:sz w:val="32"/>
          <w:szCs w:val="32"/>
          <w:lang w:eastAsia="zh-CN"/>
        </w:rPr>
        <w:t>怀化市林业局</w:t>
      </w:r>
      <w:r>
        <w:rPr>
          <w:rFonts w:hint="eastAsia"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5</w:t>
      </w:r>
      <w:r>
        <w:rPr>
          <w:rFonts w:hint="eastAsia" w:cs="黑体" w:asciiTheme="minorEastAsia" w:hAnsiTheme="minorEastAsia"/>
          <w:color w:val="000000"/>
          <w:kern w:val="0"/>
          <w:sz w:val="32"/>
          <w:szCs w:val="32"/>
        </w:rPr>
        <w:t>年度部门整体支出绩效评价</w:t>
      </w:r>
      <w:r>
        <w:rPr>
          <w:rFonts w:hint="eastAsia" w:cs="黑体" w:asciiTheme="minorEastAsia" w:hAnsiTheme="minorEastAsia"/>
          <w:color w:val="000000"/>
          <w:kern w:val="0"/>
          <w:sz w:val="32"/>
          <w:szCs w:val="32"/>
          <w:lang w:eastAsia="zh-CN"/>
        </w:rPr>
        <w:t>自评</w:t>
      </w:r>
      <w:r>
        <w:rPr>
          <w:rFonts w:hint="eastAsia" w:cs="黑体" w:asciiTheme="minorEastAsia" w:hAnsiTheme="minorEastAsia"/>
          <w:color w:val="000000"/>
          <w:kern w:val="0"/>
          <w:sz w:val="32"/>
          <w:szCs w:val="32"/>
        </w:rPr>
        <w:t>报告</w:t>
      </w:r>
    </w:p>
    <w:p w14:paraId="2D2F956B">
      <w:pPr>
        <w:ind w:firstLine="640" w:firstLineChars="200"/>
        <w:jc w:val="left"/>
        <w:rPr>
          <w:rFonts w:hint="eastAsia" w:cs="黑体" w:asciiTheme="minorEastAsia" w:hAnsi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附件三、</w:t>
      </w:r>
      <w:r>
        <w:rPr>
          <w:rFonts w:hint="eastAsia" w:cs="黑体" w:asciiTheme="minorEastAsia" w:hAnsiTheme="minorEastAsia"/>
          <w:color w:val="000000"/>
          <w:kern w:val="0"/>
          <w:sz w:val="32"/>
          <w:szCs w:val="32"/>
          <w:lang w:eastAsia="zh-CN"/>
        </w:rPr>
        <w:t>怀化市林业局</w:t>
      </w:r>
      <w:r>
        <w:rPr>
          <w:rFonts w:hint="eastAsia" w:cs="黑体" w:asciiTheme="minorEastAsia" w:hAnsiTheme="minorEastAsia"/>
          <w:color w:val="000000"/>
          <w:kern w:val="0"/>
          <w:sz w:val="32"/>
          <w:szCs w:val="32"/>
        </w:rPr>
        <w:t>202</w:t>
      </w:r>
      <w:r>
        <w:rPr>
          <w:rFonts w:hint="eastAsia" w:cs="黑体" w:asciiTheme="minorEastAsia" w:hAnsiTheme="minorEastAsia"/>
          <w:color w:val="000000"/>
          <w:kern w:val="0"/>
          <w:sz w:val="32"/>
          <w:szCs w:val="32"/>
          <w:lang w:val="en-US" w:eastAsia="zh-CN"/>
        </w:rPr>
        <w:t>5</w:t>
      </w:r>
      <w:r>
        <w:rPr>
          <w:rFonts w:hint="eastAsia" w:cs="黑体" w:asciiTheme="minorEastAsia" w:hAnsiTheme="minorEastAsia"/>
          <w:color w:val="000000"/>
          <w:kern w:val="0"/>
          <w:sz w:val="32"/>
          <w:szCs w:val="32"/>
        </w:rPr>
        <w:t>年度</w:t>
      </w:r>
      <w:r>
        <w:rPr>
          <w:rFonts w:hint="eastAsia" w:cs="黑体" w:asciiTheme="minorEastAsia" w:hAnsiTheme="minorEastAsia"/>
          <w:color w:val="000000"/>
          <w:kern w:val="0"/>
          <w:sz w:val="32"/>
          <w:szCs w:val="32"/>
          <w:lang w:eastAsia="zh-CN"/>
        </w:rPr>
        <w:t>项目</w:t>
      </w:r>
      <w:r>
        <w:rPr>
          <w:rFonts w:hint="eastAsia" w:cs="黑体" w:asciiTheme="minorEastAsia" w:hAnsiTheme="minorEastAsia"/>
          <w:color w:val="000000"/>
          <w:kern w:val="0"/>
          <w:sz w:val="32"/>
          <w:szCs w:val="32"/>
        </w:rPr>
        <w:t>支出绩效评价</w:t>
      </w:r>
      <w:r>
        <w:rPr>
          <w:rFonts w:hint="eastAsia" w:cs="黑体" w:asciiTheme="minorEastAsia" w:hAnsiTheme="minorEastAsia"/>
          <w:color w:val="000000"/>
          <w:kern w:val="0"/>
          <w:sz w:val="32"/>
          <w:szCs w:val="32"/>
          <w:lang w:eastAsia="zh-CN"/>
        </w:rPr>
        <w:t>自评</w:t>
      </w:r>
      <w:r>
        <w:rPr>
          <w:rFonts w:hint="eastAsia" w:cs="黑体" w:asciiTheme="minorEastAsia" w:hAnsiTheme="minorEastAsia"/>
          <w:color w:val="000000"/>
          <w:kern w:val="0"/>
          <w:sz w:val="32"/>
          <w:szCs w:val="32"/>
        </w:rPr>
        <w:t>报告</w:t>
      </w:r>
    </w:p>
    <w:p w14:paraId="6C8B11F8">
      <w:pPr>
        <w:jc w:val="both"/>
        <w:rPr>
          <w:rFonts w:hint="default" w:cs="黑体" w:asciiTheme="minorEastAsia" w:hAnsi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 xml:space="preserve">   </w:t>
      </w:r>
    </w:p>
    <w:p w14:paraId="574E5939">
      <w:pPr>
        <w:widowControl/>
        <w:tabs>
          <w:tab w:val="left" w:pos="6697"/>
        </w:tabs>
        <w:jc w:val="left"/>
        <w:rPr>
          <w:rFonts w:hint="eastAsia" w:ascii="黑体" w:eastAsia="黑体" w:cs="黑体"/>
          <w:color w:val="000000"/>
          <w:kern w:val="0"/>
          <w:sz w:val="70"/>
          <w:szCs w:val="70"/>
          <w:lang w:eastAsia="zh-CN"/>
        </w:rPr>
      </w:pPr>
      <w:bookmarkStart w:id="4" w:name="_GoBack"/>
      <w:bookmarkEnd w:id="4"/>
      <w:r>
        <w:rPr>
          <w:rFonts w:ascii="黑体" w:eastAsia="黑体" w:cs="黑体"/>
          <w:color w:val="000000"/>
          <w:kern w:val="0"/>
          <w:sz w:val="70"/>
          <w:szCs w:val="70"/>
        </w:rPr>
        <w:br w:type="page"/>
      </w:r>
      <w:r>
        <w:rPr>
          <w:rFonts w:hint="eastAsia" w:ascii="黑体" w:eastAsia="黑体" w:cs="黑体"/>
          <w:color w:val="000000"/>
          <w:kern w:val="0"/>
          <w:sz w:val="70"/>
          <w:szCs w:val="70"/>
          <w:lang w:eastAsia="zh-CN"/>
        </w:rPr>
        <w:tab/>
      </w:r>
    </w:p>
    <w:p w14:paraId="20BD5FE6">
      <w:pPr>
        <w:jc w:val="center"/>
        <w:rPr>
          <w:rFonts w:ascii="黑体" w:eastAsia="黑体" w:cs="黑体"/>
          <w:color w:val="000000"/>
          <w:kern w:val="0"/>
          <w:sz w:val="70"/>
          <w:szCs w:val="70"/>
        </w:rPr>
      </w:pPr>
    </w:p>
    <w:p w14:paraId="16FA64E9">
      <w:pPr>
        <w:ind w:firstLine="640" w:firstLineChars="200"/>
        <w:jc w:val="center"/>
        <w:rPr>
          <w:rFonts w:cs="黑体" w:asciiTheme="minorEastAsia" w:hAnsiTheme="minorEastAsia"/>
          <w:color w:val="000000"/>
          <w:kern w:val="0"/>
          <w:sz w:val="32"/>
          <w:szCs w:val="32"/>
        </w:rPr>
      </w:pPr>
    </w:p>
    <w:p w14:paraId="645A822A">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E65738"/>
    <w:multiLevelType w:val="singleLevel"/>
    <w:tmpl w:val="C7E65738"/>
    <w:lvl w:ilvl="0" w:tentative="0">
      <w:start w:val="1"/>
      <w:numFmt w:val="decimal"/>
      <w:suff w:val="nothing"/>
      <w:lvlText w:val="%1、"/>
      <w:lvlJc w:val="left"/>
    </w:lvl>
  </w:abstractNum>
  <w:abstractNum w:abstractNumId="1">
    <w:nsid w:val="F16BFCCE"/>
    <w:multiLevelType w:val="singleLevel"/>
    <w:tmpl w:val="F16BFCCE"/>
    <w:lvl w:ilvl="0" w:tentative="0">
      <w:start w:val="1"/>
      <w:numFmt w:val="chineseCounting"/>
      <w:suff w:val="space"/>
      <w:lvlText w:val="%1、"/>
      <w:lvlJc w:val="left"/>
      <w:rPr>
        <w:rFonts w:hint="eastAsia"/>
      </w:rPr>
    </w:lvl>
  </w:abstractNum>
  <w:abstractNum w:abstractNumId="2">
    <w:nsid w:val="00E4E4E6"/>
    <w:multiLevelType w:val="singleLevel"/>
    <w:tmpl w:val="00E4E4E6"/>
    <w:lvl w:ilvl="0" w:tentative="0">
      <w:start w:val="1"/>
      <w:numFmt w:val="chineseCounting"/>
      <w:suff w:val="nothing"/>
      <w:lvlText w:val="（%1）"/>
      <w:lvlJc w:val="left"/>
      <w:rPr>
        <w:rFonts w:hint="eastAsia"/>
      </w:rPr>
    </w:lvl>
  </w:abstractNum>
  <w:abstractNum w:abstractNumId="3">
    <w:nsid w:val="1A928131"/>
    <w:multiLevelType w:val="singleLevel"/>
    <w:tmpl w:val="1A928131"/>
    <w:lvl w:ilvl="0" w:tentative="0">
      <w:start w:val="1"/>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3MWRmZDFiYWFlNzU0ODExN2FiNThlYjk0NDIwZmQ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D10E6"/>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15E00BA"/>
    <w:rsid w:val="01A249C3"/>
    <w:rsid w:val="02346091"/>
    <w:rsid w:val="030A6CC4"/>
    <w:rsid w:val="032F672A"/>
    <w:rsid w:val="03422937"/>
    <w:rsid w:val="07902878"/>
    <w:rsid w:val="08123F24"/>
    <w:rsid w:val="08AA7A85"/>
    <w:rsid w:val="08E753B1"/>
    <w:rsid w:val="09075A53"/>
    <w:rsid w:val="0A951B23"/>
    <w:rsid w:val="0AA572D2"/>
    <w:rsid w:val="0C324B95"/>
    <w:rsid w:val="0C7731BC"/>
    <w:rsid w:val="0FA20284"/>
    <w:rsid w:val="10261CE9"/>
    <w:rsid w:val="10E50428"/>
    <w:rsid w:val="11625F1D"/>
    <w:rsid w:val="12011292"/>
    <w:rsid w:val="1211173E"/>
    <w:rsid w:val="12257C11"/>
    <w:rsid w:val="123478B9"/>
    <w:rsid w:val="13077AEF"/>
    <w:rsid w:val="151614F8"/>
    <w:rsid w:val="151E65FF"/>
    <w:rsid w:val="15883A78"/>
    <w:rsid w:val="164245F6"/>
    <w:rsid w:val="16C76A23"/>
    <w:rsid w:val="17CC5A54"/>
    <w:rsid w:val="18DA45EA"/>
    <w:rsid w:val="18DA4E7F"/>
    <w:rsid w:val="19341F4D"/>
    <w:rsid w:val="197A6CD1"/>
    <w:rsid w:val="1A5B79AD"/>
    <w:rsid w:val="1AEE25CF"/>
    <w:rsid w:val="1C906247"/>
    <w:rsid w:val="1D5030CD"/>
    <w:rsid w:val="1DBE097F"/>
    <w:rsid w:val="1DDB5B97"/>
    <w:rsid w:val="1EFA2C91"/>
    <w:rsid w:val="20A75059"/>
    <w:rsid w:val="22397F6A"/>
    <w:rsid w:val="2274320D"/>
    <w:rsid w:val="23256DAA"/>
    <w:rsid w:val="247F4F04"/>
    <w:rsid w:val="2536529E"/>
    <w:rsid w:val="2572277A"/>
    <w:rsid w:val="25897AC4"/>
    <w:rsid w:val="25970B0B"/>
    <w:rsid w:val="2767173F"/>
    <w:rsid w:val="293B7327"/>
    <w:rsid w:val="2B2F4C6A"/>
    <w:rsid w:val="2D2055AE"/>
    <w:rsid w:val="2E271C28"/>
    <w:rsid w:val="2E8157DC"/>
    <w:rsid w:val="2EA87DC6"/>
    <w:rsid w:val="2EB93AAA"/>
    <w:rsid w:val="2EC41C64"/>
    <w:rsid w:val="30612CBB"/>
    <w:rsid w:val="31093867"/>
    <w:rsid w:val="31BE4652"/>
    <w:rsid w:val="31C003CA"/>
    <w:rsid w:val="32130E41"/>
    <w:rsid w:val="3227669B"/>
    <w:rsid w:val="33135FEB"/>
    <w:rsid w:val="335A7210"/>
    <w:rsid w:val="339E0BDF"/>
    <w:rsid w:val="33ED121E"/>
    <w:rsid w:val="34340069"/>
    <w:rsid w:val="35262C3A"/>
    <w:rsid w:val="363D4C1C"/>
    <w:rsid w:val="364C2B74"/>
    <w:rsid w:val="365E25A8"/>
    <w:rsid w:val="367C4ADB"/>
    <w:rsid w:val="37695060"/>
    <w:rsid w:val="377834F5"/>
    <w:rsid w:val="378D51F2"/>
    <w:rsid w:val="37BD243A"/>
    <w:rsid w:val="3806764A"/>
    <w:rsid w:val="382E421D"/>
    <w:rsid w:val="388859B9"/>
    <w:rsid w:val="392E785A"/>
    <w:rsid w:val="39D42638"/>
    <w:rsid w:val="3BC66F24"/>
    <w:rsid w:val="3D22462E"/>
    <w:rsid w:val="3D793B23"/>
    <w:rsid w:val="3DFB09DB"/>
    <w:rsid w:val="3E7E5894"/>
    <w:rsid w:val="3EE15E23"/>
    <w:rsid w:val="3F15107B"/>
    <w:rsid w:val="3FC941ED"/>
    <w:rsid w:val="3FD3741F"/>
    <w:rsid w:val="40930AD5"/>
    <w:rsid w:val="40937319"/>
    <w:rsid w:val="40AB66E9"/>
    <w:rsid w:val="40B01F51"/>
    <w:rsid w:val="40B96999"/>
    <w:rsid w:val="41144316"/>
    <w:rsid w:val="417D1C55"/>
    <w:rsid w:val="42957651"/>
    <w:rsid w:val="43597ACD"/>
    <w:rsid w:val="43B70103"/>
    <w:rsid w:val="443D3040"/>
    <w:rsid w:val="456357E4"/>
    <w:rsid w:val="456B6447"/>
    <w:rsid w:val="47D66741"/>
    <w:rsid w:val="484C07B1"/>
    <w:rsid w:val="486F624E"/>
    <w:rsid w:val="48C742DC"/>
    <w:rsid w:val="494616A5"/>
    <w:rsid w:val="4A9B157C"/>
    <w:rsid w:val="4ADB55B3"/>
    <w:rsid w:val="4CCC0113"/>
    <w:rsid w:val="4D506D9A"/>
    <w:rsid w:val="4D7C5695"/>
    <w:rsid w:val="4E1F1B59"/>
    <w:rsid w:val="4E564138"/>
    <w:rsid w:val="505C1650"/>
    <w:rsid w:val="50642410"/>
    <w:rsid w:val="520B6FE7"/>
    <w:rsid w:val="537C4B13"/>
    <w:rsid w:val="54513E1C"/>
    <w:rsid w:val="55AE4D3E"/>
    <w:rsid w:val="561741D2"/>
    <w:rsid w:val="564B4D97"/>
    <w:rsid w:val="56A90798"/>
    <w:rsid w:val="56F12C1A"/>
    <w:rsid w:val="57087F99"/>
    <w:rsid w:val="58B11162"/>
    <w:rsid w:val="58BD4DB3"/>
    <w:rsid w:val="5A582FE6"/>
    <w:rsid w:val="5A9D6C4B"/>
    <w:rsid w:val="5AC37CAC"/>
    <w:rsid w:val="5BB46942"/>
    <w:rsid w:val="5C1445C4"/>
    <w:rsid w:val="5C57132C"/>
    <w:rsid w:val="5DD813EE"/>
    <w:rsid w:val="5DDC3F2E"/>
    <w:rsid w:val="5E584E0E"/>
    <w:rsid w:val="5E8425FB"/>
    <w:rsid w:val="5EBD78BB"/>
    <w:rsid w:val="5FD9103F"/>
    <w:rsid w:val="611F41BC"/>
    <w:rsid w:val="62C751AC"/>
    <w:rsid w:val="63554566"/>
    <w:rsid w:val="637003AD"/>
    <w:rsid w:val="63EE7D45"/>
    <w:rsid w:val="65A76BCF"/>
    <w:rsid w:val="65BC6B1F"/>
    <w:rsid w:val="66F16012"/>
    <w:rsid w:val="68E35C01"/>
    <w:rsid w:val="690C25FC"/>
    <w:rsid w:val="693764BC"/>
    <w:rsid w:val="6AA16D87"/>
    <w:rsid w:val="6D9F54CE"/>
    <w:rsid w:val="6E57228B"/>
    <w:rsid w:val="6FA128E1"/>
    <w:rsid w:val="71002B46"/>
    <w:rsid w:val="71C36596"/>
    <w:rsid w:val="732A651E"/>
    <w:rsid w:val="734737A0"/>
    <w:rsid w:val="751F2C26"/>
    <w:rsid w:val="75960675"/>
    <w:rsid w:val="75AB2223"/>
    <w:rsid w:val="75E47B27"/>
    <w:rsid w:val="767E397C"/>
    <w:rsid w:val="77C5124A"/>
    <w:rsid w:val="79AB3E0A"/>
    <w:rsid w:val="79EB1329"/>
    <w:rsid w:val="7B8400B2"/>
    <w:rsid w:val="7C276C16"/>
    <w:rsid w:val="7D891584"/>
    <w:rsid w:val="7DB06B11"/>
    <w:rsid w:val="7DC718BD"/>
    <w:rsid w:val="7FA97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3">
    <w:name w:val="Normal Indent"/>
    <w:basedOn w:val="1"/>
    <w:qFormat/>
    <w:uiPriority w:val="0"/>
    <w:pPr>
      <w:widowControl w:val="0"/>
      <w:ind w:firstLine="880" w:firstLineChars="200"/>
      <w:jc w:val="both"/>
    </w:pPr>
    <w:rPr>
      <w:rFonts w:ascii="Times New Roman" w:hAnsi="Times New Roman" w:eastAsia="仿宋_GB2312" w:cs="Times New Roman"/>
      <w:kern w:val="2"/>
      <w:sz w:val="32"/>
      <w:szCs w:val="24"/>
      <w:lang w:val="en-US" w:eastAsia="zh-CN" w:bidi="ar-SA"/>
    </w:rPr>
  </w:style>
  <w:style w:type="paragraph" w:styleId="4">
    <w:name w:val="Body Text"/>
    <w:basedOn w:val="1"/>
    <w:qFormat/>
    <w:uiPriority w:val="0"/>
    <w:pPr>
      <w:spacing w:after="120"/>
    </w:pPr>
    <w:rPr>
      <w:rFonts w:ascii="Times New Roman" w:hAnsi="Times New Roman"/>
    </w:r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semiHidden/>
    <w:unhideWhenUsed/>
    <w:qFormat/>
    <w:uiPriority w:val="99"/>
    <w:pPr>
      <w:spacing w:beforeAutospacing="1"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paragraph" w:customStyle="1" w:styleId="17">
    <w:name w:val="普通(网站) Char"/>
    <w:basedOn w:val="1"/>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paragraph" w:styleId="18">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无间隔"/>
    <w:qFormat/>
    <w:uiPriority w:val="0"/>
    <w:pPr>
      <w:widowControl w:val="0"/>
      <w:jc w:val="both"/>
    </w:pPr>
    <w:rPr>
      <w:rFonts w:ascii="Calibri" w:hAnsi="Calibri" w:eastAsia="宋体" w:cs="Times New Roman"/>
      <w:kern w:val="2"/>
      <w:sz w:val="21"/>
      <w:szCs w:val="22"/>
      <w:lang w:val="en-US" w:eastAsia="zh-CN" w:bidi="ar-SA"/>
    </w:rPr>
  </w:style>
  <w:style w:type="paragraph" w:customStyle="1" w:styleId="20">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8013</Words>
  <Characters>8728</Characters>
  <Lines>69</Lines>
  <Paragraphs>19</Paragraphs>
  <TotalTime>2</TotalTime>
  <ScaleCrop>false</ScaleCrop>
  <LinksUpToDate>false</LinksUpToDate>
  <CharactersWithSpaces>8762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梁梦芸</cp:lastModifiedBy>
  <cp:lastPrinted>2026-09-22T02:58:00Z</cp:lastPrinted>
  <dcterms:modified xsi:type="dcterms:W3CDTF">2026-09-24T03:30:17Z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21BE63696E034BC9BAA22726C5C382FD_12</vt:lpwstr>
  </property>
  <property fmtid="{D5CDD505-2E9C-101B-9397-08002B2CF9AE}" pid="4" name="KSOTemplateDocerSaveRecord">
    <vt:lpwstr>eyJoZGlkIjoiYTI3MWRmZDFiYWFlNzU0ODExN2FiNThlYjk0NDIwZmQiLCJ1c2VySWQiOiIzOTY2NjE2NzQifQ==</vt:lpwstr>
  </property>
</Properties>
</file>