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4694B0">
      <w:pPr>
        <w:pStyle w:val="13"/>
        <w:jc w:val="center"/>
        <w:rPr>
          <w:sz w:val="56"/>
          <w:szCs w:val="56"/>
        </w:rPr>
      </w:pPr>
    </w:p>
    <w:p w14:paraId="23452F97">
      <w:pPr>
        <w:pStyle w:val="13"/>
        <w:jc w:val="center"/>
        <w:rPr>
          <w:sz w:val="56"/>
          <w:szCs w:val="56"/>
        </w:rPr>
      </w:pPr>
    </w:p>
    <w:p w14:paraId="518877C6">
      <w:pPr>
        <w:pStyle w:val="13"/>
        <w:jc w:val="center"/>
        <w:rPr>
          <w:sz w:val="84"/>
          <w:szCs w:val="84"/>
        </w:rPr>
      </w:pPr>
    </w:p>
    <w:p w14:paraId="1AD7CECE">
      <w:pPr>
        <w:pStyle w:val="13"/>
        <w:jc w:val="center"/>
        <w:rPr>
          <w:sz w:val="84"/>
          <w:szCs w:val="84"/>
        </w:rPr>
      </w:pPr>
    </w:p>
    <w:p w14:paraId="52C8F228">
      <w:pPr>
        <w:pStyle w:val="13"/>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2025年度</w:t>
      </w:r>
    </w:p>
    <w:p w14:paraId="1D6501A9">
      <w:pPr>
        <w:pStyle w:val="13"/>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怀化市泸阳国有林场</w:t>
      </w:r>
    </w:p>
    <w:p w14:paraId="077807C6">
      <w:pPr>
        <w:pStyle w:val="13"/>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w:t>
      </w:r>
    </w:p>
    <w:p w14:paraId="75937588">
      <w:pPr>
        <w:pStyle w:val="13"/>
        <w:jc w:val="center"/>
        <w:rPr>
          <w:rFonts w:ascii="方正小标宋_GBK" w:hAnsi="方正小标宋_GBK" w:eastAsia="方正小标宋_GBK" w:cs="方正小标宋_GBK"/>
          <w:sz w:val="56"/>
          <w:szCs w:val="56"/>
        </w:rPr>
      </w:pPr>
    </w:p>
    <w:p w14:paraId="7E1BA78E">
      <w:pPr>
        <w:pStyle w:val="13"/>
        <w:jc w:val="center"/>
        <w:rPr>
          <w:sz w:val="56"/>
          <w:szCs w:val="56"/>
        </w:rPr>
      </w:pPr>
    </w:p>
    <w:p w14:paraId="1A7E75F5">
      <w:pPr>
        <w:pStyle w:val="13"/>
        <w:jc w:val="center"/>
        <w:rPr>
          <w:sz w:val="56"/>
          <w:szCs w:val="56"/>
        </w:rPr>
      </w:pPr>
    </w:p>
    <w:p w14:paraId="6A3165BC">
      <w:pPr>
        <w:pStyle w:val="13"/>
        <w:jc w:val="center"/>
        <w:rPr>
          <w:sz w:val="56"/>
          <w:szCs w:val="56"/>
        </w:rPr>
      </w:pPr>
    </w:p>
    <w:p w14:paraId="4953AA55">
      <w:pPr>
        <w:pStyle w:val="13"/>
        <w:jc w:val="center"/>
        <w:rPr>
          <w:sz w:val="32"/>
          <w:szCs w:val="32"/>
        </w:rPr>
      </w:pPr>
    </w:p>
    <w:p w14:paraId="12D5D986">
      <w:pPr>
        <w:pStyle w:val="13"/>
        <w:jc w:val="center"/>
        <w:rPr>
          <w:sz w:val="32"/>
          <w:szCs w:val="32"/>
        </w:rPr>
      </w:pPr>
    </w:p>
    <w:p w14:paraId="5BAFAA03">
      <w:pPr>
        <w:pStyle w:val="13"/>
        <w:jc w:val="center"/>
        <w:rPr>
          <w:sz w:val="32"/>
          <w:szCs w:val="32"/>
        </w:rPr>
      </w:pPr>
    </w:p>
    <w:p w14:paraId="778E89A2">
      <w:pPr>
        <w:pStyle w:val="13"/>
        <w:spacing w:line="500" w:lineRule="exact"/>
        <w:jc w:val="center"/>
        <w:rPr>
          <w:b/>
          <w:sz w:val="36"/>
          <w:szCs w:val="28"/>
        </w:rPr>
      </w:pPr>
    </w:p>
    <w:p w14:paraId="0A42796D">
      <w:pPr>
        <w:pStyle w:val="13"/>
        <w:jc w:val="center"/>
        <w:rPr>
          <w:b/>
          <w:sz w:val="36"/>
          <w:szCs w:val="28"/>
        </w:rPr>
      </w:pPr>
      <w:r>
        <w:rPr>
          <w:rFonts w:hint="eastAsia"/>
          <w:b/>
          <w:sz w:val="36"/>
          <w:szCs w:val="28"/>
        </w:rPr>
        <w:t>目录</w:t>
      </w:r>
    </w:p>
    <w:p w14:paraId="3B2C2F9B">
      <w:pPr>
        <w:pStyle w:val="13"/>
        <w:ind w:firstLine="560" w:firstLineChars="200"/>
        <w:rPr>
          <w:rFonts w:hAnsi="黑体"/>
          <w:bCs/>
          <w:sz w:val="28"/>
          <w:szCs w:val="28"/>
        </w:rPr>
      </w:pPr>
      <w:r>
        <w:rPr>
          <w:rFonts w:hint="eastAsia" w:hAnsi="黑体"/>
          <w:bCs/>
          <w:sz w:val="28"/>
          <w:szCs w:val="28"/>
        </w:rPr>
        <w:t>第一部分 怀化市泸阳国有林场概况</w:t>
      </w:r>
    </w:p>
    <w:p w14:paraId="2D75F7C9">
      <w:pPr>
        <w:pStyle w:val="13"/>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14:paraId="367EB643">
      <w:pPr>
        <w:pStyle w:val="13"/>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二、机构设置及决算单位构成</w:t>
      </w:r>
    </w:p>
    <w:p w14:paraId="41A32FF5">
      <w:pPr>
        <w:pStyle w:val="13"/>
        <w:ind w:firstLine="560" w:firstLineChars="200"/>
        <w:rPr>
          <w:rFonts w:hAnsi="黑体"/>
          <w:bCs/>
          <w:sz w:val="28"/>
          <w:szCs w:val="28"/>
        </w:rPr>
      </w:pPr>
      <w:r>
        <w:rPr>
          <w:rFonts w:hint="eastAsia" w:hAnsi="黑体"/>
          <w:bCs/>
          <w:sz w:val="28"/>
          <w:szCs w:val="28"/>
        </w:rPr>
        <w:t>第二部分 部门决算表</w:t>
      </w:r>
    </w:p>
    <w:p w14:paraId="71AD561F">
      <w:pPr>
        <w:pStyle w:val="13"/>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07CB0EDC">
      <w:pPr>
        <w:pStyle w:val="13"/>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4BBC773F">
      <w:pPr>
        <w:pStyle w:val="13"/>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26596204">
      <w:pPr>
        <w:pStyle w:val="13"/>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7DFE39FA">
      <w:pPr>
        <w:pStyle w:val="13"/>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3635FD0A">
      <w:pPr>
        <w:pStyle w:val="13"/>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0309F66B">
      <w:pPr>
        <w:pStyle w:val="13"/>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66CA7FA5">
      <w:pPr>
        <w:pStyle w:val="13"/>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241D8CC0">
      <w:pPr>
        <w:pStyle w:val="13"/>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1DCB8A80">
      <w:pPr>
        <w:pStyle w:val="13"/>
        <w:ind w:firstLine="560" w:firstLineChars="200"/>
        <w:rPr>
          <w:rFonts w:hAnsi="黑体"/>
          <w:bCs/>
          <w:sz w:val="28"/>
          <w:szCs w:val="28"/>
        </w:rPr>
      </w:pPr>
      <w:r>
        <w:rPr>
          <w:rFonts w:hint="eastAsia" w:hAnsi="黑体"/>
          <w:bCs/>
          <w:sz w:val="28"/>
          <w:szCs w:val="28"/>
        </w:rPr>
        <w:t>第三部分 部门决算情况说明</w:t>
      </w:r>
    </w:p>
    <w:p w14:paraId="09CE76F7">
      <w:pPr>
        <w:pStyle w:val="13"/>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45CB2B24">
      <w:pPr>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48849A27">
      <w:pPr>
        <w:autoSpaceDE w:val="0"/>
        <w:autoSpaceDN w:val="0"/>
        <w:adjustRightInd w:val="0"/>
        <w:ind w:firstLine="560" w:firstLineChars="20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2866A7B4">
      <w:pPr>
        <w:autoSpaceDE w:val="0"/>
        <w:autoSpaceDN w:val="0"/>
        <w:adjustRightInd w:val="0"/>
        <w:ind w:firstLine="560" w:firstLineChars="20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7CC5C5D2">
      <w:pPr>
        <w:autoSpaceDE w:val="0"/>
        <w:autoSpaceDN w:val="0"/>
        <w:adjustRightInd w:val="0"/>
        <w:ind w:firstLine="560" w:firstLineChars="20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6E26D56A">
      <w:pPr>
        <w:autoSpaceDE w:val="0"/>
        <w:autoSpaceDN w:val="0"/>
        <w:adjustRightInd w:val="0"/>
        <w:ind w:firstLine="560" w:firstLineChars="20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22BBF8FF">
      <w:pPr>
        <w:autoSpaceDE w:val="0"/>
        <w:autoSpaceDN w:val="0"/>
        <w:adjustRightInd w:val="0"/>
        <w:ind w:firstLine="560" w:firstLineChars="20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14:paraId="7ED6FCDB">
      <w:pPr>
        <w:autoSpaceDE w:val="0"/>
        <w:autoSpaceDN w:val="0"/>
        <w:adjustRightInd w:val="0"/>
        <w:ind w:firstLine="560" w:firstLineChars="20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14:paraId="2F5CCDE0">
      <w:pPr>
        <w:pStyle w:val="2"/>
        <w:ind w:firstLine="560" w:firstLineChars="200"/>
        <w:rPr>
          <w:rFonts w:ascii="仿宋_GB2312" w:eastAsia="仿宋_GB2312"/>
          <w:sz w:val="28"/>
          <w:szCs w:val="28"/>
        </w:rPr>
      </w:pPr>
      <w:r>
        <w:rPr>
          <w:rFonts w:hint="eastAsia" w:ascii="仿宋_GB2312" w:eastAsia="仿宋_GB2312"/>
          <w:sz w:val="28"/>
          <w:szCs w:val="28"/>
        </w:rPr>
        <w:t>九、国有资本经营预算收入支出决算情况</w:t>
      </w:r>
    </w:p>
    <w:p w14:paraId="4CB3C163">
      <w:pPr>
        <w:autoSpaceDE w:val="0"/>
        <w:autoSpaceDN w:val="0"/>
        <w:adjustRightInd w:val="0"/>
        <w:ind w:firstLine="560" w:firstLineChars="20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十、关于机关运行经费支出说明</w:t>
      </w:r>
    </w:p>
    <w:p w14:paraId="661A54E9">
      <w:pPr>
        <w:autoSpaceDE w:val="0"/>
        <w:autoSpaceDN w:val="0"/>
        <w:adjustRightInd w:val="0"/>
        <w:ind w:firstLine="560" w:firstLineChars="20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十一、一般性支出情况说明</w:t>
      </w:r>
    </w:p>
    <w:p w14:paraId="7C5352F2">
      <w:pPr>
        <w:autoSpaceDE w:val="0"/>
        <w:autoSpaceDN w:val="0"/>
        <w:adjustRightInd w:val="0"/>
        <w:ind w:firstLine="560" w:firstLineChars="20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十二、关于政府采购支出说明</w:t>
      </w:r>
    </w:p>
    <w:p w14:paraId="42E602D5">
      <w:pPr>
        <w:pStyle w:val="13"/>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十三、关于国有资产占用情况说明</w:t>
      </w:r>
    </w:p>
    <w:p w14:paraId="35B5E8F3">
      <w:pPr>
        <w:pStyle w:val="13"/>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十四、关于</w:t>
      </w:r>
      <w:r>
        <w:rPr>
          <w:rFonts w:ascii="Times New Roman" w:hAnsi="Times New Roman" w:eastAsia="仿宋_GB2312" w:cs="Times New Roman"/>
          <w:sz w:val="28"/>
          <w:szCs w:val="28"/>
        </w:rPr>
        <w:t>202</w:t>
      </w:r>
      <w:r>
        <w:rPr>
          <w:rFonts w:hint="eastAsia" w:ascii="Times New Roman" w:hAnsi="Times New Roman" w:eastAsia="仿宋_GB2312" w:cs="Times New Roman"/>
          <w:sz w:val="28"/>
          <w:szCs w:val="28"/>
        </w:rPr>
        <w:t>5</w:t>
      </w:r>
      <w:r>
        <w:rPr>
          <w:rFonts w:hint="eastAsia" w:ascii="仿宋_GB2312" w:hAnsi="仿宋_GB2312" w:eastAsia="仿宋_GB2312" w:cs="仿宋_GB2312"/>
          <w:sz w:val="28"/>
          <w:szCs w:val="28"/>
        </w:rPr>
        <w:t>年度预算绩效情况的说明</w:t>
      </w:r>
    </w:p>
    <w:p w14:paraId="0EC560D5">
      <w:pPr>
        <w:pStyle w:val="13"/>
        <w:ind w:firstLine="560" w:firstLineChars="200"/>
        <w:rPr>
          <w:rFonts w:hAnsi="黑体"/>
          <w:bCs/>
          <w:sz w:val="28"/>
          <w:szCs w:val="28"/>
        </w:rPr>
      </w:pPr>
      <w:r>
        <w:rPr>
          <w:rFonts w:hint="eastAsia" w:hAnsi="黑体"/>
          <w:bCs/>
          <w:sz w:val="28"/>
          <w:szCs w:val="28"/>
        </w:rPr>
        <w:t>第四部分 名词解释</w:t>
      </w:r>
    </w:p>
    <w:p w14:paraId="28DD1C0D">
      <w:pPr>
        <w:pStyle w:val="13"/>
        <w:ind w:firstLine="560" w:firstLineChars="200"/>
        <w:rPr>
          <w:rFonts w:hAnsi="黑体"/>
          <w:bCs/>
          <w:sz w:val="28"/>
          <w:szCs w:val="28"/>
        </w:rPr>
      </w:pPr>
      <w:r>
        <w:rPr>
          <w:rFonts w:hint="eastAsia" w:hAnsi="黑体"/>
          <w:bCs/>
          <w:sz w:val="28"/>
          <w:szCs w:val="28"/>
        </w:rPr>
        <w:t>第五部分 附件</w:t>
      </w:r>
    </w:p>
    <w:p w14:paraId="5BB3D90D">
      <w:pPr>
        <w:pStyle w:val="13"/>
        <w:spacing w:line="500" w:lineRule="exact"/>
        <w:rPr>
          <w:rFonts w:hAnsi="黑体"/>
          <w:bCs/>
          <w:sz w:val="28"/>
          <w:szCs w:val="28"/>
        </w:rPr>
      </w:pPr>
    </w:p>
    <w:p w14:paraId="40B0F2C5">
      <w:pPr>
        <w:jc w:val="center"/>
        <w:rPr>
          <w:sz w:val="72"/>
          <w:szCs w:val="72"/>
        </w:rPr>
      </w:pPr>
    </w:p>
    <w:p w14:paraId="1FBD276F">
      <w:pPr>
        <w:jc w:val="center"/>
        <w:rPr>
          <w:sz w:val="72"/>
          <w:szCs w:val="72"/>
        </w:rPr>
      </w:pPr>
    </w:p>
    <w:p w14:paraId="4263A7D3">
      <w:pPr>
        <w:pStyle w:val="2"/>
      </w:pPr>
    </w:p>
    <w:p w14:paraId="649064A5">
      <w:pPr>
        <w:pStyle w:val="3"/>
        <w:ind w:firstLine="480"/>
      </w:pPr>
    </w:p>
    <w:p w14:paraId="5C703134"/>
    <w:p w14:paraId="66CB1B8D">
      <w:pPr>
        <w:pStyle w:val="2"/>
      </w:pPr>
    </w:p>
    <w:p w14:paraId="78B92480">
      <w:pPr>
        <w:pStyle w:val="3"/>
        <w:ind w:firstLine="480"/>
      </w:pPr>
    </w:p>
    <w:p w14:paraId="09868968"/>
    <w:p w14:paraId="3804802B">
      <w:pPr>
        <w:pStyle w:val="2"/>
      </w:pPr>
    </w:p>
    <w:p w14:paraId="22304FB2">
      <w:pPr>
        <w:pStyle w:val="3"/>
        <w:ind w:firstLine="480"/>
      </w:pPr>
    </w:p>
    <w:p w14:paraId="45B0132D"/>
    <w:p w14:paraId="72DF71FB">
      <w:pPr>
        <w:pStyle w:val="2"/>
      </w:pPr>
    </w:p>
    <w:p w14:paraId="17BE3A64">
      <w:pPr>
        <w:pStyle w:val="3"/>
        <w:ind w:firstLine="480"/>
      </w:pPr>
    </w:p>
    <w:p w14:paraId="01154CC2">
      <w:pPr>
        <w:jc w:val="center"/>
        <w:rPr>
          <w:sz w:val="72"/>
          <w:szCs w:val="72"/>
        </w:rPr>
      </w:pPr>
    </w:p>
    <w:p w14:paraId="47FF9C9B">
      <w:pPr>
        <w:jc w:val="center"/>
        <w:rPr>
          <w:sz w:val="72"/>
          <w:szCs w:val="72"/>
        </w:rPr>
      </w:pPr>
    </w:p>
    <w:p w14:paraId="61C8B95A">
      <w:pPr>
        <w:rPr>
          <w:rFonts w:ascii="方正小标宋_GBK" w:hAnsi="方正小标宋_GBK" w:eastAsia="方正小标宋_GBK" w:cs="方正小标宋_GBK"/>
          <w:sz w:val="72"/>
          <w:szCs w:val="72"/>
        </w:rPr>
      </w:pPr>
    </w:p>
    <w:p w14:paraId="61643C42">
      <w:pPr>
        <w:pStyle w:val="13"/>
        <w:jc w:val="center"/>
        <w:rPr>
          <w:rFonts w:ascii="方正小标宋_GBK" w:hAnsi="方正小标宋_GBK" w:eastAsia="方正小标宋_GBK" w:cs="方正小标宋_GBK"/>
          <w:sz w:val="84"/>
          <w:szCs w:val="84"/>
        </w:rPr>
      </w:pPr>
    </w:p>
    <w:p w14:paraId="1AF21382">
      <w:pPr>
        <w:pStyle w:val="13"/>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4B8E3D7D">
      <w:pPr>
        <w:pStyle w:val="13"/>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怀化市泸阳国有林场概况</w:t>
      </w:r>
    </w:p>
    <w:p w14:paraId="6F5EF7FD">
      <w:pPr>
        <w:jc w:val="center"/>
        <w:rPr>
          <w:sz w:val="72"/>
          <w:szCs w:val="72"/>
        </w:rPr>
      </w:pPr>
    </w:p>
    <w:p w14:paraId="2EE9F292">
      <w:pPr>
        <w:ind w:firstLine="640" w:firstLineChars="200"/>
        <w:jc w:val="left"/>
        <w:rPr>
          <w:rFonts w:ascii="黑体" w:hAnsi="黑体" w:eastAsia="黑体" w:cs="黑体"/>
          <w:sz w:val="32"/>
          <w:szCs w:val="32"/>
        </w:rPr>
      </w:pPr>
      <w:r>
        <w:rPr>
          <w:rFonts w:hint="eastAsia" w:ascii="黑体" w:hAnsi="黑体" w:eastAsia="黑体" w:cs="黑体"/>
          <w:sz w:val="32"/>
          <w:szCs w:val="32"/>
        </w:rPr>
        <w:t>一、部门职责</w:t>
      </w:r>
    </w:p>
    <w:p w14:paraId="6157EB63">
      <w:pPr>
        <w:ind w:firstLine="640" w:firstLineChars="200"/>
        <w:rPr>
          <w:rFonts w:ascii="Times New Roman" w:hAnsi="Times New Roman" w:eastAsia="仿宋_GB2312" w:cs="仿宋_GB2312"/>
          <w:sz w:val="32"/>
          <w:szCs w:val="32"/>
        </w:rPr>
      </w:pPr>
      <w:r>
        <w:rPr>
          <w:rFonts w:hint="eastAsia" w:ascii="仿宋_GB2312" w:eastAsia="仿宋_GB2312"/>
          <w:sz w:val="32"/>
          <w:szCs w:val="32"/>
        </w:rPr>
        <w:t>怀化市泸阳国有林场单位的主要职责是：管理国有林场，促进林业发展，国有林场规划设计编制，林木种苗生产供应，森林培育与经营，护林防火，林木良种选育与新技术推广，相关社会服务。</w:t>
      </w:r>
    </w:p>
    <w:p w14:paraId="082F53CA">
      <w:pPr>
        <w:widowControl/>
        <w:ind w:firstLine="640" w:firstLineChars="200"/>
        <w:rPr>
          <w:rFonts w:ascii="黑体" w:hAnsi="黑体" w:eastAsia="黑体" w:cs="黑体"/>
          <w:bCs/>
          <w:kern w:val="0"/>
          <w:sz w:val="32"/>
          <w:szCs w:val="32"/>
        </w:rPr>
      </w:pPr>
      <w:r>
        <w:rPr>
          <w:rFonts w:hint="eastAsia" w:ascii="黑体" w:hAnsi="黑体" w:eastAsia="黑体" w:cs="黑体"/>
          <w:bCs/>
          <w:kern w:val="0"/>
          <w:sz w:val="32"/>
          <w:szCs w:val="32"/>
        </w:rPr>
        <w:t>二、机构设置及决算单位构成</w:t>
      </w:r>
    </w:p>
    <w:p w14:paraId="011EC2BC">
      <w:pPr>
        <w:ind w:firstLine="640" w:firstLineChars="200"/>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（一）内设机构设置。</w:t>
      </w:r>
      <w:r>
        <w:rPr>
          <w:rFonts w:hint="eastAsia" w:ascii="仿宋_GB2312" w:eastAsia="仿宋_GB2312" w:hAnsiTheme="minorEastAsia"/>
          <w:bCs/>
          <w:kern w:val="0"/>
          <w:sz w:val="32"/>
          <w:szCs w:val="32"/>
        </w:rPr>
        <w:t>怀化市泸阳国有林场内设机构包括：</w:t>
      </w:r>
      <w:r>
        <w:rPr>
          <w:rFonts w:hint="eastAsia" w:ascii="仿宋_GB2312" w:eastAsia="仿宋_GB2312"/>
          <w:sz w:val="32"/>
          <w:szCs w:val="32"/>
        </w:rPr>
        <w:t>办公室、人事股、计财股、营林生产股、资源纠调股、党办、综合治理、防火办、公园办、工会纪检室。</w:t>
      </w:r>
    </w:p>
    <w:p w14:paraId="12BE251A">
      <w:pPr>
        <w:widowControl/>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（二）决算单位构成。</w:t>
      </w:r>
      <w:r>
        <w:rPr>
          <w:rFonts w:hint="eastAsia" w:ascii="仿宋_GB2312" w:eastAsia="仿宋_GB2312" w:hAnsiTheme="minorEastAsia"/>
          <w:bCs/>
          <w:kern w:val="0"/>
          <w:sz w:val="32"/>
          <w:szCs w:val="32"/>
        </w:rPr>
        <w:t>怀化市泸阳国有林场</w:t>
      </w:r>
      <w:r>
        <w:rPr>
          <w:rFonts w:hint="eastAsia" w:ascii="Times New Roman" w:hAnsi="Times New Roman" w:eastAsia="仿宋_GB2312" w:cs="仿宋_GB2312"/>
          <w:bCs/>
          <w:kern w:val="0"/>
          <w:sz w:val="32"/>
          <w:szCs w:val="32"/>
        </w:rPr>
        <w:t>2025年部门决算汇总公开单位构成包括：</w:t>
      </w:r>
      <w:r>
        <w:rPr>
          <w:rFonts w:hint="eastAsia" w:ascii="仿宋_GB2312" w:eastAsia="仿宋_GB2312" w:hAnsiTheme="minorEastAsia"/>
          <w:bCs/>
          <w:kern w:val="0"/>
          <w:sz w:val="32"/>
          <w:szCs w:val="32"/>
        </w:rPr>
        <w:t>怀化市泸阳国有林场本级。</w:t>
      </w:r>
    </w:p>
    <w:p w14:paraId="1D7288D2">
      <w:pPr>
        <w:jc w:val="left"/>
        <w:rPr>
          <w:rFonts w:ascii="仿宋_GB2312" w:eastAsia="仿宋_GB2312" w:hAnsiTheme="minorEastAsia"/>
          <w:sz w:val="28"/>
          <w:szCs w:val="32"/>
        </w:rPr>
      </w:pPr>
    </w:p>
    <w:p w14:paraId="77D94DDB">
      <w:pPr>
        <w:jc w:val="center"/>
        <w:rPr>
          <w:rFonts w:ascii="黑体" w:hAnsi="黑体" w:eastAsia="黑体"/>
          <w:sz w:val="28"/>
          <w:szCs w:val="28"/>
        </w:rPr>
      </w:pPr>
    </w:p>
    <w:p w14:paraId="08750C35">
      <w:pPr>
        <w:jc w:val="center"/>
        <w:rPr>
          <w:rFonts w:ascii="黑体" w:hAnsi="黑体" w:eastAsia="黑体"/>
          <w:sz w:val="28"/>
          <w:szCs w:val="28"/>
        </w:rPr>
        <w:sectPr>
          <w:pgSz w:w="11906" w:h="16838"/>
          <w:pgMar w:top="720" w:right="720" w:bottom="720" w:left="720" w:header="851" w:footer="992" w:gutter="0"/>
          <w:cols w:space="425" w:num="1"/>
          <w:docGrid w:type="lines" w:linePitch="312" w:charSpace="0"/>
        </w:sectPr>
      </w:pPr>
    </w:p>
    <w:p w14:paraId="4765A375">
      <w:pPr>
        <w:pStyle w:val="13"/>
        <w:jc w:val="center"/>
        <w:rPr>
          <w:rFonts w:ascii="Times New Roman" w:hAnsi="Times New Roman" w:eastAsia="方正小标宋_GBK" w:cs="Times New Roman"/>
          <w:sz w:val="52"/>
          <w:szCs w:val="52"/>
        </w:rPr>
      </w:pPr>
    </w:p>
    <w:p w14:paraId="7C02E0E8">
      <w:pPr>
        <w:pStyle w:val="13"/>
        <w:jc w:val="center"/>
        <w:rPr>
          <w:rFonts w:ascii="Times New Roman" w:hAnsi="Times New Roman" w:eastAsia="方正小标宋_GBK" w:cs="Times New Roman"/>
          <w:sz w:val="52"/>
          <w:szCs w:val="52"/>
        </w:rPr>
      </w:pPr>
    </w:p>
    <w:p w14:paraId="2A351064">
      <w:pPr>
        <w:pStyle w:val="13"/>
        <w:jc w:val="center"/>
        <w:rPr>
          <w:rFonts w:ascii="Times New Roman" w:hAnsi="Times New Roman" w:eastAsia="方正小标宋_GBK" w:cs="Times New Roman"/>
          <w:sz w:val="52"/>
          <w:szCs w:val="52"/>
        </w:rPr>
      </w:pPr>
    </w:p>
    <w:p w14:paraId="203A8F90">
      <w:pPr>
        <w:pStyle w:val="13"/>
        <w:jc w:val="center"/>
        <w:rPr>
          <w:rFonts w:ascii="Times New Roman" w:hAnsi="Times New Roman" w:eastAsia="方正小标宋_GBK" w:cs="Times New Roman"/>
          <w:sz w:val="52"/>
          <w:szCs w:val="52"/>
        </w:rPr>
      </w:pPr>
    </w:p>
    <w:p w14:paraId="27099DE4">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w:t>
      </w:r>
    </w:p>
    <w:p w14:paraId="5E993F01">
      <w:pPr>
        <w:pStyle w:val="13"/>
        <w:jc w:val="center"/>
      </w:pPr>
      <w:r>
        <w:rPr>
          <w:rFonts w:ascii="Times New Roman" w:hAnsi="Times New Roman" w:eastAsia="方正小标宋_GBK" w:cs="Times New Roman"/>
          <w:sz w:val="52"/>
          <w:szCs w:val="52"/>
        </w:rPr>
        <w:t xml:space="preserve"> 部门决算表</w:t>
      </w:r>
    </w:p>
    <w:p w14:paraId="36407FFD"/>
    <w:p w14:paraId="747CFD17">
      <w:pPr>
        <w:pStyle w:val="2"/>
        <w:jc w:val="center"/>
        <w:rPr>
          <w:rFonts w:ascii="Times New Roman" w:hAnsi="Times New Roman" w:eastAsia="方正小标宋_GBK" w:cs="Times New Roman"/>
          <w:color w:val="000000"/>
          <w:sz w:val="52"/>
          <w:szCs w:val="52"/>
        </w:rPr>
        <w:sectPr>
          <w:pgSz w:w="11906" w:h="16838"/>
          <w:pgMar w:top="720" w:right="720" w:bottom="720" w:left="720" w:header="851" w:footer="992" w:gutter="0"/>
          <w:cols w:space="425" w:num="1"/>
          <w:docGrid w:type="lines" w:linePitch="312" w:charSpace="0"/>
        </w:sectPr>
      </w:pPr>
      <w:r>
        <w:rPr>
          <w:rFonts w:hint="eastAsia" w:ascii="Times New Roman" w:hAnsi="Times New Roman" w:eastAsia="方正小标宋_GBK" w:cs="Times New Roman"/>
          <w:color w:val="000000"/>
          <w:sz w:val="52"/>
          <w:szCs w:val="52"/>
        </w:rPr>
        <w:t>见附件</w:t>
      </w:r>
    </w:p>
    <w:p w14:paraId="32F30BFE">
      <w:pPr>
        <w:pStyle w:val="13"/>
        <w:rPr>
          <w:sz w:val="72"/>
          <w:szCs w:val="72"/>
        </w:rPr>
      </w:pPr>
    </w:p>
    <w:p w14:paraId="027282A9">
      <w:pPr>
        <w:pStyle w:val="13"/>
        <w:rPr>
          <w:sz w:val="72"/>
          <w:szCs w:val="72"/>
        </w:rPr>
      </w:pPr>
    </w:p>
    <w:p w14:paraId="0FFC0A68">
      <w:pPr>
        <w:pStyle w:val="13"/>
        <w:rPr>
          <w:sz w:val="72"/>
          <w:szCs w:val="72"/>
        </w:rPr>
      </w:pPr>
    </w:p>
    <w:p w14:paraId="4CDB75EA">
      <w:pPr>
        <w:pStyle w:val="13"/>
        <w:jc w:val="center"/>
        <w:rPr>
          <w:sz w:val="72"/>
          <w:szCs w:val="72"/>
        </w:rPr>
      </w:pPr>
    </w:p>
    <w:p w14:paraId="6F7D50E0">
      <w:pPr>
        <w:pStyle w:val="13"/>
        <w:jc w:val="center"/>
        <w:rPr>
          <w:rFonts w:ascii="方正小标宋_GBK" w:hAnsi="方正小标宋_GBK" w:eastAsia="方正小标宋_GBK" w:cs="方正小标宋_GBK"/>
          <w:sz w:val="72"/>
          <w:szCs w:val="72"/>
        </w:rPr>
      </w:pPr>
    </w:p>
    <w:p w14:paraId="76B355D9">
      <w:pPr>
        <w:pStyle w:val="13"/>
        <w:jc w:val="center"/>
        <w:rPr>
          <w:rFonts w:ascii="方正小标宋_GBK" w:hAnsi="方正小标宋_GBK" w:eastAsia="方正小标宋_GBK" w:cs="方正小标宋_GBK"/>
          <w:sz w:val="52"/>
          <w:szCs w:val="52"/>
        </w:rPr>
      </w:pPr>
      <w:r>
        <w:rPr>
          <w:rFonts w:hint="eastAsia" w:ascii="方正小标宋_GBK" w:hAnsi="方正小标宋_GBK" w:eastAsia="方正小标宋_GBK" w:cs="方正小标宋_GBK"/>
          <w:sz w:val="52"/>
          <w:szCs w:val="52"/>
        </w:rPr>
        <w:t>第三部分</w:t>
      </w:r>
    </w:p>
    <w:p w14:paraId="7AF0C9FF">
      <w:pPr>
        <w:pStyle w:val="13"/>
        <w:jc w:val="center"/>
        <w:rPr>
          <w:rFonts w:ascii="方正小标宋_GBK" w:hAnsi="方正小标宋_GBK" w:eastAsia="方正小标宋_GBK" w:cs="方正小标宋_GBK"/>
          <w:sz w:val="52"/>
          <w:szCs w:val="52"/>
        </w:rPr>
      </w:pPr>
      <w:r>
        <w:rPr>
          <w:rFonts w:hint="eastAsia" w:ascii="方正小标宋_GBK" w:hAnsi="方正小标宋_GBK" w:eastAsia="方正小标宋_GBK" w:cs="方正小标宋_GBK"/>
          <w:sz w:val="52"/>
          <w:szCs w:val="52"/>
        </w:rPr>
        <w:t>2025年度部门决算情况说明</w:t>
      </w:r>
    </w:p>
    <w:p w14:paraId="16A7D03F">
      <w:pPr>
        <w:widowControl/>
        <w:jc w:val="left"/>
        <w:rPr>
          <w:rFonts w:asciiTheme="minorEastAsia" w:hAnsiTheme="minorEastAsia"/>
          <w:sz w:val="32"/>
          <w:szCs w:val="32"/>
        </w:rPr>
      </w:pPr>
      <w:r>
        <w:rPr>
          <w:rFonts w:hint="eastAsia" w:ascii="方正小标宋_GBK" w:hAnsi="方正小标宋_GBK" w:eastAsia="方正小标宋_GBK" w:cs="方正小标宋_GBK"/>
          <w:sz w:val="70"/>
          <w:szCs w:val="70"/>
        </w:rPr>
        <w:br w:type="page"/>
      </w:r>
    </w:p>
    <w:p w14:paraId="7ABCB320">
      <w:pPr>
        <w:pStyle w:val="13"/>
        <w:ind w:firstLine="640" w:firstLineChars="200"/>
        <w:rPr>
          <w:rFonts w:hAnsi="黑体"/>
          <w:bCs/>
          <w:sz w:val="32"/>
          <w:szCs w:val="32"/>
        </w:rPr>
      </w:pPr>
      <w:r>
        <w:rPr>
          <w:rFonts w:hint="eastAsia" w:hAnsi="黑体"/>
          <w:bCs/>
          <w:sz w:val="32"/>
          <w:szCs w:val="32"/>
        </w:rPr>
        <w:t>一、收入支出决算总体情况说明</w:t>
      </w:r>
    </w:p>
    <w:p w14:paraId="1642AF16">
      <w:pPr>
        <w:pStyle w:val="13"/>
        <w:ind w:firstLine="640" w:firstLineChars="200"/>
        <w:rPr>
          <w:rFonts w:ascii="仿宋_GB2312" w:eastAsia="仿宋_GB2312"/>
          <w:sz w:val="32"/>
          <w:szCs w:val="32"/>
        </w:rPr>
      </w:pPr>
      <w:r>
        <w:rPr>
          <w:rFonts w:hint="eastAsia" w:ascii="仿宋_GB2312" w:hAnsi="Times New Roman" w:eastAsia="仿宋_GB2312"/>
          <w:sz w:val="32"/>
          <w:szCs w:val="32"/>
        </w:rPr>
        <w:t>2025年度收、支总计2086.29万元。与上年相比，减少32.54万元，下降1.54%，</w:t>
      </w:r>
      <w:r>
        <w:rPr>
          <w:rFonts w:hint="eastAsia" w:ascii="仿宋_GB2312" w:hAnsi="Times New Roman" w:eastAsia="仿宋_GB2312"/>
          <w:color w:val="auto"/>
          <w:sz w:val="32"/>
          <w:szCs w:val="32"/>
        </w:rPr>
        <w:t>主要是</w:t>
      </w:r>
      <w:r>
        <w:rPr>
          <w:rFonts w:hint="eastAsia" w:ascii="仿宋_GB2312" w:eastAsia="仿宋_GB2312"/>
          <w:sz w:val="32"/>
          <w:szCs w:val="32"/>
        </w:rPr>
        <w:t>非税收入减少。</w:t>
      </w:r>
    </w:p>
    <w:p w14:paraId="29E2112E">
      <w:pPr>
        <w:pStyle w:val="13"/>
        <w:ind w:firstLine="640" w:firstLineChars="200"/>
        <w:rPr>
          <w:rFonts w:hAnsi="黑体"/>
          <w:bCs/>
          <w:sz w:val="32"/>
          <w:szCs w:val="32"/>
        </w:rPr>
      </w:pPr>
      <w:r>
        <w:rPr>
          <w:rFonts w:hint="eastAsia" w:hAnsi="黑体"/>
          <w:bCs/>
          <w:sz w:val="32"/>
          <w:szCs w:val="32"/>
        </w:rPr>
        <w:t>二、收入决算情况说明</w:t>
      </w:r>
    </w:p>
    <w:p w14:paraId="1992D333">
      <w:pPr>
        <w:pStyle w:val="13"/>
        <w:ind w:firstLine="640" w:firstLineChars="200"/>
        <w:rPr>
          <w:rFonts w:ascii="仿宋_GB2312" w:hAnsi="Times New Roman" w:eastAsia="仿宋_GB2312"/>
          <w:sz w:val="32"/>
          <w:szCs w:val="32"/>
        </w:rPr>
      </w:pPr>
      <w:r>
        <w:rPr>
          <w:rFonts w:hint="eastAsia" w:ascii="仿宋_GB2312" w:hAnsi="Times New Roman" w:eastAsia="仿宋_GB2312"/>
          <w:sz w:val="32"/>
          <w:szCs w:val="32"/>
        </w:rPr>
        <w:t>2025年度收入合计2086.29万元，其中：财政拨款收入1945.84万元，占93.26%；其他收入140.45万元，占6.74%。</w:t>
      </w:r>
    </w:p>
    <w:p w14:paraId="57084B37">
      <w:pPr>
        <w:pStyle w:val="13"/>
        <w:ind w:firstLine="640" w:firstLineChars="200"/>
        <w:rPr>
          <w:rFonts w:hAnsi="黑体"/>
          <w:bCs/>
          <w:sz w:val="32"/>
          <w:szCs w:val="32"/>
        </w:rPr>
      </w:pPr>
      <w:r>
        <w:rPr>
          <w:rFonts w:hint="eastAsia" w:hAnsi="黑体"/>
          <w:bCs/>
          <w:sz w:val="32"/>
          <w:szCs w:val="32"/>
        </w:rPr>
        <w:t>三、支出决算情况说明</w:t>
      </w:r>
    </w:p>
    <w:p w14:paraId="2F2BD382">
      <w:pPr>
        <w:pStyle w:val="13"/>
        <w:ind w:firstLine="640" w:firstLineChars="200"/>
        <w:rPr>
          <w:rFonts w:ascii="仿宋_GB2312" w:hAnsi="Times New Roman" w:eastAsia="仿宋_GB2312"/>
          <w:sz w:val="32"/>
          <w:szCs w:val="32"/>
        </w:rPr>
      </w:pPr>
      <w:r>
        <w:rPr>
          <w:rFonts w:hint="eastAsia" w:ascii="仿宋_GB2312" w:hAnsi="Times New Roman" w:eastAsia="仿宋_GB2312"/>
          <w:sz w:val="32"/>
          <w:szCs w:val="32"/>
        </w:rPr>
        <w:t>2025年度支出合计2086.29万元，其中：基本支出1984.84万元，占95.14%；项目支出101.44万元，占4.86%。</w:t>
      </w:r>
    </w:p>
    <w:p w14:paraId="33A92253">
      <w:pPr>
        <w:pStyle w:val="13"/>
        <w:ind w:firstLine="640" w:firstLineChars="200"/>
        <w:rPr>
          <w:rFonts w:hAnsi="黑体"/>
          <w:bCs/>
          <w:sz w:val="32"/>
          <w:szCs w:val="32"/>
        </w:rPr>
      </w:pPr>
      <w:r>
        <w:rPr>
          <w:rFonts w:hint="eastAsia" w:hAnsi="黑体"/>
          <w:bCs/>
          <w:sz w:val="32"/>
          <w:szCs w:val="32"/>
        </w:rPr>
        <w:t>四、财政拨款收入支出决算总体情况说明</w:t>
      </w:r>
    </w:p>
    <w:p w14:paraId="07020FC6">
      <w:pPr>
        <w:pStyle w:val="13"/>
        <w:ind w:firstLine="640" w:firstLineChars="200"/>
        <w:rPr>
          <w:rFonts w:ascii="仿宋_GB2312" w:hAnsi="Times New Roman" w:eastAsia="仿宋_GB2312"/>
          <w:color w:val="auto"/>
          <w:sz w:val="32"/>
          <w:szCs w:val="32"/>
        </w:rPr>
      </w:pPr>
      <w:r>
        <w:rPr>
          <w:rFonts w:hint="eastAsia" w:ascii="仿宋_GB2312" w:hAnsi="Times New Roman" w:eastAsia="仿宋_GB2312"/>
          <w:sz w:val="32"/>
          <w:szCs w:val="32"/>
        </w:rPr>
        <w:t>2025年度财政拨款收、支总计1945.84万元，与上年相比，增加64.38万元,</w:t>
      </w:r>
      <w:bookmarkStart w:id="0" w:name="OLE_LINK1"/>
      <w:bookmarkStart w:id="1" w:name="OLE_LINK2"/>
      <w:r>
        <w:rPr>
          <w:rFonts w:hint="eastAsia" w:ascii="仿宋_GB2312" w:hAnsi="Times New Roman" w:eastAsia="仿宋_GB2312"/>
          <w:sz w:val="32"/>
          <w:szCs w:val="32"/>
        </w:rPr>
        <w:t>增加3.4%</w:t>
      </w:r>
      <w:bookmarkEnd w:id="0"/>
      <w:bookmarkEnd w:id="1"/>
      <w:r>
        <w:rPr>
          <w:rFonts w:hint="eastAsia" w:ascii="仿宋_GB2312" w:hAnsi="Times New Roman" w:eastAsia="仿宋_GB2312"/>
          <w:sz w:val="32"/>
          <w:szCs w:val="32"/>
        </w:rPr>
        <w:t>，</w:t>
      </w:r>
      <w:r>
        <w:rPr>
          <w:rFonts w:hint="eastAsia" w:ascii="仿宋_GB2312" w:hAnsi="Times New Roman" w:eastAsia="仿宋_GB2312"/>
          <w:color w:val="auto"/>
          <w:sz w:val="32"/>
          <w:szCs w:val="32"/>
        </w:rPr>
        <w:t>主要是</w:t>
      </w:r>
      <w:bookmarkStart w:id="2" w:name="OLE_LINK5"/>
      <w:bookmarkStart w:id="3" w:name="OLE_LINK4"/>
      <w:bookmarkStart w:id="4" w:name="OLE_LINK3"/>
      <w:r>
        <w:rPr>
          <w:rFonts w:hint="eastAsia" w:ascii="仿宋_GB2312" w:hAnsi="Times New Roman" w:eastAsia="仿宋_GB2312"/>
          <w:color w:val="auto"/>
          <w:sz w:val="32"/>
          <w:szCs w:val="32"/>
        </w:rPr>
        <w:t>职工工资福利待遇增加</w:t>
      </w:r>
      <w:bookmarkEnd w:id="2"/>
      <w:bookmarkEnd w:id="3"/>
      <w:bookmarkEnd w:id="4"/>
      <w:r>
        <w:rPr>
          <w:rFonts w:hint="eastAsia" w:ascii="仿宋_GB2312" w:hAnsi="Times New Roman" w:eastAsia="仿宋_GB2312"/>
          <w:color w:val="auto"/>
          <w:sz w:val="32"/>
          <w:szCs w:val="32"/>
        </w:rPr>
        <w:t>。</w:t>
      </w:r>
    </w:p>
    <w:p w14:paraId="33BF38B1">
      <w:pPr>
        <w:pStyle w:val="13"/>
        <w:ind w:firstLine="640" w:firstLineChars="200"/>
        <w:rPr>
          <w:rFonts w:hAnsi="黑体"/>
          <w:bCs/>
          <w:sz w:val="32"/>
          <w:szCs w:val="32"/>
        </w:rPr>
      </w:pPr>
      <w:r>
        <w:rPr>
          <w:rFonts w:hint="eastAsia" w:hAnsi="黑体"/>
          <w:bCs/>
          <w:sz w:val="32"/>
          <w:szCs w:val="32"/>
        </w:rPr>
        <w:t>五、一般公共预算财政拨款支出决算情况说明</w:t>
      </w:r>
    </w:p>
    <w:p w14:paraId="6247C057">
      <w:pPr>
        <w:pStyle w:val="13"/>
        <w:ind w:firstLine="640" w:firstLineChars="200"/>
        <w:rPr>
          <w:rFonts w:ascii="楷体" w:hAnsi="楷体" w:eastAsia="楷体" w:cs="楷体"/>
          <w:bCs/>
          <w:sz w:val="32"/>
          <w:szCs w:val="32"/>
        </w:rPr>
      </w:pPr>
      <w:r>
        <w:rPr>
          <w:rFonts w:hint="eastAsia" w:ascii="楷体" w:hAnsi="楷体" w:eastAsia="楷体" w:cs="楷体"/>
          <w:bCs/>
          <w:sz w:val="32"/>
          <w:szCs w:val="32"/>
        </w:rPr>
        <w:t>（一）一般公共预算财政拨款支出决算总体情况</w:t>
      </w:r>
    </w:p>
    <w:p w14:paraId="492AE80A">
      <w:pPr>
        <w:pStyle w:val="13"/>
        <w:ind w:firstLine="640" w:firstLineChars="200"/>
        <w:rPr>
          <w:rFonts w:ascii="仿宋_GB2312" w:hAnsi="Times New Roman" w:eastAsia="仿宋_GB2312"/>
          <w:color w:val="auto"/>
          <w:sz w:val="32"/>
          <w:szCs w:val="32"/>
        </w:rPr>
      </w:pPr>
      <w:r>
        <w:rPr>
          <w:rFonts w:hint="eastAsia" w:ascii="仿宋_GB2312" w:hAnsi="Times New Roman" w:eastAsia="仿宋_GB2312"/>
          <w:sz w:val="32"/>
          <w:szCs w:val="32"/>
        </w:rPr>
        <w:t>2025年度财政拨款支出1945.84万元，占本年支出合计的93.26%，与上年相比，财政拨款支出增加64.38元，增加3.4%，</w:t>
      </w:r>
      <w:r>
        <w:rPr>
          <w:rFonts w:hint="eastAsia" w:ascii="仿宋_GB2312" w:hAnsi="Times New Roman" w:eastAsia="仿宋_GB2312"/>
          <w:color w:val="auto"/>
          <w:sz w:val="32"/>
          <w:szCs w:val="32"/>
        </w:rPr>
        <w:t>主要是</w:t>
      </w:r>
      <w:r>
        <w:rPr>
          <w:rFonts w:hint="eastAsia" w:ascii="仿宋_GB2312" w:hAnsi="Times New Roman" w:eastAsia="仿宋_GB2312"/>
          <w:sz w:val="32"/>
          <w:szCs w:val="32"/>
        </w:rPr>
        <w:t>职工工资福利待遇增加</w:t>
      </w:r>
      <w:r>
        <w:rPr>
          <w:rFonts w:hint="eastAsia" w:ascii="仿宋_GB2312" w:hAnsi="Times New Roman" w:eastAsia="仿宋_GB2312"/>
          <w:color w:val="auto"/>
          <w:sz w:val="32"/>
          <w:szCs w:val="32"/>
        </w:rPr>
        <w:t>。</w:t>
      </w:r>
    </w:p>
    <w:p w14:paraId="3B0748C8">
      <w:pPr>
        <w:pStyle w:val="13"/>
        <w:ind w:firstLine="640" w:firstLineChars="200"/>
        <w:rPr>
          <w:rFonts w:ascii="楷体" w:hAnsi="楷体" w:eastAsia="楷体" w:cs="楷体"/>
          <w:bCs/>
          <w:sz w:val="32"/>
          <w:szCs w:val="32"/>
        </w:rPr>
      </w:pPr>
      <w:r>
        <w:rPr>
          <w:rFonts w:hint="eastAsia" w:ascii="楷体" w:hAnsi="楷体" w:eastAsia="楷体" w:cs="楷体"/>
          <w:bCs/>
          <w:sz w:val="32"/>
          <w:szCs w:val="32"/>
        </w:rPr>
        <w:t>（二）一般公共预算财政拨款支出决算结构情况</w:t>
      </w:r>
    </w:p>
    <w:p w14:paraId="1082591D">
      <w:pPr>
        <w:pStyle w:val="13"/>
        <w:ind w:firstLine="640" w:firstLineChars="200"/>
        <w:rPr>
          <w:rFonts w:ascii="仿宋_GB2312" w:hAnsi="Times New Roman" w:eastAsia="仿宋_GB2312"/>
          <w:sz w:val="32"/>
          <w:szCs w:val="32"/>
        </w:rPr>
      </w:pPr>
      <w:r>
        <w:rPr>
          <w:rFonts w:hint="eastAsia" w:ascii="仿宋_GB2312" w:hAnsi="Times New Roman" w:eastAsia="仿宋_GB2312"/>
          <w:sz w:val="32"/>
          <w:szCs w:val="32"/>
        </w:rPr>
        <w:t>2025年度财政拨款支出1945.84万元，主要用于以下方面：一般公共服务支出73.6万元，占3.78%，社会保障和就业（类）支出221.15万元，占11.36%;</w:t>
      </w:r>
      <w:r>
        <w:rPr>
          <w:rFonts w:hint="eastAsia" w:ascii="仿宋_GB2312" w:eastAsia="仿宋_GB2312" w:hAnsiTheme="minorEastAsia"/>
          <w:sz w:val="32"/>
          <w:szCs w:val="32"/>
        </w:rPr>
        <w:t>卫生健康（类）支出53.71万元，占2.76%;节能环保（类）支出10.55万元，占0.5%;农林水（类）支出1437.49万元，占73.87%;住房保障（类）支出149.34万元，占7.67%。</w:t>
      </w:r>
    </w:p>
    <w:p w14:paraId="1C8A625F">
      <w:pPr>
        <w:pStyle w:val="13"/>
        <w:ind w:firstLine="640" w:firstLineChars="200"/>
        <w:rPr>
          <w:rFonts w:ascii="楷体" w:hAnsi="楷体" w:eastAsia="楷体" w:cs="楷体"/>
          <w:bCs/>
          <w:sz w:val="32"/>
          <w:szCs w:val="32"/>
        </w:rPr>
      </w:pPr>
      <w:r>
        <w:rPr>
          <w:rFonts w:hint="eastAsia" w:ascii="楷体" w:hAnsi="楷体" w:eastAsia="楷体" w:cs="楷体"/>
          <w:bCs/>
          <w:sz w:val="32"/>
          <w:szCs w:val="32"/>
        </w:rPr>
        <w:t>（三）一般公共预算财政拨款支出决算具体情况</w:t>
      </w:r>
    </w:p>
    <w:p w14:paraId="7147EC1B">
      <w:pPr>
        <w:pStyle w:val="13"/>
        <w:ind w:firstLine="640" w:firstLineChars="200"/>
        <w:rPr>
          <w:rFonts w:ascii="仿宋_GB2312" w:hAnsi="Times New Roman" w:eastAsia="仿宋_GB2312"/>
          <w:sz w:val="32"/>
          <w:szCs w:val="32"/>
        </w:rPr>
      </w:pPr>
      <w:r>
        <w:rPr>
          <w:rFonts w:hint="eastAsia" w:ascii="仿宋_GB2312" w:hAnsi="Times New Roman" w:eastAsia="仿宋_GB2312"/>
          <w:sz w:val="32"/>
          <w:szCs w:val="32"/>
        </w:rPr>
        <w:t>2025年度财政拨款支出年初预算数为1802.73万元，支出决算数为1945.84万元，完成年初预算的107.94%，其中：</w:t>
      </w:r>
    </w:p>
    <w:p w14:paraId="6D72FD4C">
      <w:pPr>
        <w:pStyle w:val="13"/>
        <w:ind w:firstLine="640" w:firstLineChars="200"/>
        <w:rPr>
          <w:rFonts w:ascii="仿宋_GB2312" w:hAnsi="Times New Roman" w:eastAsia="仿宋_GB2312"/>
          <w:sz w:val="32"/>
          <w:szCs w:val="32"/>
        </w:rPr>
      </w:pPr>
      <w:r>
        <w:rPr>
          <w:rFonts w:hint="eastAsia" w:ascii="仿宋_GB2312" w:hAnsi="Times New Roman" w:eastAsia="仿宋_GB2312"/>
          <w:sz w:val="32"/>
          <w:szCs w:val="32"/>
        </w:rPr>
        <w:t>1、一般公共服务支出（类）其他一般公共服务支出（款）其他一般公共服务支出（项）。</w:t>
      </w:r>
    </w:p>
    <w:p w14:paraId="6B5078A4">
      <w:pPr>
        <w:pStyle w:val="13"/>
        <w:ind w:firstLine="640" w:firstLineChars="200"/>
        <w:rPr>
          <w:rFonts w:ascii="仿宋_GB2312" w:hAnsi="Times New Roman" w:eastAsia="仿宋_GB2312"/>
          <w:sz w:val="32"/>
          <w:szCs w:val="32"/>
        </w:rPr>
      </w:pPr>
      <w:r>
        <w:rPr>
          <w:rFonts w:hint="eastAsia" w:ascii="仿宋_GB2312" w:hAnsi="Times New Roman" w:eastAsia="仿宋_GB2312"/>
          <w:sz w:val="32"/>
          <w:szCs w:val="32"/>
        </w:rPr>
        <w:t>年初预算为0万元，支出决算为73.60万元，决算数大于预算数，主要原因是年终绩效考核奖金年初没有预算。</w:t>
      </w:r>
    </w:p>
    <w:p w14:paraId="2C539F51">
      <w:pPr>
        <w:pStyle w:val="13"/>
        <w:ind w:firstLine="640" w:firstLineChars="200"/>
        <w:rPr>
          <w:rFonts w:ascii="仿宋_GB2312" w:hAnsi="Times New Roman" w:eastAsia="仿宋_GB2312"/>
          <w:sz w:val="32"/>
          <w:szCs w:val="32"/>
        </w:rPr>
      </w:pPr>
      <w:r>
        <w:rPr>
          <w:rFonts w:hint="eastAsia" w:ascii="仿宋_GB2312" w:hAnsi="Times New Roman" w:eastAsia="仿宋_GB2312"/>
          <w:sz w:val="32"/>
          <w:szCs w:val="32"/>
        </w:rPr>
        <w:t>2、</w:t>
      </w:r>
      <w:r>
        <w:rPr>
          <w:rFonts w:hint="eastAsia" w:ascii="仿宋_GB2312" w:eastAsia="仿宋_GB2312" w:hAnsiTheme="minorEastAsia"/>
          <w:sz w:val="32"/>
          <w:szCs w:val="32"/>
        </w:rPr>
        <w:t>社会保障和就业支出（类）行政事业单位养老支出（款）机关事业单位基本养老保险缴费支出（项）</w:t>
      </w:r>
      <w:r>
        <w:rPr>
          <w:rFonts w:hint="eastAsia" w:ascii="仿宋_GB2312" w:hAnsi="Times New Roman" w:eastAsia="仿宋_GB2312"/>
          <w:sz w:val="32"/>
          <w:szCs w:val="32"/>
        </w:rPr>
        <w:t>。</w:t>
      </w:r>
    </w:p>
    <w:p w14:paraId="70D841E7">
      <w:pPr>
        <w:pStyle w:val="13"/>
        <w:ind w:firstLine="640" w:firstLineChars="200"/>
        <w:rPr>
          <w:rFonts w:ascii="仿宋_GB2312" w:hAnsi="Times New Roman" w:eastAsia="仿宋_GB2312"/>
          <w:sz w:val="32"/>
          <w:szCs w:val="32"/>
        </w:rPr>
      </w:pPr>
      <w:bookmarkStart w:id="5" w:name="OLE_LINK15"/>
      <w:bookmarkStart w:id="6" w:name="OLE_LINK14"/>
      <w:r>
        <w:rPr>
          <w:rFonts w:hint="eastAsia" w:ascii="仿宋_GB2312" w:hAnsi="Times New Roman" w:eastAsia="仿宋_GB2312"/>
          <w:sz w:val="32"/>
          <w:szCs w:val="32"/>
        </w:rPr>
        <w:t>年初预算为192.38万元，支出决算为192.38万元，完成年初预算的100%，</w:t>
      </w:r>
      <w:bookmarkStart w:id="7" w:name="OLE_LINK9"/>
      <w:bookmarkStart w:id="8" w:name="OLE_LINK13"/>
      <w:r>
        <w:rPr>
          <w:rFonts w:hint="eastAsia" w:ascii="仿宋_GB2312" w:hAnsi="Times New Roman" w:eastAsia="仿宋_GB2312"/>
          <w:sz w:val="32"/>
          <w:szCs w:val="32"/>
        </w:rPr>
        <w:t>决算数于预算数一致</w:t>
      </w:r>
      <w:bookmarkEnd w:id="7"/>
      <w:bookmarkEnd w:id="8"/>
      <w:r>
        <w:rPr>
          <w:rFonts w:hint="eastAsia" w:ascii="仿宋_GB2312" w:hAnsi="Times New Roman" w:eastAsia="仿宋_GB2312"/>
          <w:sz w:val="32"/>
          <w:szCs w:val="32"/>
        </w:rPr>
        <w:t>。</w:t>
      </w:r>
    </w:p>
    <w:bookmarkEnd w:id="5"/>
    <w:bookmarkEnd w:id="6"/>
    <w:p w14:paraId="5F726ABF">
      <w:pPr>
        <w:pStyle w:val="13"/>
        <w:ind w:firstLine="640" w:firstLineChars="200"/>
        <w:rPr>
          <w:rFonts w:ascii="仿宋_GB2312" w:hAnsi="Times New Roman" w:eastAsia="仿宋_GB2312"/>
          <w:sz w:val="32"/>
          <w:szCs w:val="32"/>
        </w:rPr>
      </w:pPr>
      <w:r>
        <w:rPr>
          <w:rFonts w:hint="eastAsia" w:ascii="仿宋_GB2312" w:hAnsi="Times New Roman" w:eastAsia="仿宋_GB2312"/>
          <w:sz w:val="32"/>
          <w:szCs w:val="32"/>
        </w:rPr>
        <w:t>3、</w:t>
      </w:r>
      <w:r>
        <w:rPr>
          <w:rFonts w:hint="eastAsia" w:ascii="仿宋_GB2312" w:eastAsia="仿宋_GB2312" w:hAnsiTheme="minorEastAsia"/>
          <w:sz w:val="32"/>
          <w:szCs w:val="32"/>
        </w:rPr>
        <w:t>社会保障和就业支出（类）</w:t>
      </w:r>
      <w:bookmarkStart w:id="9" w:name="OLE_LINK8"/>
      <w:bookmarkStart w:id="10" w:name="OLE_LINK6"/>
      <w:r>
        <w:rPr>
          <w:rFonts w:hint="eastAsia" w:ascii="仿宋_GB2312" w:eastAsia="仿宋_GB2312" w:hAnsiTheme="minorEastAsia"/>
          <w:sz w:val="32"/>
          <w:szCs w:val="32"/>
        </w:rPr>
        <w:t>其他社会保障和就业支出</w:t>
      </w:r>
      <w:bookmarkEnd w:id="9"/>
      <w:bookmarkEnd w:id="10"/>
      <w:r>
        <w:rPr>
          <w:rFonts w:hint="eastAsia" w:ascii="仿宋_GB2312" w:eastAsia="仿宋_GB2312" w:hAnsiTheme="minorEastAsia"/>
          <w:sz w:val="32"/>
          <w:szCs w:val="32"/>
        </w:rPr>
        <w:t>（款）其他社会保障和就业支出（项）</w:t>
      </w:r>
      <w:r>
        <w:rPr>
          <w:rFonts w:hint="eastAsia" w:ascii="仿宋_GB2312" w:hAnsi="Times New Roman" w:eastAsia="仿宋_GB2312"/>
          <w:sz w:val="32"/>
          <w:szCs w:val="32"/>
        </w:rPr>
        <w:t>。</w:t>
      </w:r>
    </w:p>
    <w:p w14:paraId="1724A394">
      <w:pPr>
        <w:pStyle w:val="13"/>
        <w:ind w:firstLine="640" w:firstLineChars="200"/>
        <w:rPr>
          <w:rFonts w:ascii="仿宋_GB2312" w:hAnsi="Times New Roman" w:eastAsia="仿宋_GB2312"/>
          <w:sz w:val="32"/>
          <w:szCs w:val="32"/>
        </w:rPr>
      </w:pPr>
      <w:r>
        <w:rPr>
          <w:rFonts w:hint="eastAsia" w:ascii="仿宋_GB2312" w:hAnsi="Times New Roman" w:eastAsia="仿宋_GB2312"/>
          <w:sz w:val="32"/>
          <w:szCs w:val="32"/>
        </w:rPr>
        <w:t>年初预算为28.77万元，支出决算为28.76万元，完成年初预算的99.97%，决算数</w:t>
      </w:r>
      <w:r>
        <w:rPr>
          <w:rFonts w:hint="eastAsia" w:ascii="仿宋_GB2312" w:hAnsi="Times New Roman" w:eastAsia="仿宋_GB2312"/>
          <w:sz w:val="32"/>
          <w:szCs w:val="32"/>
          <w:lang w:eastAsia="zh-CN"/>
        </w:rPr>
        <w:t>与</w:t>
      </w:r>
      <w:r>
        <w:rPr>
          <w:rFonts w:hint="eastAsia" w:ascii="仿宋_GB2312" w:hAnsi="Times New Roman" w:eastAsia="仿宋_GB2312"/>
          <w:sz w:val="32"/>
          <w:szCs w:val="32"/>
        </w:rPr>
        <w:t>预算数基本一致。</w:t>
      </w:r>
    </w:p>
    <w:p w14:paraId="41345983">
      <w:pPr>
        <w:pStyle w:val="13"/>
        <w:ind w:firstLine="640" w:firstLineChars="200"/>
        <w:rPr>
          <w:rFonts w:ascii="仿宋_GB2312" w:eastAsia="仿宋_GB2312" w:hAnsiTheme="minorEastAsia"/>
          <w:sz w:val="32"/>
          <w:szCs w:val="32"/>
        </w:rPr>
      </w:pPr>
      <w:r>
        <w:rPr>
          <w:rFonts w:hint="eastAsia" w:ascii="仿宋_GB2312" w:hAnsi="Times New Roman" w:eastAsia="仿宋_GB2312"/>
          <w:sz w:val="32"/>
          <w:szCs w:val="32"/>
        </w:rPr>
        <w:t>4、</w:t>
      </w:r>
      <w:r>
        <w:rPr>
          <w:rFonts w:hint="eastAsia" w:ascii="仿宋_GB2312" w:eastAsia="仿宋_GB2312" w:hAnsiTheme="minorEastAsia"/>
          <w:sz w:val="32"/>
          <w:szCs w:val="32"/>
        </w:rPr>
        <w:t>卫生健康支出（类）行政事业单位医疗（款）事业单位医疗（项）。</w:t>
      </w:r>
    </w:p>
    <w:p w14:paraId="3E0B910A">
      <w:pPr>
        <w:pStyle w:val="13"/>
        <w:ind w:firstLine="640" w:firstLineChars="200"/>
        <w:rPr>
          <w:rFonts w:ascii="仿宋_GB2312" w:eastAsia="仿宋_GB2312" w:hAnsiTheme="minorEastAsia"/>
          <w:sz w:val="32"/>
          <w:szCs w:val="32"/>
        </w:rPr>
      </w:pPr>
      <w:r>
        <w:rPr>
          <w:rFonts w:hint="eastAsia" w:ascii="仿宋_GB2312" w:eastAsia="仿宋_GB2312" w:hAnsiTheme="minorEastAsia"/>
          <w:sz w:val="32"/>
          <w:szCs w:val="32"/>
        </w:rPr>
        <w:t>年初预算为53.71万元，支出决算为53.71万元，</w:t>
      </w:r>
      <w:r>
        <w:rPr>
          <w:rFonts w:hint="eastAsia" w:ascii="仿宋_GB2312" w:hAnsi="Times New Roman" w:eastAsia="仿宋_GB2312"/>
          <w:sz w:val="32"/>
          <w:szCs w:val="32"/>
        </w:rPr>
        <w:t>完成年初预算的100%，</w:t>
      </w:r>
      <w:r>
        <w:rPr>
          <w:rFonts w:hint="eastAsia" w:ascii="仿宋_GB2312" w:eastAsia="仿宋_GB2312" w:hAnsiTheme="minorEastAsia"/>
          <w:sz w:val="32"/>
          <w:szCs w:val="32"/>
        </w:rPr>
        <w:t>决算数与年初预算数一致。</w:t>
      </w:r>
    </w:p>
    <w:p w14:paraId="011A976B">
      <w:pPr>
        <w:pStyle w:val="13"/>
        <w:ind w:firstLine="640" w:firstLineChars="200"/>
        <w:rPr>
          <w:rFonts w:ascii="仿宋_GB2312" w:eastAsia="仿宋_GB2312" w:hAnsiTheme="minorEastAsia"/>
          <w:sz w:val="32"/>
          <w:szCs w:val="32"/>
        </w:rPr>
      </w:pPr>
      <w:r>
        <w:rPr>
          <w:rFonts w:hint="eastAsia" w:ascii="仿宋_GB2312" w:hAnsi="Times New Roman" w:eastAsia="仿宋_GB2312"/>
          <w:sz w:val="32"/>
          <w:szCs w:val="32"/>
        </w:rPr>
        <w:t>5、</w:t>
      </w:r>
      <w:r>
        <w:rPr>
          <w:rFonts w:hint="eastAsia" w:ascii="仿宋_GB2312" w:eastAsia="仿宋_GB2312" w:hAnsiTheme="minorEastAsia"/>
          <w:sz w:val="32"/>
          <w:szCs w:val="32"/>
        </w:rPr>
        <w:t>节能环保支出（类）森林保护修复（款）森林管护（项）。</w:t>
      </w:r>
    </w:p>
    <w:p w14:paraId="6165384C">
      <w:pPr>
        <w:pStyle w:val="13"/>
        <w:ind w:firstLine="640" w:firstLineChars="200"/>
        <w:rPr>
          <w:rFonts w:ascii="仿宋_GB2312" w:eastAsia="仿宋_GB2312" w:hAnsiTheme="minorEastAsia"/>
          <w:sz w:val="32"/>
          <w:szCs w:val="32"/>
        </w:rPr>
      </w:pPr>
      <w:r>
        <w:rPr>
          <w:rFonts w:hint="eastAsia" w:ascii="仿宋_GB2312" w:eastAsia="仿宋_GB2312" w:hAnsiTheme="minorEastAsia"/>
          <w:sz w:val="32"/>
          <w:szCs w:val="32"/>
        </w:rPr>
        <w:t>年初预算为0万元，支出决算为4.02万元，决算数大于年初预算数的主要原因是：增加2025年中央第二批</w:t>
      </w:r>
      <w:bookmarkStart w:id="23" w:name="_GoBack"/>
      <w:bookmarkEnd w:id="23"/>
      <w:r>
        <w:rPr>
          <w:rFonts w:hint="eastAsia" w:ascii="仿宋_GB2312" w:eastAsia="仿宋_GB2312" w:hAnsiTheme="minorEastAsia"/>
          <w:sz w:val="32"/>
          <w:szCs w:val="32"/>
        </w:rPr>
        <w:t>国有林保护资金。</w:t>
      </w:r>
    </w:p>
    <w:p w14:paraId="3C1ED947">
      <w:pPr>
        <w:pStyle w:val="13"/>
        <w:ind w:firstLine="640" w:firstLineChars="200"/>
        <w:rPr>
          <w:rFonts w:ascii="仿宋_GB2312" w:eastAsia="仿宋_GB2312" w:hAnsiTheme="minorEastAsia"/>
          <w:sz w:val="32"/>
          <w:szCs w:val="32"/>
        </w:rPr>
      </w:pPr>
      <w:r>
        <w:rPr>
          <w:rFonts w:hint="eastAsia" w:ascii="仿宋_GB2312" w:hAnsi="Times New Roman" w:eastAsia="仿宋_GB2312"/>
          <w:sz w:val="32"/>
          <w:szCs w:val="32"/>
        </w:rPr>
        <w:t>6、</w:t>
      </w:r>
      <w:bookmarkStart w:id="11" w:name="OLE_LINK7"/>
      <w:r>
        <w:rPr>
          <w:rFonts w:hint="eastAsia" w:ascii="仿宋_GB2312" w:eastAsia="仿宋_GB2312" w:hAnsiTheme="minorEastAsia"/>
          <w:sz w:val="32"/>
          <w:szCs w:val="32"/>
        </w:rPr>
        <w:t>节能环保支出（类）森林保护修复（款）其他森林修复支出（项）。</w:t>
      </w:r>
    </w:p>
    <w:p w14:paraId="335603CD">
      <w:pPr>
        <w:pStyle w:val="13"/>
        <w:ind w:firstLine="640" w:firstLineChars="200"/>
        <w:rPr>
          <w:rFonts w:ascii="仿宋_GB2312" w:eastAsia="仿宋_GB2312" w:hAnsiTheme="minorEastAsia"/>
          <w:color w:val="auto"/>
          <w:sz w:val="32"/>
          <w:szCs w:val="32"/>
          <w:highlight w:val="red"/>
        </w:rPr>
      </w:pPr>
      <w:r>
        <w:rPr>
          <w:rFonts w:hint="eastAsia" w:ascii="仿宋_GB2312" w:eastAsia="仿宋_GB2312" w:hAnsiTheme="minorEastAsia"/>
          <w:sz w:val="32"/>
          <w:szCs w:val="32"/>
        </w:rPr>
        <w:t>年初预算为0万元，支出决算为6.53万元，决算数大于年初预算数的主要原因是：</w:t>
      </w:r>
      <w:bookmarkEnd w:id="11"/>
      <w:r>
        <w:rPr>
          <w:rFonts w:hint="eastAsia" w:ascii="仿宋_GB2312" w:eastAsia="仿宋_GB2312" w:hAnsiTheme="minorEastAsia"/>
          <w:sz w:val="32"/>
          <w:szCs w:val="32"/>
        </w:rPr>
        <w:t>增加2025年中央第二批森林可持续经营资金。</w:t>
      </w:r>
    </w:p>
    <w:p w14:paraId="6D37F9E9">
      <w:pPr>
        <w:pStyle w:val="13"/>
        <w:ind w:firstLine="640" w:firstLineChars="200"/>
        <w:rPr>
          <w:rFonts w:ascii="仿宋_GB2312" w:eastAsia="仿宋_GB2312" w:hAnsiTheme="minorEastAsia"/>
          <w:sz w:val="32"/>
          <w:szCs w:val="32"/>
        </w:rPr>
      </w:pPr>
      <w:r>
        <w:rPr>
          <w:rFonts w:hint="eastAsia" w:ascii="仿宋_GB2312" w:eastAsia="仿宋_GB2312" w:hAnsiTheme="minorEastAsia"/>
          <w:sz w:val="32"/>
          <w:szCs w:val="32"/>
        </w:rPr>
        <w:t>7、农林水支出（类）林业和草原（款）事业机构（项）。</w:t>
      </w:r>
    </w:p>
    <w:p w14:paraId="4B18A7EE">
      <w:pPr>
        <w:pStyle w:val="13"/>
        <w:ind w:firstLine="640" w:firstLineChars="200"/>
        <w:rPr>
          <w:rFonts w:ascii="仿宋_GB2312" w:eastAsia="仿宋_GB2312" w:hAnsiTheme="minorEastAsia"/>
          <w:color w:val="auto"/>
          <w:sz w:val="32"/>
          <w:szCs w:val="32"/>
        </w:rPr>
      </w:pPr>
      <w:r>
        <w:rPr>
          <w:rFonts w:hint="eastAsia" w:ascii="仿宋_GB2312" w:eastAsia="仿宋_GB2312" w:hAnsiTheme="minorEastAsia"/>
          <w:sz w:val="32"/>
          <w:szCs w:val="32"/>
        </w:rPr>
        <w:t>年初预算为1391.59万元，支出决算为1346.61万元，</w:t>
      </w:r>
      <w:r>
        <w:rPr>
          <w:rFonts w:hint="eastAsia" w:ascii="仿宋_GB2312" w:hAnsi="Times New Roman" w:eastAsia="仿宋_GB2312"/>
          <w:sz w:val="32"/>
          <w:szCs w:val="32"/>
        </w:rPr>
        <w:t>完成年初预算的96.77%，</w:t>
      </w:r>
      <w:r>
        <w:rPr>
          <w:rFonts w:hint="eastAsia" w:ascii="仿宋_GB2312" w:eastAsia="仿宋_GB2312" w:hAnsiTheme="minorEastAsia"/>
          <w:sz w:val="32"/>
          <w:szCs w:val="32"/>
        </w:rPr>
        <w:t>决算数小于年初预算数的主要原因是：</w:t>
      </w:r>
      <w:r>
        <w:rPr>
          <w:rFonts w:hint="eastAsia" w:ascii="仿宋_GB2312" w:eastAsia="仿宋_GB2312" w:hAnsiTheme="minorEastAsia"/>
          <w:color w:val="auto"/>
          <w:sz w:val="32"/>
          <w:szCs w:val="32"/>
        </w:rPr>
        <w:t>非税收入减少。</w:t>
      </w:r>
    </w:p>
    <w:p w14:paraId="3F8F84F9">
      <w:pPr>
        <w:pStyle w:val="13"/>
        <w:ind w:firstLine="640" w:firstLineChars="200"/>
        <w:rPr>
          <w:rFonts w:ascii="仿宋_GB2312" w:eastAsia="仿宋_GB2312" w:hAnsiTheme="minorEastAsia"/>
          <w:sz w:val="32"/>
          <w:szCs w:val="32"/>
        </w:rPr>
      </w:pPr>
      <w:r>
        <w:rPr>
          <w:rFonts w:hint="eastAsia" w:ascii="仿宋_GB2312" w:eastAsia="仿宋_GB2312" w:hAnsiTheme="minorEastAsia"/>
          <w:sz w:val="32"/>
          <w:szCs w:val="32"/>
        </w:rPr>
        <w:t>8、农林水支出（类）</w:t>
      </w:r>
      <w:bookmarkStart w:id="12" w:name="OLE_LINK10"/>
      <w:bookmarkStart w:id="13" w:name="OLE_LINK11"/>
      <w:r>
        <w:rPr>
          <w:rFonts w:hint="eastAsia" w:ascii="仿宋_GB2312" w:eastAsia="仿宋_GB2312" w:hAnsiTheme="minorEastAsia"/>
          <w:sz w:val="32"/>
          <w:szCs w:val="32"/>
        </w:rPr>
        <w:t>林业和草原</w:t>
      </w:r>
      <w:bookmarkEnd w:id="12"/>
      <w:bookmarkEnd w:id="13"/>
      <w:r>
        <w:rPr>
          <w:rFonts w:hint="eastAsia" w:ascii="仿宋_GB2312" w:eastAsia="仿宋_GB2312" w:hAnsiTheme="minorEastAsia"/>
          <w:sz w:val="32"/>
          <w:szCs w:val="32"/>
        </w:rPr>
        <w:t>（款）林业草原防灾减灾（项）。</w:t>
      </w:r>
    </w:p>
    <w:p w14:paraId="32308293">
      <w:pPr>
        <w:pStyle w:val="13"/>
        <w:ind w:firstLine="640" w:firstLineChars="200"/>
        <w:rPr>
          <w:rFonts w:ascii="仿宋_GB2312" w:eastAsia="仿宋_GB2312" w:hAnsiTheme="minorEastAsia"/>
          <w:sz w:val="32"/>
          <w:szCs w:val="32"/>
        </w:rPr>
      </w:pPr>
      <w:r>
        <w:rPr>
          <w:rFonts w:hint="eastAsia" w:ascii="仿宋_GB2312" w:eastAsia="仿宋_GB2312" w:hAnsiTheme="minorEastAsia"/>
          <w:sz w:val="32"/>
          <w:szCs w:val="32"/>
        </w:rPr>
        <w:t>年初预算为0万元，支出决算为9万元，决算数大于于年初预算数的主要原因是：结转2024年度全省森林防火基础能力提升两年行动省级奖补资金。</w:t>
      </w:r>
    </w:p>
    <w:p w14:paraId="3B25B90D">
      <w:pPr>
        <w:pStyle w:val="13"/>
        <w:ind w:firstLine="640" w:firstLineChars="200"/>
        <w:rPr>
          <w:rFonts w:ascii="仿宋_GB2312" w:eastAsia="仿宋_GB2312" w:hAnsiTheme="minorEastAsia"/>
          <w:sz w:val="32"/>
          <w:szCs w:val="32"/>
        </w:rPr>
      </w:pPr>
      <w:r>
        <w:rPr>
          <w:rFonts w:hint="eastAsia" w:ascii="仿宋_GB2312" w:eastAsia="仿宋_GB2312" w:hAnsiTheme="minorEastAsia"/>
          <w:sz w:val="32"/>
          <w:szCs w:val="32"/>
        </w:rPr>
        <w:t>9、农林水支出（类）林业和草原（款）其他林业和草原支出（项）。</w:t>
      </w:r>
    </w:p>
    <w:p w14:paraId="1C7E54A5">
      <w:pPr>
        <w:pStyle w:val="13"/>
        <w:ind w:firstLine="640" w:firstLineChars="200"/>
        <w:rPr>
          <w:rFonts w:ascii="仿宋_GB2312" w:eastAsia="仿宋_GB2312" w:hAnsiTheme="minorEastAsia"/>
          <w:sz w:val="32"/>
          <w:szCs w:val="32"/>
        </w:rPr>
      </w:pPr>
      <w:r>
        <w:rPr>
          <w:rFonts w:hint="eastAsia" w:ascii="仿宋_GB2312" w:eastAsia="仿宋_GB2312" w:hAnsiTheme="minorEastAsia"/>
          <w:sz w:val="32"/>
          <w:szCs w:val="32"/>
        </w:rPr>
        <w:t>年初预算为99.95万元，支出决算为81.89万元，决算数小于年初预算数的主要原因是：防火经费项目年底前已完工结算，项目资金财政未全部支付。</w:t>
      </w:r>
    </w:p>
    <w:p w14:paraId="1FF7119E">
      <w:pPr>
        <w:pStyle w:val="13"/>
        <w:ind w:firstLine="640" w:firstLineChars="200"/>
        <w:rPr>
          <w:rFonts w:ascii="仿宋_GB2312" w:eastAsia="仿宋_GB2312" w:hAnsiTheme="minorEastAsia"/>
          <w:sz w:val="32"/>
          <w:szCs w:val="32"/>
        </w:rPr>
      </w:pPr>
      <w:r>
        <w:rPr>
          <w:rFonts w:hint="eastAsia" w:ascii="仿宋_GB2312" w:eastAsia="仿宋_GB2312" w:hAnsiTheme="minorEastAsia"/>
          <w:sz w:val="32"/>
          <w:szCs w:val="32"/>
        </w:rPr>
        <w:t>10、住房保障支出（类）住房改革支出（款）住房公积金（项）</w:t>
      </w:r>
    </w:p>
    <w:p w14:paraId="0F4E6803">
      <w:pPr>
        <w:pStyle w:val="13"/>
        <w:ind w:firstLine="640" w:firstLineChars="200"/>
        <w:rPr>
          <w:rFonts w:ascii="仿宋_GB2312" w:eastAsia="仿宋_GB2312" w:hAnsiTheme="minorEastAsia"/>
          <w:sz w:val="32"/>
          <w:szCs w:val="32"/>
        </w:rPr>
      </w:pPr>
      <w:r>
        <w:rPr>
          <w:rFonts w:hint="eastAsia" w:ascii="仿宋_GB2312" w:eastAsia="仿宋_GB2312" w:hAnsiTheme="minorEastAsia"/>
          <w:sz w:val="32"/>
          <w:szCs w:val="32"/>
        </w:rPr>
        <w:t>年初预算为136.28万元，支出决算为149.34万元，完成年初预算的109.58%，决算数大于年初预算数的原因是：年终绩效考核奖配套的住房公积金未纳入年初预算。</w:t>
      </w:r>
    </w:p>
    <w:p w14:paraId="7F97025D">
      <w:pPr>
        <w:pStyle w:val="13"/>
        <w:ind w:firstLine="640" w:firstLineChars="200"/>
        <w:rPr>
          <w:rFonts w:hAnsi="黑体"/>
          <w:bCs/>
          <w:sz w:val="32"/>
          <w:szCs w:val="32"/>
        </w:rPr>
      </w:pPr>
      <w:r>
        <w:rPr>
          <w:rFonts w:hint="eastAsia" w:hAnsi="黑体"/>
          <w:bCs/>
          <w:sz w:val="32"/>
          <w:szCs w:val="32"/>
        </w:rPr>
        <w:t>六、一般公共预算财政拨款基本支出决算情况说明</w:t>
      </w:r>
    </w:p>
    <w:p w14:paraId="2D74BE50">
      <w:pPr>
        <w:pStyle w:val="13"/>
        <w:ind w:firstLine="640" w:firstLineChars="200"/>
        <w:rPr>
          <w:rFonts w:ascii="仿宋_GB2312" w:hAnsi="Times New Roman" w:eastAsia="仿宋_GB2312"/>
          <w:sz w:val="32"/>
          <w:szCs w:val="32"/>
        </w:rPr>
      </w:pPr>
      <w:r>
        <w:rPr>
          <w:rFonts w:hint="eastAsia" w:ascii="仿宋_GB2312" w:hAnsi="Times New Roman" w:eastAsia="仿宋_GB2312"/>
          <w:sz w:val="32"/>
          <w:szCs w:val="32"/>
        </w:rPr>
        <w:t>2025年度财政拨款基本支出1844.40万元，其中：</w:t>
      </w:r>
    </w:p>
    <w:p w14:paraId="3CD48376">
      <w:pPr>
        <w:pStyle w:val="13"/>
        <w:ind w:firstLine="640" w:firstLineChars="200"/>
        <w:rPr>
          <w:rFonts w:ascii="仿宋_GB2312" w:hAnsi="Times New Roman" w:eastAsia="仿宋_GB2312"/>
          <w:sz w:val="32"/>
          <w:szCs w:val="32"/>
        </w:rPr>
      </w:pPr>
      <w:r>
        <w:rPr>
          <w:rFonts w:hint="eastAsia" w:ascii="仿宋_GB2312" w:hAnsi="Times New Roman" w:eastAsia="仿宋_GB2312"/>
          <w:b/>
          <w:bCs/>
          <w:sz w:val="32"/>
          <w:szCs w:val="32"/>
        </w:rPr>
        <w:t>人员经费</w:t>
      </w:r>
      <w:r>
        <w:rPr>
          <w:rFonts w:hint="eastAsia" w:ascii="仿宋_GB2312" w:hAnsi="Times New Roman" w:eastAsia="仿宋_GB2312"/>
          <w:sz w:val="32"/>
          <w:szCs w:val="32"/>
        </w:rPr>
        <w:t>1700.38万元，占基本支出的92.19%,主要包括基本工资、津贴补贴、奖金、</w:t>
      </w:r>
      <w:r>
        <w:rPr>
          <w:rFonts w:hint="eastAsia" w:ascii="仿宋_GB2312" w:eastAsia="仿宋_GB2312" w:hAnsiTheme="minorEastAsia"/>
          <w:sz w:val="32"/>
          <w:szCs w:val="32"/>
        </w:rPr>
        <w:t>绩效工资、机关事业单位基本养老保险缴费、职工基本医疗保险缴费、其他社会保障缴费、住房公积金、生活补助</w:t>
      </w:r>
      <w:r>
        <w:rPr>
          <w:rFonts w:hint="eastAsia" w:ascii="仿宋_GB2312" w:hAnsi="Times New Roman" w:eastAsia="仿宋_GB2312"/>
          <w:sz w:val="32"/>
          <w:szCs w:val="32"/>
        </w:rPr>
        <w:t>。</w:t>
      </w:r>
    </w:p>
    <w:p w14:paraId="7038D611">
      <w:pPr>
        <w:pStyle w:val="13"/>
        <w:ind w:firstLine="640" w:firstLineChars="200"/>
        <w:rPr>
          <w:rFonts w:ascii="仿宋_GB2312" w:hAnsi="Times New Roman" w:eastAsia="仿宋_GB2312"/>
          <w:b/>
          <w:sz w:val="32"/>
          <w:szCs w:val="32"/>
        </w:rPr>
      </w:pPr>
      <w:r>
        <w:rPr>
          <w:rFonts w:hint="eastAsia" w:ascii="仿宋_GB2312" w:hAnsi="Times New Roman" w:eastAsia="仿宋_GB2312"/>
          <w:b/>
          <w:bCs/>
          <w:sz w:val="32"/>
          <w:szCs w:val="32"/>
        </w:rPr>
        <w:t>公用经费</w:t>
      </w:r>
      <w:r>
        <w:rPr>
          <w:rFonts w:hint="eastAsia" w:ascii="仿宋_GB2312" w:hAnsi="Times New Roman" w:eastAsia="仿宋_GB2312"/>
          <w:sz w:val="32"/>
          <w:szCs w:val="32"/>
        </w:rPr>
        <w:t>144.02万元，占基本支出的7.8%，主要包括办公费、</w:t>
      </w:r>
      <w:r>
        <w:rPr>
          <w:rFonts w:hint="eastAsia" w:ascii="仿宋_GB2312" w:eastAsia="仿宋_GB2312" w:hAnsiTheme="minorEastAsia"/>
          <w:sz w:val="32"/>
          <w:szCs w:val="32"/>
        </w:rPr>
        <w:t>手续费、水费、电费、邮电费、差旅费、维修（护）费、培训费、公务接待费、劳务费、工会费、福利费、公务用车运行维护费、其他商品和服务支出。</w:t>
      </w:r>
    </w:p>
    <w:p w14:paraId="547A615F">
      <w:pPr>
        <w:pStyle w:val="13"/>
        <w:ind w:firstLine="640" w:firstLineChars="200"/>
        <w:rPr>
          <w:rFonts w:ascii="Times New Roman" w:hAnsi="Times New Roman" w:eastAsia="仿宋_GB2312"/>
          <w:b/>
          <w:sz w:val="32"/>
          <w:szCs w:val="32"/>
        </w:rPr>
      </w:pPr>
      <w:r>
        <w:rPr>
          <w:rFonts w:hint="eastAsia" w:hAnsi="黑体"/>
          <w:bCs/>
          <w:sz w:val="32"/>
          <w:szCs w:val="32"/>
        </w:rPr>
        <w:t>七、财政拨款“三公”经费支出决算情况说明</w:t>
      </w:r>
    </w:p>
    <w:p w14:paraId="00366A8D">
      <w:pPr>
        <w:pStyle w:val="13"/>
        <w:ind w:firstLine="640" w:firstLineChars="200"/>
        <w:rPr>
          <w:rFonts w:ascii="楷体" w:hAnsi="楷体" w:eastAsia="楷体" w:cs="楷体"/>
          <w:b/>
          <w:sz w:val="32"/>
          <w:szCs w:val="32"/>
        </w:rPr>
      </w:pPr>
      <w:r>
        <w:rPr>
          <w:rFonts w:hint="eastAsia" w:ascii="楷体" w:hAnsi="楷体" w:eastAsia="楷体" w:cs="楷体"/>
          <w:b/>
          <w:sz w:val="32"/>
          <w:szCs w:val="32"/>
        </w:rPr>
        <w:t>（一）“三公”经费财政拨款支出决算总体情况说明</w:t>
      </w:r>
    </w:p>
    <w:p w14:paraId="0AB57432">
      <w:pPr>
        <w:pStyle w:val="13"/>
        <w:ind w:firstLine="640" w:firstLineChars="200"/>
        <w:rPr>
          <w:rFonts w:ascii="仿宋_GB2312" w:hAnsi="Times New Roman" w:eastAsia="仿宋_GB2312"/>
          <w:sz w:val="32"/>
          <w:szCs w:val="32"/>
        </w:rPr>
      </w:pPr>
      <w:r>
        <w:rPr>
          <w:rFonts w:hint="eastAsia" w:ascii="仿宋_GB2312" w:hAnsi="Times New Roman" w:eastAsia="仿宋_GB2312"/>
          <w:sz w:val="32"/>
          <w:szCs w:val="32"/>
        </w:rPr>
        <w:t>2025年度“三公”经费财政拨款支出预算为8万元，支出决算为2.96万元，完成预算的37%；与上年相比减少3.5万元，降底54%。决算数小于预算数及比上年下降的主要原因是</w:t>
      </w:r>
      <w:bookmarkStart w:id="14" w:name="OLE_LINK22"/>
      <w:bookmarkStart w:id="15" w:name="OLE_LINK23"/>
      <w:r>
        <w:rPr>
          <w:rFonts w:hint="eastAsia" w:ascii="仿宋_GB2312" w:hAnsi="宋体" w:eastAsia="仿宋_GB2312" w:cs="Arial"/>
          <w:sz w:val="32"/>
          <w:szCs w:val="32"/>
        </w:rPr>
        <w:t>厉行节约，加强管理，控制接待规模，压缩开支</w:t>
      </w:r>
      <w:bookmarkEnd w:id="14"/>
      <w:bookmarkEnd w:id="15"/>
      <w:r>
        <w:rPr>
          <w:rFonts w:hint="eastAsia" w:ascii="仿宋_GB2312" w:hAnsi="宋体" w:eastAsia="仿宋_GB2312" w:cs="Arial"/>
          <w:sz w:val="32"/>
          <w:szCs w:val="32"/>
        </w:rPr>
        <w:t>。</w:t>
      </w:r>
    </w:p>
    <w:p w14:paraId="1706DA4C">
      <w:pPr>
        <w:pStyle w:val="13"/>
        <w:ind w:firstLine="640" w:firstLineChars="200"/>
        <w:rPr>
          <w:rFonts w:ascii="楷体" w:hAnsi="楷体" w:eastAsia="楷体" w:cs="楷体"/>
          <w:b/>
          <w:sz w:val="32"/>
          <w:szCs w:val="32"/>
        </w:rPr>
      </w:pPr>
      <w:r>
        <w:rPr>
          <w:rFonts w:hint="eastAsia" w:ascii="楷体" w:hAnsi="楷体" w:eastAsia="楷体" w:cs="楷体"/>
          <w:b/>
          <w:sz w:val="32"/>
          <w:szCs w:val="32"/>
        </w:rPr>
        <w:t>（二）“三公”经费财政拨款支出决算具体情况说明</w:t>
      </w:r>
    </w:p>
    <w:p w14:paraId="4F3A4636">
      <w:pPr>
        <w:pStyle w:val="13"/>
        <w:ind w:firstLine="640" w:firstLineChars="200"/>
        <w:rPr>
          <w:rFonts w:ascii="仿宋_GB2312" w:hAnsi="Times New Roman" w:eastAsia="仿宋_GB2312"/>
          <w:sz w:val="32"/>
          <w:szCs w:val="32"/>
        </w:rPr>
      </w:pPr>
      <w:r>
        <w:rPr>
          <w:rFonts w:hint="eastAsia" w:ascii="仿宋_GB2312" w:hAnsi="Times New Roman" w:eastAsia="仿宋_GB2312"/>
          <w:sz w:val="32"/>
          <w:szCs w:val="32"/>
        </w:rPr>
        <w:t>2025年度“三公”经费财政拨款支出决算中，公务接待费支出决算0.06万元，占2.12%,因公出国（境）费支出决算0万元，公务用车购置费及运行维护费支出决算2.9万元，占97.97%。其中：</w:t>
      </w:r>
    </w:p>
    <w:p w14:paraId="20802C7C">
      <w:pPr>
        <w:pStyle w:val="13"/>
        <w:ind w:firstLine="640" w:firstLineChars="200"/>
        <w:rPr>
          <w:rFonts w:ascii="仿宋_GB2312" w:hAnsi="Times New Roman" w:eastAsia="仿宋_GB2312"/>
          <w:b/>
          <w:sz w:val="32"/>
          <w:szCs w:val="32"/>
        </w:rPr>
      </w:pPr>
      <w:r>
        <w:rPr>
          <w:rFonts w:hint="eastAsia" w:ascii="仿宋_GB2312" w:hAnsi="Times New Roman" w:eastAsia="仿宋_GB2312"/>
          <w:sz w:val="32"/>
          <w:szCs w:val="32"/>
        </w:rPr>
        <w:t>1、因公出国（境）费支出预算为0万元，支出决算为0万元；与上年相比</w:t>
      </w:r>
      <w:r>
        <w:rPr>
          <w:rFonts w:hint="eastAsia" w:ascii="仿宋_GB2312" w:hAnsi="Times New Roman" w:eastAsia="仿宋_GB2312"/>
          <w:color w:val="000000" w:themeColor="text1"/>
          <w:sz w:val="32"/>
          <w:szCs w:val="32"/>
        </w:rPr>
        <w:t>增加（减少）0万元，增长（降低）0%</w:t>
      </w:r>
      <w:r>
        <w:rPr>
          <w:rFonts w:hint="eastAsia" w:ascii="仿宋_GB2312" w:hAnsi="Times New Roman" w:eastAsia="仿宋_GB2312"/>
          <w:sz w:val="32"/>
          <w:szCs w:val="32"/>
        </w:rPr>
        <w:t>。2025年度安排因公出国（境）团组0个，累计0人。</w:t>
      </w:r>
    </w:p>
    <w:p w14:paraId="1BEF36D8">
      <w:pPr>
        <w:pStyle w:val="13"/>
        <w:ind w:firstLine="640" w:firstLineChars="200"/>
        <w:rPr>
          <w:rFonts w:ascii="仿宋_GB2312" w:hAnsi="Times New Roman" w:eastAsia="仿宋_GB2312"/>
          <w:sz w:val="32"/>
          <w:szCs w:val="32"/>
        </w:rPr>
      </w:pPr>
      <w:r>
        <w:rPr>
          <w:rFonts w:hint="eastAsia" w:ascii="仿宋_GB2312" w:hAnsi="Times New Roman" w:eastAsia="仿宋_GB2312"/>
          <w:sz w:val="32"/>
          <w:szCs w:val="32"/>
        </w:rPr>
        <w:t>2、公务用车购置费及运行维护费支出预算为7万元，支出决算为2.9万元，完成预算的41.43%；</w:t>
      </w:r>
      <w:bookmarkStart w:id="16" w:name="OLE_LINK18"/>
      <w:bookmarkStart w:id="17" w:name="OLE_LINK19"/>
      <w:r>
        <w:rPr>
          <w:rFonts w:hint="eastAsia" w:ascii="仿宋_GB2312" w:hAnsi="Times New Roman" w:eastAsia="仿宋_GB2312"/>
          <w:sz w:val="32"/>
          <w:szCs w:val="32"/>
        </w:rPr>
        <w:t>与上年相比降低2.64万元，下降47.65%。</w:t>
      </w:r>
      <w:bookmarkEnd w:id="16"/>
      <w:bookmarkEnd w:id="17"/>
      <w:r>
        <w:rPr>
          <w:rFonts w:hint="eastAsia" w:ascii="仿宋_GB2312" w:hAnsi="Times New Roman" w:eastAsia="仿宋_GB2312"/>
          <w:sz w:val="32"/>
          <w:szCs w:val="32"/>
        </w:rPr>
        <w:t>其中：</w:t>
      </w:r>
    </w:p>
    <w:p w14:paraId="6F02C7D4">
      <w:pPr>
        <w:pStyle w:val="13"/>
        <w:ind w:firstLine="640" w:firstLineChars="200"/>
        <w:rPr>
          <w:rFonts w:ascii="仿宋_GB2312" w:hAnsi="Times New Roman" w:eastAsia="仿宋_GB2312"/>
          <w:color w:val="000000" w:themeColor="text1"/>
          <w:sz w:val="32"/>
          <w:szCs w:val="32"/>
        </w:rPr>
      </w:pPr>
      <w:r>
        <w:rPr>
          <w:rFonts w:hint="eastAsia" w:ascii="仿宋_GB2312" w:hAnsi="Times New Roman" w:eastAsia="仿宋_GB2312"/>
          <w:sz w:val="32"/>
          <w:szCs w:val="32"/>
        </w:rPr>
        <w:t>公务用车购置费支出预算为0万元，支出决算为0万元</w:t>
      </w:r>
      <w:r>
        <w:rPr>
          <w:rFonts w:hint="eastAsia" w:ascii="仿宋_GB2312" w:hAnsi="Times New Roman" w:eastAsia="仿宋_GB2312"/>
          <w:color w:val="000000" w:themeColor="text1"/>
          <w:sz w:val="32"/>
          <w:szCs w:val="32"/>
        </w:rPr>
        <w:t>。与上年相比</w:t>
      </w:r>
      <w:bookmarkStart w:id="18" w:name="OLE_LINK17"/>
      <w:bookmarkStart w:id="19" w:name="OLE_LINK16"/>
      <w:r>
        <w:rPr>
          <w:rFonts w:hint="eastAsia" w:ascii="仿宋_GB2312" w:hAnsi="Times New Roman" w:eastAsia="仿宋_GB2312"/>
          <w:color w:val="000000" w:themeColor="text1"/>
          <w:sz w:val="32"/>
          <w:szCs w:val="32"/>
        </w:rPr>
        <w:t>增加（减少）0万元，上升（降低）0%</w:t>
      </w:r>
      <w:bookmarkEnd w:id="18"/>
      <w:bookmarkEnd w:id="19"/>
      <w:r>
        <w:rPr>
          <w:rFonts w:hint="eastAsia" w:ascii="仿宋_GB2312" w:hAnsi="Times New Roman" w:eastAsia="仿宋_GB2312"/>
          <w:color w:val="000000" w:themeColor="text1"/>
          <w:sz w:val="32"/>
          <w:szCs w:val="32"/>
        </w:rPr>
        <w:t>。</w:t>
      </w:r>
    </w:p>
    <w:p w14:paraId="11CC50F6">
      <w:pPr>
        <w:pStyle w:val="13"/>
        <w:ind w:firstLine="640" w:firstLineChars="200"/>
        <w:rPr>
          <w:rFonts w:ascii="仿宋_GB2312" w:hAnsi="Times New Roman" w:eastAsia="仿宋_GB2312"/>
          <w:sz w:val="32"/>
          <w:szCs w:val="32"/>
        </w:rPr>
      </w:pPr>
      <w:r>
        <w:rPr>
          <w:rFonts w:hint="eastAsia" w:ascii="仿宋_GB2312" w:hAnsi="Times New Roman" w:eastAsia="仿宋_GB2312"/>
          <w:sz w:val="32"/>
          <w:szCs w:val="32"/>
        </w:rPr>
        <w:t>公务用车运行维护费预算支出为7万元，支出决算为2.9万元，主要是</w:t>
      </w:r>
      <w:r>
        <w:rPr>
          <w:rFonts w:hint="eastAsia" w:ascii="仿宋_GB2312" w:eastAsia="仿宋_GB2312" w:hAnsiTheme="minorEastAsia"/>
          <w:sz w:val="32"/>
          <w:szCs w:val="32"/>
        </w:rPr>
        <w:t>车辆保险、燃油、维修费、高速费</w:t>
      </w:r>
      <w:r>
        <w:rPr>
          <w:rFonts w:hint="eastAsia" w:ascii="仿宋_GB2312" w:hAnsi="Times New Roman" w:eastAsia="仿宋_GB2312"/>
          <w:sz w:val="32"/>
          <w:szCs w:val="32"/>
        </w:rPr>
        <w:t>支出，完成预算的41.43%，与上年相比减少2.64万元，降低47.65%。决算数小于上年数的主要原因是车辆维修费用降低，截止2025年12月31日，我单位开支财政拨款的公务用车保有量为3辆。</w:t>
      </w:r>
    </w:p>
    <w:p w14:paraId="069A3943">
      <w:pPr>
        <w:pStyle w:val="13"/>
        <w:ind w:firstLine="640" w:firstLineChars="200"/>
        <w:rPr>
          <w:rFonts w:ascii="仿宋_GB2312" w:hAnsi="Times New Roman" w:eastAsia="仿宋_GB2312"/>
          <w:sz w:val="32"/>
          <w:szCs w:val="32"/>
        </w:rPr>
      </w:pPr>
      <w:r>
        <w:rPr>
          <w:rFonts w:hint="eastAsia" w:ascii="仿宋_GB2312" w:hAnsi="Times New Roman" w:eastAsia="仿宋_GB2312"/>
          <w:sz w:val="32"/>
          <w:szCs w:val="32"/>
        </w:rPr>
        <w:t>3、公务接待费支出预算为1万元，支出决算为0.06万元，完成预算的6.3%；与上年相比减少0.86万元，降低93.48%。决算数小于预算数的主要原因是</w:t>
      </w:r>
      <w:r>
        <w:rPr>
          <w:rFonts w:hint="eastAsia" w:ascii="仿宋_GB2312" w:hAnsi="宋体" w:eastAsia="仿宋_GB2312" w:cs="Arial"/>
          <w:sz w:val="32"/>
          <w:szCs w:val="32"/>
        </w:rPr>
        <w:t>厉行节约，加强管理，控制接待规模，压缩开支。决算数小于上年决算数的主要原因是公务接待减少。</w:t>
      </w:r>
    </w:p>
    <w:p w14:paraId="6F0E8116">
      <w:pPr>
        <w:ind w:firstLine="640" w:firstLineChars="200"/>
        <w:rPr>
          <w:rFonts w:ascii="黑体" w:hAnsi="黑体" w:eastAsia="黑体"/>
          <w:bCs/>
          <w:sz w:val="32"/>
          <w:szCs w:val="32"/>
        </w:rPr>
      </w:pPr>
      <w:r>
        <w:rPr>
          <w:rFonts w:hint="eastAsia" w:ascii="黑体" w:hAnsi="黑体" w:eastAsia="黑体"/>
          <w:bCs/>
          <w:sz w:val="32"/>
          <w:szCs w:val="32"/>
        </w:rPr>
        <w:t>八、政府性基金预算收入支出决算情况</w:t>
      </w:r>
    </w:p>
    <w:p w14:paraId="2C0C9420">
      <w:pPr>
        <w:pStyle w:val="13"/>
        <w:ind w:firstLine="640" w:firstLineChars="200"/>
        <w:rPr>
          <w:rFonts w:ascii="仿宋_GB2312" w:hAnsi="楷体" w:eastAsia="仿宋_GB2312" w:cs="楷体"/>
          <w:b/>
          <w:bCs/>
          <w:i/>
          <w:color w:val="auto"/>
          <w:sz w:val="32"/>
          <w:szCs w:val="32"/>
        </w:rPr>
      </w:pPr>
      <w:r>
        <w:rPr>
          <w:rFonts w:hint="eastAsia" w:ascii="仿宋_GB2312" w:hAnsi="Times New Roman" w:eastAsia="仿宋_GB2312"/>
          <w:sz w:val="32"/>
          <w:szCs w:val="32"/>
        </w:rPr>
        <w:t>2025年度本单位无政府性基金预算财政拨款收入。</w:t>
      </w:r>
    </w:p>
    <w:p w14:paraId="6BF3BB09">
      <w:pPr>
        <w:pStyle w:val="13"/>
        <w:ind w:firstLine="640" w:firstLineChars="200"/>
        <w:rPr>
          <w:rFonts w:hAnsi="黑体"/>
          <w:color w:val="auto"/>
          <w:sz w:val="32"/>
          <w:szCs w:val="32"/>
        </w:rPr>
      </w:pPr>
      <w:r>
        <w:rPr>
          <w:rFonts w:hint="eastAsia" w:hAnsi="黑体"/>
          <w:color w:val="auto"/>
          <w:sz w:val="32"/>
          <w:szCs w:val="32"/>
        </w:rPr>
        <w:t>九、国有资本经营预算收入支出决算情况</w:t>
      </w:r>
    </w:p>
    <w:p w14:paraId="11F45C0E">
      <w:pPr>
        <w:pStyle w:val="13"/>
        <w:ind w:firstLine="640" w:firstLineChars="200"/>
        <w:rPr>
          <w:rFonts w:ascii="Times New Roman" w:hAnsi="Times New Roman" w:eastAsia="仿宋_GB2312"/>
          <w:b/>
          <w:color w:val="auto"/>
          <w:sz w:val="32"/>
          <w:szCs w:val="32"/>
        </w:rPr>
      </w:pPr>
      <w:r>
        <w:rPr>
          <w:rFonts w:hint="eastAsia" w:ascii="仿宋_GB2312" w:eastAsia="仿宋_GB2312" w:cs="仿宋" w:hAnsiTheme="minorEastAsia"/>
          <w:color w:val="auto"/>
          <w:sz w:val="32"/>
          <w:szCs w:val="32"/>
        </w:rPr>
        <w:t>2025年本单位无</w:t>
      </w:r>
      <w:r>
        <w:rPr>
          <w:rFonts w:hint="eastAsia" w:ascii="仿宋_GB2312" w:eastAsia="仿宋_GB2312" w:cs="仿宋" w:hAnsiTheme="minorEastAsia"/>
          <w:bCs/>
          <w:sz w:val="32"/>
          <w:szCs w:val="32"/>
        </w:rPr>
        <w:t>国有资本经营预算财政拨款收支</w:t>
      </w:r>
      <w:r>
        <w:rPr>
          <w:rFonts w:hint="eastAsia" w:ascii="仿宋_GB2312" w:eastAsia="仿宋_GB2312" w:cs="仿宋" w:hAnsiTheme="minorEastAsia"/>
          <w:color w:val="auto"/>
          <w:sz w:val="32"/>
          <w:szCs w:val="32"/>
        </w:rPr>
        <w:t>。</w:t>
      </w:r>
    </w:p>
    <w:p w14:paraId="245B37F4">
      <w:pPr>
        <w:pStyle w:val="13"/>
        <w:ind w:firstLine="640" w:firstLineChars="200"/>
        <w:rPr>
          <w:rFonts w:hAnsi="黑体"/>
          <w:color w:val="auto"/>
          <w:sz w:val="32"/>
          <w:szCs w:val="32"/>
        </w:rPr>
      </w:pPr>
      <w:r>
        <w:rPr>
          <w:rFonts w:hint="eastAsia" w:hAnsi="黑体"/>
          <w:color w:val="auto"/>
          <w:sz w:val="32"/>
          <w:szCs w:val="32"/>
        </w:rPr>
        <w:t>十、关于机关运行经费支出说明</w:t>
      </w:r>
    </w:p>
    <w:p w14:paraId="315A3FFB">
      <w:pPr>
        <w:pStyle w:val="13"/>
        <w:ind w:firstLine="640" w:firstLineChars="200"/>
        <w:rPr>
          <w:rFonts w:ascii="仿宋_GB2312" w:hAnsi="Times New Roman" w:eastAsia="仿宋_GB2312"/>
          <w:sz w:val="32"/>
          <w:szCs w:val="32"/>
        </w:rPr>
      </w:pPr>
      <w:r>
        <w:rPr>
          <w:rFonts w:hint="eastAsia" w:ascii="仿宋_GB2312" w:hAnsi="Times New Roman" w:eastAsia="仿宋_GB2312"/>
          <w:sz w:val="32"/>
          <w:szCs w:val="32"/>
        </w:rPr>
        <w:t>本部门2025年度机关运行经费支出0万元，</w:t>
      </w:r>
      <w:r>
        <w:rPr>
          <w:rFonts w:hint="eastAsia" w:ascii="仿宋_GB2312" w:eastAsia="仿宋_GB2312" w:hAnsiTheme="minorEastAsia"/>
          <w:sz w:val="32"/>
          <w:szCs w:val="32"/>
        </w:rPr>
        <w:t>我单位为差额拨款事业单位，故没有机关运行经费。</w:t>
      </w:r>
    </w:p>
    <w:p w14:paraId="7DF8376B">
      <w:pPr>
        <w:pStyle w:val="13"/>
        <w:ind w:firstLine="640" w:firstLineChars="200"/>
        <w:rPr>
          <w:rFonts w:hAnsi="黑体"/>
          <w:bCs/>
          <w:sz w:val="32"/>
          <w:szCs w:val="32"/>
        </w:rPr>
      </w:pPr>
      <w:r>
        <w:rPr>
          <w:rFonts w:hint="eastAsia" w:hAnsi="黑体"/>
          <w:bCs/>
          <w:sz w:val="32"/>
          <w:szCs w:val="32"/>
        </w:rPr>
        <w:t>十一、一般性支出情况说明</w:t>
      </w:r>
    </w:p>
    <w:p w14:paraId="4828B6A3">
      <w:pPr>
        <w:pStyle w:val="13"/>
        <w:ind w:firstLine="640" w:firstLineChars="200"/>
        <w:rPr>
          <w:rFonts w:ascii="仿宋_GB2312" w:hAnsi="Times New Roman" w:eastAsia="仿宋_GB2312"/>
          <w:sz w:val="32"/>
          <w:szCs w:val="32"/>
        </w:rPr>
      </w:pPr>
      <w:r>
        <w:rPr>
          <w:rFonts w:hint="eastAsia" w:ascii="仿宋_GB2312" w:hAnsi="Times New Roman" w:eastAsia="仿宋_GB2312"/>
          <w:sz w:val="32"/>
          <w:szCs w:val="32"/>
        </w:rPr>
        <w:t>2025年本部门开支会议费0万元；开支培训费3.09万元，用于开展在职人员培训，人数114人，内容为参加人社部门组织的在职职工继续教育培训；举办节庆、晚会、论坛、赛事活动，开支0万元。</w:t>
      </w:r>
    </w:p>
    <w:p w14:paraId="4F5DF8E3">
      <w:pPr>
        <w:pStyle w:val="13"/>
        <w:ind w:firstLine="640" w:firstLineChars="200"/>
        <w:rPr>
          <w:rFonts w:hAnsi="黑体"/>
          <w:bCs/>
          <w:sz w:val="32"/>
          <w:szCs w:val="32"/>
        </w:rPr>
      </w:pPr>
      <w:r>
        <w:rPr>
          <w:rFonts w:hint="eastAsia" w:hAnsi="黑体"/>
          <w:bCs/>
          <w:sz w:val="32"/>
          <w:szCs w:val="32"/>
        </w:rPr>
        <w:t>十二、关于政府采购支出说明</w:t>
      </w:r>
    </w:p>
    <w:p w14:paraId="6C13A4E0">
      <w:pPr>
        <w:pStyle w:val="13"/>
        <w:ind w:firstLine="640" w:firstLineChars="200"/>
        <w:rPr>
          <w:rFonts w:ascii="仿宋_GB2312" w:hAnsi="Times New Roman" w:eastAsia="仿宋_GB2312"/>
          <w:color w:val="auto"/>
          <w:sz w:val="32"/>
          <w:szCs w:val="32"/>
        </w:rPr>
      </w:pPr>
      <w:r>
        <w:rPr>
          <w:rFonts w:hint="eastAsia" w:ascii="仿宋_GB2312" w:hAnsi="Times New Roman" w:eastAsia="仿宋_GB2312"/>
          <w:sz w:val="32"/>
          <w:szCs w:val="32"/>
        </w:rPr>
        <w:t>本部门2025年度政府采购支出总额0万元，其中：政府采购货物支出0 万元、政府采购工程支出0万元、政府采购服务支出0万元。授予中小企业合同金额0万元，占政府采购支出总额的0%，其中：授予小微企业合同金额0万元，</w:t>
      </w:r>
      <w:r>
        <w:rPr>
          <w:rFonts w:hint="eastAsia" w:ascii="仿宋_GB2312" w:hAnsi="Times New Roman" w:eastAsia="仿宋_GB2312"/>
          <w:color w:val="auto"/>
          <w:sz w:val="32"/>
          <w:szCs w:val="32"/>
        </w:rPr>
        <w:t>占授予中小企业合同金额的0%。货物采购授予中小企业合同金额占货物支出金额的0%，工程采购授予中小企业合同金额占工程支出金额的0%，服务采购授予中小企业合同金额占服务支出金额的0%。</w:t>
      </w:r>
    </w:p>
    <w:p w14:paraId="52795777">
      <w:pPr>
        <w:pStyle w:val="13"/>
        <w:ind w:firstLine="640" w:firstLineChars="200"/>
        <w:rPr>
          <w:rFonts w:hAnsi="黑体"/>
          <w:bCs/>
          <w:color w:val="auto"/>
          <w:sz w:val="32"/>
          <w:szCs w:val="32"/>
        </w:rPr>
      </w:pPr>
      <w:r>
        <w:rPr>
          <w:rFonts w:hint="eastAsia" w:hAnsi="黑体"/>
          <w:bCs/>
          <w:color w:val="auto"/>
          <w:sz w:val="32"/>
          <w:szCs w:val="32"/>
        </w:rPr>
        <w:t>十三、关于国有资产占用情况说明</w:t>
      </w:r>
    </w:p>
    <w:p w14:paraId="3BD47CA8">
      <w:pPr>
        <w:pStyle w:val="13"/>
        <w:ind w:firstLine="640" w:firstLineChars="200"/>
        <w:rPr>
          <w:rFonts w:ascii="仿宋_GB2312" w:hAnsi="Times New Roman" w:eastAsia="仿宋_GB2312"/>
          <w:color w:val="auto"/>
          <w:sz w:val="32"/>
          <w:szCs w:val="32"/>
        </w:rPr>
      </w:pPr>
      <w:r>
        <w:rPr>
          <w:rFonts w:hint="eastAsia" w:ascii="仿宋_GB2312" w:hAnsi="Times New Roman" w:eastAsia="仿宋_GB2312"/>
          <w:color w:val="auto"/>
          <w:sz w:val="32"/>
          <w:szCs w:val="32"/>
        </w:rPr>
        <w:t>截至2025年12月31日，单位共有车辆3辆，其中，副部（省）级及以上领导用车0辆、主要负责人用车0辆、机要通信用车0辆、应急保障用车1辆、执法执勤用车0辆、特种专业技术用车1辆、离退休干部服务用车0辆、其他用车1辆，其他用车主要是</w:t>
      </w:r>
      <w:r>
        <w:rPr>
          <w:rFonts w:hint="eastAsia" w:ascii="仿宋_GB2312" w:eastAsia="仿宋_GB2312" w:hAnsiTheme="minorEastAsia"/>
          <w:sz w:val="32"/>
          <w:szCs w:val="32"/>
        </w:rPr>
        <w:t>城内各机关单位公务、林区营林生产、检查验收及森林防火等业务用车</w:t>
      </w:r>
      <w:r>
        <w:rPr>
          <w:rFonts w:hint="eastAsia" w:ascii="仿宋_GB2312" w:hAnsi="Times New Roman" w:eastAsia="仿宋_GB2312"/>
          <w:color w:val="auto"/>
          <w:sz w:val="32"/>
          <w:szCs w:val="32"/>
        </w:rPr>
        <w:t>；单位价值100万元以上设备（不含车辆）0台（套）。</w:t>
      </w:r>
    </w:p>
    <w:p w14:paraId="6417CF83">
      <w:pPr>
        <w:pStyle w:val="13"/>
        <w:ind w:firstLine="640" w:firstLineChars="200"/>
        <w:rPr>
          <w:rFonts w:hAnsi="黑体"/>
          <w:bCs/>
          <w:color w:val="auto"/>
          <w:sz w:val="32"/>
          <w:szCs w:val="32"/>
        </w:rPr>
      </w:pPr>
      <w:r>
        <w:rPr>
          <w:rFonts w:hint="eastAsia" w:hAnsi="黑体"/>
          <w:bCs/>
          <w:color w:val="auto"/>
          <w:sz w:val="32"/>
          <w:szCs w:val="32"/>
        </w:rPr>
        <w:t>十四、关于</w:t>
      </w:r>
      <w:r>
        <w:rPr>
          <w:rFonts w:hint="eastAsia" w:ascii="Times New Roman" w:hAnsi="Times New Roman" w:eastAsia="仿宋_GB2312"/>
          <w:color w:val="auto"/>
          <w:sz w:val="32"/>
          <w:szCs w:val="32"/>
        </w:rPr>
        <w:t>2025</w:t>
      </w:r>
      <w:r>
        <w:rPr>
          <w:rFonts w:hint="eastAsia" w:hAnsi="黑体"/>
          <w:bCs/>
          <w:color w:val="auto"/>
          <w:sz w:val="32"/>
          <w:szCs w:val="32"/>
        </w:rPr>
        <w:t>年度预算绩效情况的说明</w:t>
      </w:r>
    </w:p>
    <w:p w14:paraId="7F8FFC86">
      <w:pPr>
        <w:pStyle w:val="13"/>
        <w:ind w:firstLine="640" w:firstLineChars="200"/>
        <w:rPr>
          <w:rFonts w:ascii="楷体" w:hAnsi="楷体" w:eastAsia="楷体" w:cs="楷体"/>
          <w:b/>
          <w:bCs/>
          <w:sz w:val="32"/>
          <w:szCs w:val="32"/>
        </w:rPr>
      </w:pPr>
      <w:r>
        <w:rPr>
          <w:rFonts w:hint="eastAsia" w:ascii="楷体" w:hAnsi="楷体" w:eastAsia="楷体" w:cs="楷体"/>
          <w:b/>
          <w:bCs/>
          <w:sz w:val="32"/>
          <w:szCs w:val="32"/>
        </w:rPr>
        <w:t>（一）绩效评价工作开展情况</w:t>
      </w:r>
    </w:p>
    <w:p w14:paraId="733FF062">
      <w:pPr>
        <w:pStyle w:val="8"/>
        <w:widowControl/>
        <w:ind w:firstLine="640" w:firstLineChars="200"/>
        <w:rPr>
          <w:rFonts w:ascii="仿宋_GB2312" w:hAnsi="宋体"/>
          <w:bCs/>
          <w:kern w:val="2"/>
          <w:sz w:val="32"/>
          <w:szCs w:val="32"/>
        </w:rPr>
      </w:pPr>
      <w:r>
        <w:rPr>
          <w:rFonts w:hint="eastAsia" w:ascii="仿宋_GB2312" w:hAnsi="宋体"/>
          <w:bCs/>
          <w:kern w:val="2"/>
          <w:sz w:val="32"/>
          <w:szCs w:val="32"/>
        </w:rPr>
        <w:t>组织对2025年度本单位整体支出开展绩效自评，涉及项目3个，共涉及资金79.88万元。其中，一般公共预算项目3个79.88万元，占一般公共预算支出总额的4.10%；政府性基金预算项目0个，占政府性基金预算支出总额的0%；国有资本经营预算项目0个0万元，占国有资本经营预算支出总额的0%；社会保险基金项目0个0万元，占社会保险基金预算支出总额的0%。</w:t>
      </w:r>
    </w:p>
    <w:p w14:paraId="0296B622">
      <w:pPr>
        <w:pStyle w:val="13"/>
        <w:ind w:firstLine="640" w:firstLineChars="200"/>
        <w:rPr>
          <w:rFonts w:ascii="楷体" w:hAnsi="楷体" w:eastAsia="楷体" w:cs="楷体"/>
          <w:b/>
          <w:bCs/>
          <w:sz w:val="32"/>
          <w:szCs w:val="32"/>
        </w:rPr>
      </w:pPr>
      <w:r>
        <w:rPr>
          <w:rFonts w:hint="eastAsia" w:ascii="楷体" w:hAnsi="楷体" w:eastAsia="楷体" w:cs="楷体"/>
          <w:b/>
          <w:bCs/>
          <w:sz w:val="32"/>
          <w:szCs w:val="32"/>
        </w:rPr>
        <w:t>（二）绩效评价结果</w:t>
      </w:r>
    </w:p>
    <w:p w14:paraId="158E7D2B">
      <w:pPr>
        <w:autoSpaceDE w:val="0"/>
        <w:autoSpaceDN w:val="0"/>
        <w:adjustRightInd w:val="0"/>
        <w:ind w:firstLine="640" w:firstLineChars="200"/>
        <w:jc w:val="left"/>
        <w:rPr>
          <w:rFonts w:ascii="仿宋_GB2312" w:eastAsia="仿宋_GB2312" w:cs="黑体" w:hAnsiTheme="minorEastAsia"/>
          <w:color w:val="000000"/>
          <w:kern w:val="0"/>
          <w:sz w:val="32"/>
          <w:szCs w:val="32"/>
        </w:rPr>
      </w:pPr>
      <w:r>
        <w:rPr>
          <w:rFonts w:hint="eastAsia" w:ascii="仿宋_GB2312" w:eastAsia="仿宋_GB2312" w:cs="黑体" w:hAnsiTheme="minorEastAsia"/>
          <w:color w:val="000000"/>
          <w:kern w:val="0"/>
          <w:sz w:val="32"/>
          <w:szCs w:val="32"/>
        </w:rPr>
        <w:t>2025年度本单位整体支出全年预算数2441.74万元，执行预算数2086.28万元，完成预算的85.44%，绩效自评得分97.74分，评价等级为优秀。绩效目标完成情况：一是</w:t>
      </w:r>
      <w:r>
        <w:rPr>
          <w:rFonts w:hint="eastAsia" w:ascii="仿宋_GB2312" w:eastAsia="仿宋_GB2312"/>
          <w:sz w:val="32"/>
          <w:szCs w:val="32"/>
        </w:rPr>
        <w:t>秀美林场和黄岩省级森林公园持续建设实施</w:t>
      </w:r>
      <w:r>
        <w:rPr>
          <w:rFonts w:hint="eastAsia" w:ascii="仿宋_GB2312" w:eastAsia="仿宋_GB2312" w:cs="黑体" w:hAnsiTheme="minorEastAsia"/>
          <w:color w:val="000000"/>
          <w:kern w:val="0"/>
          <w:sz w:val="32"/>
          <w:szCs w:val="32"/>
        </w:rPr>
        <w:t>；二是</w:t>
      </w:r>
      <w:r>
        <w:rPr>
          <w:rFonts w:hint="eastAsia" w:ascii="仿宋_GB2312" w:eastAsia="仿宋_GB2312"/>
          <w:sz w:val="32"/>
          <w:szCs w:val="32"/>
        </w:rPr>
        <w:t>4.78万亩林地的森林管护；三是200亩珊瑚阁红枫科技推广项目实施完成，通过了上级部门的验收；四是森林消防蓄水池建设完成</w:t>
      </w:r>
      <w:r>
        <w:rPr>
          <w:rFonts w:hint="eastAsia" w:ascii="仿宋_GB2312" w:eastAsia="仿宋_GB2312" w:cs="Times New Roman"/>
          <w:sz w:val="32"/>
          <w:szCs w:val="32"/>
        </w:rPr>
        <w:t>；五是</w:t>
      </w:r>
      <w:r>
        <w:rPr>
          <w:rFonts w:hint="eastAsia" w:ascii="仿宋_GB2312" w:eastAsia="仿宋_GB2312"/>
          <w:sz w:val="32"/>
          <w:szCs w:val="32"/>
        </w:rPr>
        <w:t>2177亩森林可持续经营项目开始实施；六是古坡至鸡笼门管护站点的林区道路改扩建，防火林道、防火线的维护，</w:t>
      </w:r>
      <w:r>
        <w:rPr>
          <w:rFonts w:hint="eastAsia" w:ascii="仿宋_GB2312" w:eastAsia="仿宋_GB2312" w:cs="Times New Roman"/>
          <w:sz w:val="32"/>
          <w:szCs w:val="32"/>
        </w:rPr>
        <w:t>全场无森林火灾、安全生产事故发生</w:t>
      </w:r>
      <w:r>
        <w:rPr>
          <w:rFonts w:hint="eastAsia" w:ascii="仿宋_GB2312" w:eastAsia="仿宋_GB2312" w:cs="黑体" w:hAnsiTheme="minorEastAsia"/>
          <w:color w:val="000000"/>
          <w:kern w:val="0"/>
          <w:sz w:val="32"/>
          <w:szCs w:val="32"/>
        </w:rPr>
        <w:t>。发现的主要问题及原因：</w:t>
      </w:r>
      <w:bookmarkStart w:id="20" w:name="OLE_LINK12"/>
      <w:r>
        <w:rPr>
          <w:rFonts w:hint="eastAsia" w:ascii="仿宋_GB2312" w:eastAsia="仿宋_GB2312" w:cs="黑体" w:hAnsiTheme="minorEastAsia"/>
          <w:color w:val="000000"/>
          <w:kern w:val="0"/>
          <w:sz w:val="32"/>
          <w:szCs w:val="32"/>
        </w:rPr>
        <w:t>2025年</w:t>
      </w:r>
      <w:r>
        <w:rPr>
          <w:rFonts w:hint="eastAsia" w:ascii="仿宋_GB2312" w:eastAsia="仿宋_GB2312"/>
          <w:sz w:val="32"/>
          <w:szCs w:val="32"/>
        </w:rPr>
        <w:t>省级资金项目全省森林防火基础能力提升两年行动省级奖补项目</w:t>
      </w:r>
      <w:bookmarkEnd w:id="20"/>
      <w:r>
        <w:rPr>
          <w:rFonts w:hint="eastAsia" w:ascii="仿宋_GB2312" w:eastAsia="仿宋_GB2312"/>
          <w:sz w:val="32"/>
          <w:szCs w:val="32"/>
        </w:rPr>
        <w:t>，还未完成，原因是资金用于林区（防火）道路硬化，需向中方县、鹤城区、市和省级相关部门，申报办理用地手续需要时间，使项目不能于2025年完成。</w:t>
      </w:r>
      <w:r>
        <w:rPr>
          <w:rFonts w:hint="eastAsia" w:ascii="仿宋_GB2312" w:eastAsia="仿宋_GB2312" w:cs="黑体" w:hAnsiTheme="minorEastAsia"/>
          <w:color w:val="000000"/>
          <w:kern w:val="0"/>
          <w:sz w:val="32"/>
          <w:szCs w:val="32"/>
        </w:rPr>
        <w:t>下一步改进措施：</w:t>
      </w:r>
      <w:r>
        <w:rPr>
          <w:rFonts w:hint="eastAsia" w:ascii="仿宋_GB2312" w:eastAsia="仿宋_GB2312"/>
          <w:sz w:val="32"/>
          <w:szCs w:val="32"/>
        </w:rPr>
        <w:t>按照项目实施方案，及时组织人员，完成全部项目施工</w:t>
      </w:r>
      <w:r>
        <w:rPr>
          <w:rFonts w:hint="eastAsia" w:ascii="仿宋_GB2312" w:eastAsia="仿宋_GB2312" w:cs="黑体" w:hAnsiTheme="minorEastAsia"/>
          <w:color w:val="000000"/>
          <w:kern w:val="0"/>
          <w:sz w:val="32"/>
          <w:szCs w:val="32"/>
        </w:rPr>
        <w:t>。</w:t>
      </w:r>
    </w:p>
    <w:p w14:paraId="4DD42BAA">
      <w:pPr>
        <w:pStyle w:val="13"/>
        <w:ind w:firstLine="640" w:firstLineChars="200"/>
        <w:rPr>
          <w:rFonts w:ascii="楷体" w:hAnsi="楷体" w:eastAsia="楷体" w:cs="楷体"/>
          <w:b/>
          <w:bCs/>
          <w:sz w:val="32"/>
          <w:szCs w:val="32"/>
        </w:rPr>
      </w:pPr>
      <w:r>
        <w:rPr>
          <w:rFonts w:hint="eastAsia" w:ascii="楷体" w:hAnsi="楷体" w:eastAsia="楷体" w:cs="楷体"/>
          <w:b/>
          <w:bCs/>
          <w:sz w:val="32"/>
          <w:szCs w:val="32"/>
        </w:rPr>
        <w:t>（三）评价结果应用情况</w:t>
      </w:r>
    </w:p>
    <w:p w14:paraId="5946D0CA">
      <w:pPr>
        <w:pStyle w:val="8"/>
        <w:ind w:firstLine="640" w:firstLineChars="200"/>
        <w:rPr>
          <w:rFonts w:ascii="仿宋_GB2312" w:hAnsi="楷体" w:cs="楷体"/>
          <w:b/>
          <w:bCs/>
          <w:sz w:val="32"/>
          <w:szCs w:val="32"/>
        </w:rPr>
      </w:pPr>
      <w:r>
        <w:rPr>
          <w:rFonts w:hint="eastAsia" w:ascii="仿宋_GB2312"/>
          <w:sz w:val="32"/>
          <w:szCs w:val="32"/>
        </w:rPr>
        <w:t>通过绩效自评，查找不足，</w:t>
      </w:r>
      <w:r>
        <w:rPr>
          <w:rFonts w:hint="eastAsia" w:ascii="仿宋_GB2312"/>
          <w:color w:val="000000"/>
          <w:sz w:val="32"/>
          <w:szCs w:val="32"/>
        </w:rPr>
        <w:t>总结经验，完善管理制度办法，加强财政资金管理，强化责任，提高财政资金使用效益</w:t>
      </w:r>
      <w:r>
        <w:rPr>
          <w:rFonts w:hint="eastAsia" w:ascii="仿宋_GB2312"/>
          <w:sz w:val="32"/>
          <w:szCs w:val="32"/>
        </w:rPr>
        <w:t>，改进措施进一步抓好工作落实，对绩效自评结果按要求及时公开。林场自收自支人员逐年减少，以前</w:t>
      </w:r>
      <w:bookmarkStart w:id="21" w:name="OLE_LINK60"/>
      <w:bookmarkStart w:id="22" w:name="OLE_LINK59"/>
      <w:r>
        <w:rPr>
          <w:rFonts w:hint="eastAsia" w:ascii="仿宋_GB2312"/>
          <w:sz w:val="32"/>
          <w:szCs w:val="32"/>
        </w:rPr>
        <w:t>非税收入</w:t>
      </w:r>
      <w:bookmarkEnd w:id="21"/>
      <w:bookmarkEnd w:id="22"/>
      <w:r>
        <w:rPr>
          <w:rFonts w:hint="eastAsia" w:ascii="仿宋_GB2312"/>
          <w:sz w:val="32"/>
          <w:szCs w:val="32"/>
        </w:rPr>
        <w:t>全部用来保障工资、养老保险、医疗保险、职业年金等支出，职工福利待遇无力保障，人员减少后，非税收入预算支出将适当调整，加强职工福利待遇支出。</w:t>
      </w:r>
    </w:p>
    <w:p w14:paraId="46A3763C">
      <w:pPr>
        <w:pStyle w:val="13"/>
        <w:jc w:val="center"/>
        <w:rPr>
          <w:sz w:val="72"/>
          <w:szCs w:val="72"/>
        </w:rPr>
      </w:pPr>
    </w:p>
    <w:p w14:paraId="3C9F7683">
      <w:pPr>
        <w:pStyle w:val="13"/>
        <w:jc w:val="center"/>
        <w:rPr>
          <w:sz w:val="72"/>
          <w:szCs w:val="72"/>
        </w:rPr>
      </w:pPr>
    </w:p>
    <w:p w14:paraId="3BC27ACE">
      <w:pPr>
        <w:pStyle w:val="13"/>
        <w:jc w:val="both"/>
        <w:rPr>
          <w:rFonts w:ascii="方正小标宋_GBK" w:hAnsi="方正小标宋_GBK" w:eastAsia="方正小标宋_GBK" w:cs="方正小标宋_GBK"/>
          <w:sz w:val="72"/>
          <w:szCs w:val="72"/>
        </w:rPr>
      </w:pPr>
    </w:p>
    <w:p w14:paraId="1C5C4E1A">
      <w:pPr>
        <w:pStyle w:val="13"/>
        <w:jc w:val="both"/>
        <w:rPr>
          <w:rFonts w:ascii="方正小标宋_GBK" w:hAnsi="方正小标宋_GBK" w:eastAsia="方正小标宋_GBK" w:cs="方正小标宋_GBK"/>
          <w:sz w:val="72"/>
          <w:szCs w:val="72"/>
        </w:rPr>
      </w:pPr>
    </w:p>
    <w:p w14:paraId="25C0EC75">
      <w:pPr>
        <w:pStyle w:val="13"/>
        <w:jc w:val="both"/>
        <w:rPr>
          <w:rFonts w:ascii="方正小标宋_GBK" w:hAnsi="方正小标宋_GBK" w:eastAsia="方正小标宋_GBK" w:cs="方正小标宋_GBK"/>
          <w:sz w:val="72"/>
          <w:szCs w:val="72"/>
        </w:rPr>
      </w:pPr>
    </w:p>
    <w:p w14:paraId="00EB9D2C">
      <w:pPr>
        <w:pStyle w:val="13"/>
        <w:jc w:val="both"/>
        <w:rPr>
          <w:rFonts w:ascii="方正小标宋_GBK" w:hAnsi="方正小标宋_GBK" w:eastAsia="方正小标宋_GBK" w:cs="方正小标宋_GBK"/>
          <w:sz w:val="72"/>
          <w:szCs w:val="72"/>
        </w:rPr>
      </w:pPr>
    </w:p>
    <w:p w14:paraId="7F0A5F66">
      <w:pPr>
        <w:pStyle w:val="13"/>
        <w:jc w:val="both"/>
        <w:rPr>
          <w:rFonts w:ascii="方正小标宋_GBK" w:hAnsi="方正小标宋_GBK" w:eastAsia="方正小标宋_GBK" w:cs="方正小标宋_GBK"/>
          <w:sz w:val="72"/>
          <w:szCs w:val="72"/>
        </w:rPr>
      </w:pPr>
    </w:p>
    <w:p w14:paraId="513275D8">
      <w:pPr>
        <w:pStyle w:val="13"/>
        <w:jc w:val="both"/>
        <w:rPr>
          <w:rFonts w:ascii="方正小标宋_GBK" w:hAnsi="方正小标宋_GBK" w:eastAsia="方正小标宋_GBK" w:cs="方正小标宋_GBK"/>
          <w:sz w:val="72"/>
          <w:szCs w:val="72"/>
        </w:rPr>
      </w:pPr>
    </w:p>
    <w:p w14:paraId="1AD0F2A1">
      <w:pPr>
        <w:pStyle w:val="13"/>
        <w:jc w:val="both"/>
        <w:rPr>
          <w:rFonts w:ascii="方正小标宋_GBK" w:hAnsi="方正小标宋_GBK" w:eastAsia="方正小标宋_GBK" w:cs="方正小标宋_GBK"/>
          <w:sz w:val="72"/>
          <w:szCs w:val="72"/>
        </w:rPr>
      </w:pPr>
    </w:p>
    <w:p w14:paraId="00F201BC">
      <w:pPr>
        <w:pStyle w:val="13"/>
        <w:jc w:val="both"/>
        <w:rPr>
          <w:rFonts w:ascii="方正小标宋_GBK" w:hAnsi="方正小标宋_GBK" w:eastAsia="方正小标宋_GBK" w:cs="方正小标宋_GBK"/>
          <w:sz w:val="72"/>
          <w:szCs w:val="72"/>
        </w:rPr>
      </w:pPr>
    </w:p>
    <w:p w14:paraId="723F0AD7">
      <w:pPr>
        <w:pStyle w:val="13"/>
        <w:jc w:val="both"/>
        <w:rPr>
          <w:rFonts w:ascii="方正小标宋_GBK" w:hAnsi="方正小标宋_GBK" w:eastAsia="方正小标宋_GBK" w:cs="方正小标宋_GBK"/>
          <w:sz w:val="72"/>
          <w:szCs w:val="72"/>
        </w:rPr>
      </w:pPr>
    </w:p>
    <w:p w14:paraId="157B01B9">
      <w:pPr>
        <w:pStyle w:val="13"/>
        <w:jc w:val="center"/>
        <w:rPr>
          <w:rFonts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5316AFEC">
      <w:pPr>
        <w:jc w:val="center"/>
        <w:rPr>
          <w:rFonts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14:paraId="24CDEDA3">
      <w:pPr>
        <w:widowControl/>
        <w:jc w:val="left"/>
        <w:rPr>
          <w:rFonts w:cs="黑体" w:asciiTheme="minorEastAsia" w:hAnsiTheme="minorEastAsia"/>
          <w:color w:val="000000"/>
          <w:kern w:val="0"/>
          <w:sz w:val="32"/>
          <w:szCs w:val="32"/>
        </w:rPr>
      </w:pPr>
    </w:p>
    <w:p w14:paraId="6B81A0CD">
      <w:pPr>
        <w:widowControl/>
        <w:ind w:firstLine="640" w:firstLineChars="200"/>
        <w:jc w:val="left"/>
        <w:rPr>
          <w:rFonts w:ascii="仿宋_GB2312" w:eastAsia="仿宋_GB2312" w:cs="黑体" w:hAnsiTheme="minorEastAsia"/>
          <w:color w:val="000000"/>
          <w:kern w:val="0"/>
          <w:sz w:val="32"/>
          <w:szCs w:val="32"/>
        </w:rPr>
      </w:pPr>
      <w:r>
        <w:rPr>
          <w:rFonts w:hint="eastAsia" w:ascii="黑体" w:hAnsi="黑体" w:eastAsia="黑体" w:cs="黑体"/>
          <w:color w:val="000000"/>
          <w:kern w:val="0"/>
          <w:sz w:val="32"/>
          <w:szCs w:val="32"/>
        </w:rPr>
        <w:t>一、</w:t>
      </w:r>
      <w:r>
        <w:rPr>
          <w:rFonts w:hint="eastAsia" w:ascii="仿宋_GB2312" w:eastAsia="仿宋_GB2312" w:cs="黑体" w:hAnsiTheme="minorEastAsia"/>
          <w:color w:val="000000"/>
          <w:kern w:val="0"/>
          <w:sz w:val="32"/>
          <w:szCs w:val="32"/>
        </w:rPr>
        <w:t>“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231EF5D8">
      <w:pPr>
        <w:ind w:firstLine="640" w:firstLineChars="200"/>
        <w:jc w:val="left"/>
        <w:rPr>
          <w:rFonts w:ascii="仿宋_GB2312" w:eastAsia="仿宋_GB2312"/>
          <w:sz w:val="72"/>
          <w:szCs w:val="72"/>
        </w:rPr>
      </w:pPr>
      <w:r>
        <w:rPr>
          <w:rFonts w:hint="eastAsia" w:ascii="黑体" w:hAnsi="黑体" w:eastAsia="黑体" w:cs="黑体"/>
          <w:color w:val="000000"/>
          <w:kern w:val="0"/>
          <w:sz w:val="32"/>
          <w:szCs w:val="32"/>
        </w:rPr>
        <w:t>二、</w:t>
      </w:r>
      <w:r>
        <w:rPr>
          <w:rFonts w:hint="eastAsia" w:ascii="仿宋_GB2312" w:eastAsia="仿宋_GB2312" w:cs="黑体" w:hAnsiTheme="minorEastAsia"/>
          <w:color w:val="000000"/>
          <w:kern w:val="0"/>
          <w:sz w:val="32"/>
          <w:szCs w:val="32"/>
        </w:rPr>
        <w:t>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14:paraId="6E6C663B">
      <w:pPr>
        <w:pStyle w:val="13"/>
        <w:jc w:val="center"/>
        <w:rPr>
          <w:sz w:val="72"/>
          <w:szCs w:val="72"/>
        </w:rPr>
      </w:pPr>
    </w:p>
    <w:p w14:paraId="33E5FF0E">
      <w:pPr>
        <w:pStyle w:val="13"/>
        <w:jc w:val="center"/>
        <w:rPr>
          <w:sz w:val="72"/>
          <w:szCs w:val="72"/>
        </w:rPr>
      </w:pPr>
    </w:p>
    <w:p w14:paraId="16E8BBFE">
      <w:pPr>
        <w:pStyle w:val="13"/>
        <w:jc w:val="center"/>
        <w:rPr>
          <w:sz w:val="72"/>
          <w:szCs w:val="72"/>
        </w:rPr>
      </w:pPr>
    </w:p>
    <w:p w14:paraId="1371C19B">
      <w:pPr>
        <w:pStyle w:val="13"/>
        <w:jc w:val="center"/>
        <w:rPr>
          <w:rFonts w:ascii="方正小标宋_GBK" w:hAnsi="方正小标宋_GBK" w:eastAsia="方正小标宋_GBK" w:cs="方正小标宋_GBK"/>
          <w:sz w:val="72"/>
          <w:szCs w:val="72"/>
        </w:rPr>
      </w:pPr>
    </w:p>
    <w:p w14:paraId="29BB2BCD">
      <w:pPr>
        <w:pStyle w:val="13"/>
        <w:jc w:val="center"/>
        <w:rPr>
          <w:rFonts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第五部分</w:t>
      </w:r>
    </w:p>
    <w:p w14:paraId="5C00A6B5">
      <w:pPr>
        <w:pStyle w:val="13"/>
        <w:jc w:val="center"/>
        <w:rPr>
          <w:sz w:val="72"/>
          <w:szCs w:val="72"/>
        </w:rPr>
      </w:pPr>
      <w:r>
        <w:rPr>
          <w:rFonts w:hint="eastAsia" w:ascii="方正小标宋_GBK" w:hAnsi="方正小标宋_GBK" w:eastAsia="方正小标宋_GBK" w:cs="方正小标宋_GBK"/>
          <w:sz w:val="70"/>
          <w:szCs w:val="70"/>
        </w:rPr>
        <w:t>附 件</w:t>
      </w:r>
    </w:p>
    <w:p w14:paraId="3FA6C9DA">
      <w:pPr>
        <w:rPr>
          <w:rFonts w:hAnsi="黑体" w:cs="楷体"/>
          <w:bCs/>
          <w:sz w:val="32"/>
          <w:szCs w:val="32"/>
        </w:rPr>
      </w:pPr>
    </w:p>
    <w:p w14:paraId="71C80330">
      <w:pPr>
        <w:ind w:firstLine="640" w:firstLineChars="200"/>
        <w:rPr>
          <w:rFonts w:ascii="楷体_GB2312" w:hAnsi="Times New Roman" w:eastAsia="楷体_GB2312"/>
          <w:sz w:val="32"/>
          <w:szCs w:val="32"/>
        </w:rPr>
      </w:pPr>
      <w:r>
        <w:rPr>
          <w:rFonts w:hint="eastAsia" w:ascii="黑体" w:hAnsi="黑体" w:eastAsia="黑体" w:cs="楷体"/>
          <w:bCs/>
          <w:sz w:val="32"/>
          <w:szCs w:val="32"/>
        </w:rPr>
        <w:t>一、</w:t>
      </w:r>
      <w:r>
        <w:rPr>
          <w:rFonts w:hint="eastAsia" w:ascii="楷体_GB2312" w:hAnsi="Times New Roman" w:eastAsia="楷体_GB2312"/>
          <w:sz w:val="32"/>
          <w:szCs w:val="32"/>
        </w:rPr>
        <w:t>2025年度怀化市泸阳国有林场整体支出绩效自评报告</w:t>
      </w:r>
    </w:p>
    <w:p w14:paraId="3A8123E7">
      <w:pPr>
        <w:pStyle w:val="13"/>
        <w:ind w:firstLine="640" w:firstLineChars="200"/>
        <w:rPr>
          <w:rFonts w:hAnsi="黑体"/>
          <w:sz w:val="32"/>
          <w:szCs w:val="32"/>
        </w:rPr>
      </w:pPr>
      <w:r>
        <w:rPr>
          <w:rFonts w:hint="eastAsia" w:hAnsi="黑体"/>
          <w:sz w:val="32"/>
          <w:szCs w:val="32"/>
        </w:rPr>
        <w:t>二、</w:t>
      </w:r>
      <w:r>
        <w:rPr>
          <w:rFonts w:hint="eastAsia" w:ascii="楷体_GB2312" w:hAnsi="Times New Roman" w:eastAsia="楷体_GB2312"/>
          <w:sz w:val="32"/>
          <w:szCs w:val="32"/>
        </w:rPr>
        <w:t>2025年度怀化市泸阳国有林场项目支出绩效自评报告。</w:t>
      </w:r>
    </w:p>
    <w:p w14:paraId="37134614">
      <w:pPr>
        <w:pStyle w:val="13"/>
        <w:ind w:firstLine="640" w:firstLineChars="200"/>
        <w:rPr>
          <w:rFonts w:ascii="楷体_GB2312" w:hAnsi="黑体" w:eastAsia="楷体_GB2312"/>
          <w:sz w:val="32"/>
          <w:szCs w:val="32"/>
        </w:rPr>
      </w:pPr>
      <w:r>
        <w:rPr>
          <w:rFonts w:hint="eastAsia" w:hAnsi="黑体"/>
          <w:sz w:val="32"/>
          <w:szCs w:val="32"/>
        </w:rPr>
        <w:t>三、</w:t>
      </w:r>
      <w:r>
        <w:rPr>
          <w:rFonts w:hint="eastAsia" w:ascii="楷体_GB2312" w:hAnsi="黑体" w:eastAsia="楷体_GB2312"/>
          <w:sz w:val="32"/>
          <w:szCs w:val="32"/>
        </w:rPr>
        <w:t>怀化市泸阳国有林场部门决算表</w:t>
      </w:r>
    </w:p>
    <w:p w14:paraId="2E25BE08">
      <w:pPr>
        <w:pStyle w:val="13"/>
        <w:spacing w:line="600" w:lineRule="exact"/>
        <w:ind w:firstLine="640" w:firstLineChars="200"/>
        <w:rPr>
          <w:rFonts w:ascii="Times New Roman" w:hAnsi="Times New Roman" w:eastAsia="仿宋_GB2312"/>
          <w:sz w:val="32"/>
          <w:szCs w:val="32"/>
        </w:rPr>
      </w:pPr>
    </w:p>
    <w:p w14:paraId="6848E7F3">
      <w:pPr>
        <w:pStyle w:val="13"/>
        <w:jc w:val="center"/>
        <w:rPr>
          <w:sz w:val="72"/>
          <w:szCs w:val="72"/>
        </w:rPr>
      </w:pPr>
    </w:p>
    <w:p w14:paraId="15483F1B">
      <w:pPr>
        <w:pStyle w:val="13"/>
        <w:jc w:val="center"/>
        <w:rPr>
          <w:sz w:val="72"/>
          <w:szCs w:val="72"/>
        </w:rPr>
      </w:pPr>
    </w:p>
    <w:p w14:paraId="06E639B5">
      <w:pPr>
        <w:jc w:val="left"/>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Arial">
    <w:panose1 w:val="020B0604020202020204"/>
    <w:charset w:val="00"/>
    <w:family w:val="swiss"/>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4506F9"/>
    <w:rsid w:val="00004FE4"/>
    <w:rsid w:val="0002229B"/>
    <w:rsid w:val="000273BD"/>
    <w:rsid w:val="00040CBC"/>
    <w:rsid w:val="000415B7"/>
    <w:rsid w:val="00041E3F"/>
    <w:rsid w:val="00050B7F"/>
    <w:rsid w:val="00055DAA"/>
    <w:rsid w:val="00061F7B"/>
    <w:rsid w:val="000658A3"/>
    <w:rsid w:val="00074155"/>
    <w:rsid w:val="00095D69"/>
    <w:rsid w:val="000A162D"/>
    <w:rsid w:val="000A34B7"/>
    <w:rsid w:val="000A3F69"/>
    <w:rsid w:val="000C180A"/>
    <w:rsid w:val="000F4857"/>
    <w:rsid w:val="00103957"/>
    <w:rsid w:val="001222EF"/>
    <w:rsid w:val="00145028"/>
    <w:rsid w:val="00146566"/>
    <w:rsid w:val="00152C6D"/>
    <w:rsid w:val="00162D39"/>
    <w:rsid w:val="001678BD"/>
    <w:rsid w:val="00167D95"/>
    <w:rsid w:val="001727D8"/>
    <w:rsid w:val="00182373"/>
    <w:rsid w:val="001A67DB"/>
    <w:rsid w:val="001C3C29"/>
    <w:rsid w:val="001D1274"/>
    <w:rsid w:val="001D51E5"/>
    <w:rsid w:val="001E080D"/>
    <w:rsid w:val="001E53D0"/>
    <w:rsid w:val="001F0C3B"/>
    <w:rsid w:val="00202C82"/>
    <w:rsid w:val="0021354E"/>
    <w:rsid w:val="00214427"/>
    <w:rsid w:val="002225E8"/>
    <w:rsid w:val="00222D92"/>
    <w:rsid w:val="00226CB7"/>
    <w:rsid w:val="00227710"/>
    <w:rsid w:val="00240050"/>
    <w:rsid w:val="0024072F"/>
    <w:rsid w:val="002411EE"/>
    <w:rsid w:val="00264552"/>
    <w:rsid w:val="00264EF9"/>
    <w:rsid w:val="00265724"/>
    <w:rsid w:val="00267C11"/>
    <w:rsid w:val="0027426B"/>
    <w:rsid w:val="002935DA"/>
    <w:rsid w:val="00296FD3"/>
    <w:rsid w:val="002D3FEC"/>
    <w:rsid w:val="002E0A30"/>
    <w:rsid w:val="003119B6"/>
    <w:rsid w:val="003130C4"/>
    <w:rsid w:val="00314738"/>
    <w:rsid w:val="00316C4B"/>
    <w:rsid w:val="0032192B"/>
    <w:rsid w:val="00337224"/>
    <w:rsid w:val="00343A54"/>
    <w:rsid w:val="003465C0"/>
    <w:rsid w:val="003479BD"/>
    <w:rsid w:val="00357343"/>
    <w:rsid w:val="00357EA2"/>
    <w:rsid w:val="00364F89"/>
    <w:rsid w:val="0037197D"/>
    <w:rsid w:val="003768D5"/>
    <w:rsid w:val="003926B9"/>
    <w:rsid w:val="003A3710"/>
    <w:rsid w:val="003B5B15"/>
    <w:rsid w:val="003C47E6"/>
    <w:rsid w:val="003C4FC2"/>
    <w:rsid w:val="004003C5"/>
    <w:rsid w:val="004026F1"/>
    <w:rsid w:val="004164A6"/>
    <w:rsid w:val="00416E61"/>
    <w:rsid w:val="0042790C"/>
    <w:rsid w:val="0043375B"/>
    <w:rsid w:val="00433EF8"/>
    <w:rsid w:val="004506F9"/>
    <w:rsid w:val="00450AED"/>
    <w:rsid w:val="0045549E"/>
    <w:rsid w:val="0046471C"/>
    <w:rsid w:val="00464BAF"/>
    <w:rsid w:val="004717A2"/>
    <w:rsid w:val="00473DF3"/>
    <w:rsid w:val="00487911"/>
    <w:rsid w:val="00491741"/>
    <w:rsid w:val="004B0CEE"/>
    <w:rsid w:val="004F5F02"/>
    <w:rsid w:val="00500E5F"/>
    <w:rsid w:val="005122EF"/>
    <w:rsid w:val="0051441A"/>
    <w:rsid w:val="00517C33"/>
    <w:rsid w:val="00517D5F"/>
    <w:rsid w:val="00523644"/>
    <w:rsid w:val="00536087"/>
    <w:rsid w:val="0054069E"/>
    <w:rsid w:val="0054464B"/>
    <w:rsid w:val="00544866"/>
    <w:rsid w:val="005767CC"/>
    <w:rsid w:val="005845C0"/>
    <w:rsid w:val="005871AB"/>
    <w:rsid w:val="00590649"/>
    <w:rsid w:val="00590D9F"/>
    <w:rsid w:val="005934EA"/>
    <w:rsid w:val="00595D26"/>
    <w:rsid w:val="005A74E6"/>
    <w:rsid w:val="005B404E"/>
    <w:rsid w:val="005D4D55"/>
    <w:rsid w:val="005E2CFB"/>
    <w:rsid w:val="005F2103"/>
    <w:rsid w:val="005F3D1C"/>
    <w:rsid w:val="006071DD"/>
    <w:rsid w:val="00621EF7"/>
    <w:rsid w:val="0062378F"/>
    <w:rsid w:val="0063204B"/>
    <w:rsid w:val="0063287A"/>
    <w:rsid w:val="00641842"/>
    <w:rsid w:val="00651EEC"/>
    <w:rsid w:val="00686673"/>
    <w:rsid w:val="00691E8C"/>
    <w:rsid w:val="006A22C4"/>
    <w:rsid w:val="006A351B"/>
    <w:rsid w:val="006B0422"/>
    <w:rsid w:val="006C1B53"/>
    <w:rsid w:val="006D5D8F"/>
    <w:rsid w:val="006D7730"/>
    <w:rsid w:val="006E4528"/>
    <w:rsid w:val="006E5284"/>
    <w:rsid w:val="006F3EB5"/>
    <w:rsid w:val="00702E34"/>
    <w:rsid w:val="00704395"/>
    <w:rsid w:val="00710FE7"/>
    <w:rsid w:val="00717621"/>
    <w:rsid w:val="00720FF1"/>
    <w:rsid w:val="00727A53"/>
    <w:rsid w:val="00753090"/>
    <w:rsid w:val="00764B4C"/>
    <w:rsid w:val="00771E15"/>
    <w:rsid w:val="00787B42"/>
    <w:rsid w:val="007C4539"/>
    <w:rsid w:val="007F3657"/>
    <w:rsid w:val="0080033F"/>
    <w:rsid w:val="008110B8"/>
    <w:rsid w:val="00812220"/>
    <w:rsid w:val="00812ED5"/>
    <w:rsid w:val="00817D05"/>
    <w:rsid w:val="00821D8A"/>
    <w:rsid w:val="008277D9"/>
    <w:rsid w:val="00836DDB"/>
    <w:rsid w:val="0084478C"/>
    <w:rsid w:val="0084680B"/>
    <w:rsid w:val="00846FA0"/>
    <w:rsid w:val="008657DC"/>
    <w:rsid w:val="0086638C"/>
    <w:rsid w:val="00891217"/>
    <w:rsid w:val="008A1065"/>
    <w:rsid w:val="008A3E8D"/>
    <w:rsid w:val="009130E6"/>
    <w:rsid w:val="009237C4"/>
    <w:rsid w:val="009276C0"/>
    <w:rsid w:val="00932AFE"/>
    <w:rsid w:val="00944C48"/>
    <w:rsid w:val="00950252"/>
    <w:rsid w:val="00963795"/>
    <w:rsid w:val="00967F5D"/>
    <w:rsid w:val="00990C56"/>
    <w:rsid w:val="0099237A"/>
    <w:rsid w:val="00992FE1"/>
    <w:rsid w:val="009A0F95"/>
    <w:rsid w:val="009B3ADF"/>
    <w:rsid w:val="009C3B52"/>
    <w:rsid w:val="009E6817"/>
    <w:rsid w:val="009E6E9A"/>
    <w:rsid w:val="00A01D2B"/>
    <w:rsid w:val="00A05CB6"/>
    <w:rsid w:val="00A07C4C"/>
    <w:rsid w:val="00A17E5C"/>
    <w:rsid w:val="00A42218"/>
    <w:rsid w:val="00A47898"/>
    <w:rsid w:val="00A507E8"/>
    <w:rsid w:val="00A70249"/>
    <w:rsid w:val="00A70B02"/>
    <w:rsid w:val="00A71D9F"/>
    <w:rsid w:val="00A92E9F"/>
    <w:rsid w:val="00AB18FF"/>
    <w:rsid w:val="00AC2E80"/>
    <w:rsid w:val="00B15698"/>
    <w:rsid w:val="00B33BEA"/>
    <w:rsid w:val="00B56C2C"/>
    <w:rsid w:val="00B57C9F"/>
    <w:rsid w:val="00B63572"/>
    <w:rsid w:val="00B845B3"/>
    <w:rsid w:val="00B85D8B"/>
    <w:rsid w:val="00BB000C"/>
    <w:rsid w:val="00BB4A40"/>
    <w:rsid w:val="00BD0CCF"/>
    <w:rsid w:val="00BD6C3E"/>
    <w:rsid w:val="00BE3674"/>
    <w:rsid w:val="00BF6560"/>
    <w:rsid w:val="00C10681"/>
    <w:rsid w:val="00C3049A"/>
    <w:rsid w:val="00C31B1E"/>
    <w:rsid w:val="00C64924"/>
    <w:rsid w:val="00C77645"/>
    <w:rsid w:val="00C864CB"/>
    <w:rsid w:val="00CE04C3"/>
    <w:rsid w:val="00CE76A0"/>
    <w:rsid w:val="00D148C6"/>
    <w:rsid w:val="00D17A8A"/>
    <w:rsid w:val="00D415BA"/>
    <w:rsid w:val="00D465D0"/>
    <w:rsid w:val="00D47950"/>
    <w:rsid w:val="00D63780"/>
    <w:rsid w:val="00D644EE"/>
    <w:rsid w:val="00DD06FF"/>
    <w:rsid w:val="00DD5153"/>
    <w:rsid w:val="00DD5FE9"/>
    <w:rsid w:val="00E00C7A"/>
    <w:rsid w:val="00E123F3"/>
    <w:rsid w:val="00E3575B"/>
    <w:rsid w:val="00E37D6C"/>
    <w:rsid w:val="00E43CF2"/>
    <w:rsid w:val="00E52A56"/>
    <w:rsid w:val="00E55B68"/>
    <w:rsid w:val="00E561AE"/>
    <w:rsid w:val="00E67BE6"/>
    <w:rsid w:val="00E8683C"/>
    <w:rsid w:val="00EA2B72"/>
    <w:rsid w:val="00EA7DEB"/>
    <w:rsid w:val="00EB6581"/>
    <w:rsid w:val="00EC1047"/>
    <w:rsid w:val="00F10639"/>
    <w:rsid w:val="00F36B93"/>
    <w:rsid w:val="00F43D8C"/>
    <w:rsid w:val="00F74360"/>
    <w:rsid w:val="00FA35C8"/>
    <w:rsid w:val="00FB095B"/>
    <w:rsid w:val="00FB462F"/>
    <w:rsid w:val="00FC5973"/>
    <w:rsid w:val="00FC5A3E"/>
    <w:rsid w:val="00FC6898"/>
    <w:rsid w:val="00FD082F"/>
    <w:rsid w:val="00FE16FA"/>
    <w:rsid w:val="00FE328A"/>
    <w:rsid w:val="00FE6269"/>
    <w:rsid w:val="00FF47C2"/>
    <w:rsid w:val="00FF5CD6"/>
    <w:rsid w:val="00FF7956"/>
    <w:rsid w:val="05CF591A"/>
    <w:rsid w:val="1D97DEFF"/>
    <w:rsid w:val="1DFF72E5"/>
    <w:rsid w:val="1EFC6F07"/>
    <w:rsid w:val="220E4496"/>
    <w:rsid w:val="24481EF8"/>
    <w:rsid w:val="2FDF85B8"/>
    <w:rsid w:val="2FFFEE04"/>
    <w:rsid w:val="34DF85B0"/>
    <w:rsid w:val="39A67708"/>
    <w:rsid w:val="3B8F36BC"/>
    <w:rsid w:val="3E5365B8"/>
    <w:rsid w:val="40933FEE"/>
    <w:rsid w:val="491FF225"/>
    <w:rsid w:val="4AC05E8D"/>
    <w:rsid w:val="4B941D1B"/>
    <w:rsid w:val="4D371083"/>
    <w:rsid w:val="4F9E2FB7"/>
    <w:rsid w:val="4FFD214C"/>
    <w:rsid w:val="5777D4F5"/>
    <w:rsid w:val="59DD8326"/>
    <w:rsid w:val="5DEF592A"/>
    <w:rsid w:val="5FC6BB1E"/>
    <w:rsid w:val="5FF720F1"/>
    <w:rsid w:val="67FF5C0B"/>
    <w:rsid w:val="6A526B61"/>
    <w:rsid w:val="6EFC0924"/>
    <w:rsid w:val="6FB74722"/>
    <w:rsid w:val="6FEF8B7E"/>
    <w:rsid w:val="7129559F"/>
    <w:rsid w:val="71A6591B"/>
    <w:rsid w:val="737D59BA"/>
    <w:rsid w:val="77C37683"/>
    <w:rsid w:val="78852DA0"/>
    <w:rsid w:val="79FF515B"/>
    <w:rsid w:val="7AC96905"/>
    <w:rsid w:val="7AEA242B"/>
    <w:rsid w:val="7BF0576C"/>
    <w:rsid w:val="7C913594"/>
    <w:rsid w:val="7E0E11FD"/>
    <w:rsid w:val="7E9E1962"/>
    <w:rsid w:val="7E9F11B4"/>
    <w:rsid w:val="7F37EC1E"/>
    <w:rsid w:val="7F7DCD9D"/>
    <w:rsid w:val="7F970A6F"/>
    <w:rsid w:val="7FC1FFF3"/>
    <w:rsid w:val="7FC69637"/>
    <w:rsid w:val="7FDF8620"/>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5"/>
    <w:semiHidden/>
    <w:unhideWhenUsed/>
    <w:qFormat/>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jc w:val="left"/>
    </w:pPr>
    <w:rPr>
      <w:rFonts w:ascii="Times New Roman" w:hAnsi="Times New Roman" w:eastAsia="仿宋_GB2312" w:cs="Times New Roman"/>
      <w:kern w:val="0"/>
      <w:sz w:val="24"/>
      <w:szCs w:val="24"/>
    </w:rPr>
  </w:style>
  <w:style w:type="character" w:customStyle="1" w:styleId="11">
    <w:name w:val="页眉 Char"/>
    <w:basedOn w:val="10"/>
    <w:link w:val="7"/>
    <w:qFormat/>
    <w:uiPriority w:val="99"/>
    <w:rPr>
      <w:sz w:val="18"/>
      <w:szCs w:val="18"/>
    </w:rPr>
  </w:style>
  <w:style w:type="character" w:customStyle="1" w:styleId="12">
    <w:name w:val="页脚 Char"/>
    <w:basedOn w:val="10"/>
    <w:link w:val="6"/>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5"/>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 w:type="character" w:customStyle="1" w:styleId="19">
    <w:name w:val="15"/>
    <w:basedOn w:val="10"/>
    <w:qFormat/>
    <w:uiPriority w:val="0"/>
    <w:rPr>
      <w:rFonts w:hint="default" w:ascii="Times New Roman" w:hAnsi="Times New Roman" w:eastAsia="楷体_GB2312" w:cs="楷体_GB2312"/>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15</Pages>
  <Words>4072</Words>
  <Characters>4584</Characters>
  <Lines>38</Lines>
  <Paragraphs>10</Paragraphs>
  <TotalTime>1</TotalTime>
  <ScaleCrop>false</ScaleCrop>
  <LinksUpToDate>false</LinksUpToDate>
  <CharactersWithSpaces>4592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2026-09-21T03:52:00Z</dcterms:created>
  <dc:creator>李航 null</dc:creator>
  <cp:lastModifiedBy>梁梦芸</cp:lastModifiedBy>
  <cp:lastPrinted>2025-09-22T01:24:00Z</cp:lastPrinted>
  <dcterms:modified xsi:type="dcterms:W3CDTF">2026-09-21T08:36:49Z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eyJoZGlkIjoiYTI3MWRmZDFiYWFlNzU0ODExN2FiNThlYjk0NDIwZmQiLCJ1c2VySWQiOiIzOTY2NjE2NzQifQ==</vt:lpwstr>
  </property>
  <property fmtid="{D5CDD505-2E9C-101B-9397-08002B2CF9AE}" pid="4" name="ICV">
    <vt:lpwstr>2BBAA4602FFF4CF197782FAD68D0607B_13</vt:lpwstr>
  </property>
</Properties>
</file>