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D6D39">
      <w:pPr>
        <w:pStyle w:val="12"/>
        <w:jc w:val="both"/>
        <w:rPr>
          <w:rFonts w:ascii="Times New Roman" w:hAnsi="Times New Roman" w:cs="Times New Roman"/>
          <w:sz w:val="56"/>
          <w:szCs w:val="56"/>
        </w:rPr>
      </w:pPr>
      <w:bookmarkStart w:id="0" w:name="_GoBack"/>
      <w:bookmarkEnd w:id="0"/>
    </w:p>
    <w:p w14:paraId="760EEBD6"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 w14:paraId="6671AE52"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 w14:paraId="5F718CD4"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sz w:val="72"/>
          <w:szCs w:val="72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 w14:paraId="08A19601"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sz w:val="72"/>
          <w:szCs w:val="72"/>
          <w:lang w:eastAsia="zh-CN"/>
        </w:rPr>
        <w:t>怀化市林业调查设计院</w:t>
      </w:r>
      <w:r>
        <w:rPr>
          <w:rFonts w:ascii="Times New Roman" w:hAnsi="Times New Roman" w:eastAsia="方正小标宋简体" w:cs="Times New Roman"/>
          <w:sz w:val="72"/>
          <w:szCs w:val="72"/>
        </w:rPr>
        <w:t>部门决算</w:t>
      </w:r>
    </w:p>
    <w:p w14:paraId="17F5AE8E">
      <w:pPr>
        <w:pStyle w:val="12"/>
        <w:jc w:val="center"/>
        <w:rPr>
          <w:rFonts w:ascii="Times New Roman" w:hAnsi="Times New Roman" w:eastAsia="方正小标宋_GBK" w:cs="Times New Roman"/>
          <w:sz w:val="56"/>
          <w:szCs w:val="56"/>
        </w:rPr>
      </w:pPr>
    </w:p>
    <w:p w14:paraId="7DB21995">
      <w:pPr>
        <w:pStyle w:val="12"/>
        <w:jc w:val="center"/>
        <w:rPr>
          <w:rFonts w:ascii="Times New Roman" w:hAnsi="Times New Roman" w:cs="Times New Roman"/>
          <w:sz w:val="56"/>
          <w:szCs w:val="56"/>
        </w:rPr>
      </w:pPr>
    </w:p>
    <w:p w14:paraId="5ED87F12">
      <w:pPr>
        <w:pStyle w:val="12"/>
        <w:rPr>
          <w:rFonts w:ascii="Times New Roman" w:hAnsi="Times New Roman" w:cs="Times New Roman"/>
          <w:sz w:val="56"/>
          <w:szCs w:val="56"/>
        </w:rPr>
      </w:pPr>
    </w:p>
    <w:p w14:paraId="37F88C6D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656A996A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219112BE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5DF64A34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08CDEC84">
      <w:pPr>
        <w:pStyle w:val="12"/>
        <w:spacing w:line="540" w:lineRule="exact"/>
        <w:jc w:val="both"/>
        <w:rPr>
          <w:rFonts w:ascii="Times New Roman" w:hAnsi="Times New Roman" w:cs="Times New Roman"/>
          <w:sz w:val="56"/>
          <w:szCs w:val="56"/>
        </w:rPr>
      </w:pPr>
    </w:p>
    <w:p w14:paraId="20307525">
      <w:pPr>
        <w:rPr>
          <w:rFonts w:ascii="Times New Roman" w:hAnsi="Times New Roman" w:cs="Times New Roman"/>
          <w:b/>
          <w:sz w:val="36"/>
          <w:szCs w:val="28"/>
        </w:rPr>
        <w:sectPr>
          <w:pgSz w:w="11906" w:h="16838"/>
          <w:pgMar w:top="1417" w:right="1588" w:bottom="1417" w:left="1588" w:header="851" w:footer="992" w:gutter="0"/>
          <w:cols w:space="425" w:num="1"/>
          <w:docGrid w:type="lines" w:linePitch="312" w:charSpace="0"/>
        </w:sectPr>
      </w:pPr>
    </w:p>
    <w:p w14:paraId="54D81603">
      <w:pPr>
        <w:pStyle w:val="12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28EC78DA">
      <w:pPr>
        <w:pStyle w:val="12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6069BF11">
      <w:pPr>
        <w:pStyle w:val="12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25CAEF83">
      <w:pPr>
        <w:pStyle w:val="12"/>
        <w:spacing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怀化市林业调查设计院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05F0521A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0F112FBC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26B90E14">
      <w:pPr>
        <w:pStyle w:val="12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6DC88857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651B2FFB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5AEF14A4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0880C255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77177F07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54172DCC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7409332D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433EFD07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54AC607C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3EB75722">
      <w:pPr>
        <w:pStyle w:val="12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59CD532D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21274293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4050E00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3E7695AD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07A71724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799C84BE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5C6A8F51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0FC4F27F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565A8D22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3CE7C38D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九、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国有资本经营预算财政拨款收入支出决算情况说明</w:t>
      </w:r>
    </w:p>
    <w:p w14:paraId="19857722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十、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关于机关运行经费支出说明</w:t>
      </w:r>
    </w:p>
    <w:p w14:paraId="6039E45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一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、一般性支出情况说明</w:t>
      </w:r>
    </w:p>
    <w:p w14:paraId="0950A95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5EB980C3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、关于国有资产占用情况说明</w:t>
      </w:r>
    </w:p>
    <w:p w14:paraId="51589F10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 w14:paraId="777B6535">
      <w:pPr>
        <w:pStyle w:val="12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591D473F">
      <w:pPr>
        <w:pStyle w:val="12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30F3CE1C">
      <w:pPr>
        <w:pStyle w:val="12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3A7DB06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08E10DFE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A638E9E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BD0E205">
      <w:pPr>
        <w:pStyle w:val="2"/>
        <w:rPr>
          <w:rFonts w:ascii="Times New Roman" w:hAnsi="Times New Roman" w:cs="Times New Roman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70BBA98B">
      <w:pPr>
        <w:rPr>
          <w:rFonts w:ascii="Times New Roman" w:hAnsi="Times New Roman" w:eastAsia="方正小标宋_GBK" w:cs="Times New Roman"/>
          <w:sz w:val="72"/>
          <w:szCs w:val="72"/>
        </w:rPr>
      </w:pPr>
    </w:p>
    <w:p w14:paraId="3570AC64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 w14:paraId="02B5A88E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  <w:lang w:eastAsia="zh-CN"/>
        </w:rPr>
        <w:t>怀化市林业调查设计院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 w14:paraId="13C728D4">
      <w:pPr>
        <w:pStyle w:val="3"/>
        <w:ind w:left="0" w:leftChars="0" w:firstLine="0" w:firstLineChars="0"/>
        <w:rPr>
          <w:rFonts w:ascii="Times New Roman" w:hAnsi="Times New Roman" w:cs="Times New Roman"/>
        </w:rPr>
      </w:pPr>
    </w:p>
    <w:p w14:paraId="3267B0EB">
      <w:pPr>
        <w:pStyle w:val="13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3E395E4C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怀化市林业调查设计院属一类事业单位，隶属怀化市林业局。主要职责是主要承担森林、草原和湿地资源调查监测评价、林业和草原生态修复、林业产权交易的技术支撑和服务保障职责。</w:t>
      </w:r>
    </w:p>
    <w:p w14:paraId="3EEABE65">
      <w:pPr>
        <w:widowControl/>
        <w:spacing w:line="600" w:lineRule="exac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7838F8E4">
      <w:pPr>
        <w:widowControl/>
        <w:spacing w:line="600" w:lineRule="exac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</w:p>
    <w:p w14:paraId="34631EDE">
      <w:pPr>
        <w:spacing w:line="6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怀化市林业调查设计院为二级预算单位。内设机构包括：办公室、财务室 、资源监测办、生态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修复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办、科学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技术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研究办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个办公室组成。</w:t>
      </w:r>
    </w:p>
    <w:p w14:paraId="1A0EBC0A">
      <w:pPr>
        <w:widowControl/>
        <w:numPr>
          <w:ilvl w:val="0"/>
          <w:numId w:val="1"/>
        </w:numPr>
        <w:spacing w:line="600" w:lineRule="exac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决算单位构成。</w:t>
      </w:r>
    </w:p>
    <w:p w14:paraId="05C5BD10">
      <w:pPr>
        <w:spacing w:line="6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怀化市林业调查设计院202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年部门决算汇总公开单位构成包括：怀化市林业调查设计院本级。</w:t>
      </w:r>
    </w:p>
    <w:p w14:paraId="21331C1B"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 w14:paraId="08D32B22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196D197C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6E837F54">
      <w:pPr>
        <w:jc w:val="both"/>
        <w:rPr>
          <w:rFonts w:ascii="Times New Roman" w:hAnsi="Times New Roman" w:eastAsia="黑体" w:cs="Times New Roman"/>
          <w:sz w:val="28"/>
          <w:szCs w:val="28"/>
        </w:rPr>
      </w:pPr>
    </w:p>
    <w:p w14:paraId="0F804FA1">
      <w:pPr>
        <w:pStyle w:val="2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3FB03391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第二部分    部门决算表</w:t>
      </w:r>
    </w:p>
    <w:p w14:paraId="2F36DCFB">
      <w:pPr>
        <w:widowControl/>
        <w:rPr>
          <w:rFonts w:hint="eastAsia" w:ascii="Times New Roman" w:hAnsi="Times New Roman" w:eastAsia="黑体" w:cs="Times New Roman"/>
          <w:sz w:val="44"/>
          <w:szCs w:val="44"/>
          <w:lang w:eastAsia="zh-CN"/>
        </w:rPr>
      </w:pPr>
    </w:p>
    <w:p w14:paraId="303FD141">
      <w:pPr>
        <w:widowControl/>
        <w:rPr>
          <w:rFonts w:hint="eastAsia" w:ascii="Times New Roman" w:hAnsi="Times New Roman" w:eastAsia="黑体" w:cs="Times New Roman"/>
          <w:sz w:val="44"/>
          <w:szCs w:val="44"/>
          <w:lang w:eastAsia="zh-CN"/>
        </w:rPr>
      </w:pPr>
    </w:p>
    <w:p w14:paraId="100DC3AE">
      <w:pPr>
        <w:widowControl/>
        <w:rPr>
          <w:rFonts w:hint="eastAsia" w:ascii="Times New Roman" w:hAnsi="Times New Roman" w:eastAsia="黑体" w:cs="Times New Roman"/>
          <w:sz w:val="44"/>
          <w:szCs w:val="44"/>
          <w:lang w:eastAsia="zh-CN"/>
        </w:rPr>
      </w:pPr>
    </w:p>
    <w:p w14:paraId="306F5A7C">
      <w:pPr>
        <w:widowControl/>
        <w:jc w:val="center"/>
        <w:rPr>
          <w:rFonts w:ascii="Times New Roman" w:hAnsi="Times New Roman" w:cs="Times New Roman"/>
          <w:sz w:val="240"/>
          <w:szCs w:val="240"/>
        </w:rPr>
        <w:sectPr>
          <w:pgSz w:w="16838" w:h="11906" w:orient="landscape"/>
          <w:pgMar w:top="1134" w:right="1417" w:bottom="1134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黑体" w:cs="Times New Roman"/>
          <w:sz w:val="44"/>
          <w:szCs w:val="44"/>
          <w:lang w:eastAsia="zh-CN"/>
        </w:rPr>
        <w:t>详情见附件</w:t>
      </w:r>
      <w:r>
        <w:rPr>
          <w:rFonts w:ascii="Times New Roman" w:hAnsi="Times New Roman" w:eastAsia="黑体" w:cs="Times New Roman"/>
          <w:sz w:val="44"/>
          <w:szCs w:val="44"/>
        </w:rPr>
        <w:br w:type="page"/>
      </w:r>
    </w:p>
    <w:p w14:paraId="029BD0B6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0E3435BB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4CCD6D94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32C9E6FA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1B5621E">
      <w:pPr>
        <w:pStyle w:val="12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68C860F2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 w14:paraId="3F5621F2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  <w:lang w:eastAsia="zh-CN"/>
        </w:rPr>
        <w:t>2025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 w14:paraId="38BC7477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 w14:paraId="10B4FA8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 w14:paraId="36440C1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494.03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96.03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16.27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一人异动，工资及社保等支出减少，项目经费较上年减少55.40万元，非税收入较上年减少36.45万元。</w:t>
      </w:r>
    </w:p>
    <w:p w14:paraId="39A0584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 w14:paraId="7AF03A9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494.03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441.55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89.38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，非税收入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52.48万元，占10.62%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4D7099E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 w14:paraId="2DE9DF0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494.03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364.73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73.83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129.30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26.17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037B07AE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 w14:paraId="52377E5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494.03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96.03</w:t>
      </w:r>
      <w:r>
        <w:rPr>
          <w:rFonts w:ascii="Times New Roman" w:hAnsi="Times New Roman" w:eastAsia="仿宋_GB2312" w:cs="Times New Roman"/>
          <w:sz w:val="32"/>
          <w:szCs w:val="32"/>
        </w:rPr>
        <w:t>万元,降低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16.27</w:t>
      </w:r>
      <w:r>
        <w:rPr>
          <w:rFonts w:ascii="Times New Roman" w:hAnsi="Times New Roman" w:eastAsia="仿宋_GB2312" w:cs="Times New Roman"/>
          <w:sz w:val="32"/>
          <w:szCs w:val="32"/>
        </w:rPr>
        <w:t>%，主要是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因为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一人异动，工资及社保等支出减少，项目经费较上年减少55.40万元，非税收入较上年减少36.45万元。</w:t>
      </w:r>
    </w:p>
    <w:p w14:paraId="3726FC3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五、一般公共预算财政拨款支出决算情况说明</w:t>
      </w:r>
    </w:p>
    <w:p w14:paraId="0A26797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7829FF64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441.55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89.38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148.51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25.17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%，主要是因为因为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专项支出较上年减少，公用经费减少，一人异动工资及福利发放减少。</w:t>
      </w:r>
    </w:p>
    <w:p w14:paraId="4CF7E87F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704C03C4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441.55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万元，主要用于以下方面：一般公共服务（类）支出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13.60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3.08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/>
          <w:sz w:val="32"/>
          <w:szCs w:val="32"/>
        </w:rPr>
        <w:t>社会保障和就业（类）支出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24.86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5.63</w:t>
      </w:r>
      <w:r>
        <w:rPr>
          <w:rFonts w:ascii="Times New Roman" w:hAnsi="Times New Roman" w:eastAsia="仿宋_GB2312" w:cs="Times New Roman"/>
          <w:sz w:val="32"/>
          <w:szCs w:val="32"/>
        </w:rPr>
        <w:t>%;</w:t>
      </w:r>
      <w:r>
        <w:rPr>
          <w:rFonts w:hint="eastAsia" w:ascii="Times New Roman" w:hAnsi="Times New Roman" w:eastAsia="仿宋_GB2312"/>
          <w:sz w:val="32"/>
          <w:szCs w:val="32"/>
        </w:rPr>
        <w:t>卫生健康（类）支出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0.53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0.12</w:t>
      </w:r>
      <w:r>
        <w:rPr>
          <w:rFonts w:hint="eastAsia" w:ascii="Times New Roman" w:hAnsi="Times New Roman" w:eastAsia="仿宋_GB2312"/>
          <w:sz w:val="32"/>
          <w:szCs w:val="32"/>
        </w:rPr>
        <w:t>%；农林水（类）支出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402.57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91.17</w:t>
      </w:r>
      <w:r>
        <w:rPr>
          <w:rFonts w:hint="eastAsia" w:ascii="Times New Roman" w:hAnsi="Times New Roman" w:eastAsia="仿宋_GB2312"/>
          <w:sz w:val="32"/>
          <w:szCs w:val="32"/>
        </w:rPr>
        <w:t>%。</w:t>
      </w:r>
    </w:p>
    <w:p w14:paraId="415F363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7D730C26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347.03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441.55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127.24</w:t>
      </w:r>
      <w:r>
        <w:rPr>
          <w:rFonts w:ascii="Times New Roman" w:hAnsi="Times New Roman" w:eastAsia="仿宋_GB2312" w:cs="Times New Roman"/>
          <w:sz w:val="32"/>
          <w:szCs w:val="32"/>
        </w:rPr>
        <w:t>%，其中：</w:t>
      </w:r>
    </w:p>
    <w:p w14:paraId="6CA63BD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1、一般公共服务（类）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组织事物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其他组织事物支出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36F0783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13.60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%，决算数大于年初预算数的主要原因是：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2025年年底绩效奖金13.60万元，年初预算做在农林水支出中。</w:t>
      </w:r>
    </w:p>
    <w:p w14:paraId="12799E89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社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会保障和就业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</w:rPr>
        <w:t>行政事业单位养老支出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</w:rPr>
        <w:t>机关事业单位基本养老保险支出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3F92986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年初预算纳入农林水支出中。</w:t>
      </w:r>
    </w:p>
    <w:p w14:paraId="068378C5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社会保障和就业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</w:rPr>
        <w:t>行政事业单位养老支出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事业单位离退休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52EF083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25.28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24.86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98.34</w:t>
      </w:r>
      <w:r>
        <w:rPr>
          <w:rFonts w:ascii="Times New Roman" w:hAnsi="Times New Roman" w:eastAsia="仿宋_GB2312" w:cs="Times New Roman"/>
          <w:sz w:val="32"/>
          <w:szCs w:val="32"/>
        </w:rPr>
        <w:t>%，决算数小于年初预算数的主要原因是：</w:t>
      </w:r>
      <w:r>
        <w:rPr>
          <w:rFonts w:hint="eastAsia" w:ascii="Times New Roman" w:hAnsi="Times New Roman" w:eastAsia="仿宋_GB2312"/>
          <w:sz w:val="32"/>
          <w:szCs w:val="32"/>
        </w:rPr>
        <w:t>本单位为全额事业单位，退休人员的养老费用等支出由社保负责，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年底统一发放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D5AA812">
      <w:pPr>
        <w:pStyle w:val="12"/>
        <w:spacing w:line="600" w:lineRule="exact"/>
        <w:ind w:firstLine="800" w:firstLineChars="25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4、</w:t>
      </w:r>
      <w:r>
        <w:rPr>
          <w:rFonts w:hint="eastAsia" w:ascii="Times New Roman" w:hAnsi="Times New Roman" w:eastAsia="仿宋_GB2312"/>
          <w:sz w:val="32"/>
          <w:szCs w:val="32"/>
        </w:rPr>
        <w:t>卫生健康支出（类）行政事业单位医疗（款）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行政</w:t>
      </w:r>
      <w:r>
        <w:rPr>
          <w:rFonts w:hint="eastAsia" w:ascii="Times New Roman" w:hAnsi="Times New Roman" w:eastAsia="仿宋_GB2312"/>
          <w:sz w:val="32"/>
          <w:szCs w:val="32"/>
        </w:rPr>
        <w:t>单位医疗（项）。</w:t>
      </w:r>
    </w:p>
    <w:p w14:paraId="1FD709C5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0.53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00</w:t>
      </w:r>
      <w:r>
        <w:rPr>
          <w:rFonts w:hint="eastAsia" w:ascii="Times New Roman" w:hAnsi="Times New Roman" w:eastAsia="仿宋_GB2312"/>
          <w:sz w:val="32"/>
          <w:szCs w:val="32"/>
        </w:rPr>
        <w:t>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大</w:t>
      </w:r>
      <w:r>
        <w:rPr>
          <w:rFonts w:ascii="Times New Roman" w:hAnsi="Times New Roman" w:eastAsia="仿宋_GB2312" w:cs="Times New Roman"/>
          <w:sz w:val="32"/>
          <w:szCs w:val="32"/>
        </w:rPr>
        <w:t>于年初预算数的主要原因是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事业单位医疗保险年初纳入农林水支出中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01C50D7E"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sz w:val="32"/>
          <w:szCs w:val="32"/>
          <w:lang w:val="en-US" w:eastAsia="zh-CN" w:bidi="ar-SA"/>
        </w:rPr>
        <w:t>5、</w:t>
      </w:r>
      <w:r>
        <w:rPr>
          <w:rFonts w:hint="eastAsia" w:ascii="Times New Roman" w:hAnsi="Times New Roman" w:eastAsia="仿宋_GB2312"/>
          <w:sz w:val="32"/>
          <w:szCs w:val="32"/>
        </w:rPr>
        <w:t>农林水支出（类）林业和草原（款）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事业机构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542944F3"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330.44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325.74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98.58</w:t>
      </w:r>
      <w:r>
        <w:rPr>
          <w:rFonts w:hint="eastAsia" w:ascii="Times New Roman" w:hAnsi="Times New Roman" w:eastAsia="仿宋_GB2312"/>
          <w:sz w:val="32"/>
          <w:szCs w:val="32"/>
        </w:rPr>
        <w:t>%，决算数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小于</w:t>
      </w:r>
      <w:r>
        <w:rPr>
          <w:rFonts w:hint="eastAsia" w:ascii="Times New Roman" w:hAnsi="Times New Roman" w:eastAsia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因财力不足，本年度未进行医疗铺底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711A539F"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left="0" w:leftChars="0"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sz w:val="32"/>
          <w:szCs w:val="32"/>
          <w:lang w:val="en-US" w:eastAsia="zh-CN" w:bidi="ar-SA"/>
        </w:rPr>
        <w:t>6、</w:t>
      </w:r>
      <w:r>
        <w:rPr>
          <w:rFonts w:hint="eastAsia" w:ascii="Times New Roman" w:hAnsi="Times New Roman" w:eastAsia="仿宋_GB2312"/>
          <w:sz w:val="32"/>
          <w:szCs w:val="32"/>
        </w:rPr>
        <w:t>农林水支出（类）林业和草原（款）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森林资源管理</w:t>
      </w:r>
      <w:r>
        <w:rPr>
          <w:rFonts w:hint="eastAsia" w:ascii="Times New Roman" w:hAnsi="Times New Roman" w:eastAsia="仿宋_GB2312"/>
          <w:sz w:val="32"/>
          <w:szCs w:val="32"/>
        </w:rPr>
        <w:t>（项）</w:t>
      </w:r>
    </w:p>
    <w:p w14:paraId="21C29419"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71.33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%，决算数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大于</w:t>
      </w:r>
      <w:r>
        <w:rPr>
          <w:rFonts w:hint="eastAsia" w:ascii="Times New Roman" w:hAnsi="Times New Roman" w:eastAsia="仿宋_GB2312"/>
          <w:sz w:val="32"/>
          <w:szCs w:val="32"/>
        </w:rPr>
        <w:t>年初预算数的主要原因是：本年度专项支出列支在森林资源管理科目，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为中央项目，未纳入年初预算中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24A9AA7F">
      <w:pPr>
        <w:pStyle w:val="12"/>
        <w:numPr>
          <w:ilvl w:val="0"/>
          <w:numId w:val="2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农林水支出（类）林业和草原（款）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其他林业和草原支出</w:t>
      </w:r>
      <w:r>
        <w:rPr>
          <w:rFonts w:hint="eastAsia" w:ascii="Times New Roman" w:hAnsi="Times New Roman" w:eastAsia="仿宋_GB2312"/>
          <w:sz w:val="32"/>
          <w:szCs w:val="32"/>
        </w:rPr>
        <w:t>（项）</w:t>
      </w:r>
    </w:p>
    <w:p w14:paraId="03F5C32E">
      <w:pPr>
        <w:pStyle w:val="12"/>
        <w:numPr>
          <w:ilvl w:val="0"/>
          <w:numId w:val="0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101.80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5.50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5.40</w:t>
      </w:r>
      <w:r>
        <w:rPr>
          <w:rFonts w:hint="eastAsia" w:ascii="Times New Roman" w:hAnsi="Times New Roman" w:eastAsia="仿宋_GB2312"/>
          <w:sz w:val="32"/>
          <w:szCs w:val="32"/>
        </w:rPr>
        <w:t>%，决算数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小于</w:t>
      </w:r>
      <w:r>
        <w:rPr>
          <w:rFonts w:hint="eastAsia" w:ascii="Times New Roman" w:hAnsi="Times New Roman" w:eastAsia="仿宋_GB2312"/>
          <w:sz w:val="32"/>
          <w:szCs w:val="32"/>
        </w:rPr>
        <w:t>年初预算数的主要原因是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本年度非税收入及支出列支在非财政拨款的其他林业和草原支出中。</w:t>
      </w:r>
    </w:p>
    <w:p w14:paraId="476E6E37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 w14:paraId="1F74100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364.72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</w:t>
      </w:r>
    </w:p>
    <w:p w14:paraId="600008FE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349.00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95.69</w:t>
      </w:r>
      <w:r>
        <w:rPr>
          <w:rFonts w:ascii="Times New Roman" w:hAnsi="Times New Roman" w:eastAsia="仿宋_GB2312" w:cs="Times New Roman"/>
          <w:sz w:val="32"/>
          <w:szCs w:val="32"/>
        </w:rPr>
        <w:t>%,主要包括基本工资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119.76万元</w:t>
      </w:r>
      <w:r>
        <w:rPr>
          <w:rFonts w:ascii="Times New Roman" w:hAnsi="Times New Roman" w:eastAsia="仿宋_GB2312" w:cs="Times New Roman"/>
          <w:sz w:val="32"/>
          <w:szCs w:val="32"/>
        </w:rPr>
        <w:t>、津贴补贴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54.41万元</w:t>
      </w:r>
      <w:r>
        <w:rPr>
          <w:rFonts w:ascii="Times New Roman" w:hAnsi="Times New Roman" w:eastAsia="仿宋_GB2312" w:cs="Times New Roman"/>
          <w:sz w:val="32"/>
          <w:szCs w:val="32"/>
        </w:rPr>
        <w:t>、奖金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30.25万元</w:t>
      </w:r>
      <w:r>
        <w:rPr>
          <w:rFonts w:ascii="Times New Roman" w:hAnsi="Times New Roman" w:eastAsia="仿宋_GB2312" w:cs="Times New Roman"/>
          <w:sz w:val="32"/>
          <w:szCs w:val="32"/>
        </w:rPr>
        <w:t>、伙食补助费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5.71万元、绩效工资33.54万元、机关事业单位基本养老保险缴费29.49万元、职工基本医疗保险缴费15.98万元、其他社会保障缴费5.27万元、住房公积金27.52万元、生活补助25.26万元、奖励金1.15万元、其他对个人和家庭的补助0.66万元。</w:t>
      </w:r>
    </w:p>
    <w:p w14:paraId="581AA71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15.72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4.31</w:t>
      </w:r>
      <w:r>
        <w:rPr>
          <w:rFonts w:ascii="Times New Roman" w:hAnsi="Times New Roman" w:eastAsia="仿宋_GB2312" w:cs="Times New Roman"/>
          <w:sz w:val="32"/>
          <w:szCs w:val="32"/>
        </w:rPr>
        <w:t>%，主要包括办公费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0.83万元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物业管理费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2.00万元、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差旅费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1.21万元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劳务费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0.60万元、委托业务费0.05万元、工会经费9.06万元、福利费0.34万元、其他交通费1.52万元、其他商品和服务支出0.12万元。</w:t>
      </w:r>
    </w:p>
    <w:p w14:paraId="10C4F30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七、财政拨款“三公”经费支出决算情况说明</w:t>
      </w:r>
      <w:r>
        <w:rPr>
          <w:rFonts w:ascii="Times New Roman" w:hAnsi="Times New Roman" w:eastAsia="楷体_GB2312" w:cs="Times New Roman"/>
          <w:b/>
          <w:bCs/>
          <w:i/>
          <w:color w:val="auto"/>
          <w:sz w:val="32"/>
          <w:szCs w:val="32"/>
        </w:rPr>
        <w:t>（注意：“三公”经费不再是一般公共预算财政拨款口径，而是财政拨款口径）</w:t>
      </w:r>
    </w:p>
    <w:p w14:paraId="2692AEAD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47FCFA19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4.00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1.10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27.50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6.52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85.56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小</w:t>
      </w:r>
      <w:r>
        <w:rPr>
          <w:rFonts w:ascii="Times New Roman" w:hAnsi="Times New Roman" w:eastAsia="仿宋_GB2312" w:cs="Times New Roman"/>
          <w:sz w:val="32"/>
          <w:szCs w:val="32"/>
        </w:rPr>
        <w:t>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公车因购置时间较长，已达报废条件，部分硬件老化易坏，公车使用频率减少。</w:t>
      </w:r>
    </w:p>
    <w:p w14:paraId="7FA8CC2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273FCEF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b/>
          <w:bCs/>
          <w:i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本单位无</w:t>
      </w:r>
      <w:r>
        <w:rPr>
          <w:rFonts w:ascii="Times New Roman" w:hAnsi="Times New Roman" w:eastAsia="仿宋_GB2312" w:cs="Times New Roman"/>
          <w:sz w:val="32"/>
          <w:szCs w:val="32"/>
        </w:rPr>
        <w:t>因公出国（境）费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预算及</w:t>
      </w:r>
      <w:r>
        <w:rPr>
          <w:rFonts w:ascii="Times New Roman" w:hAnsi="Times New Roman" w:eastAsia="仿宋_GB2312" w:cs="Times New Roman"/>
          <w:sz w:val="32"/>
          <w:szCs w:val="32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81B3FE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4.00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1.10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27.50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6.52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85.56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277592A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4.00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1.10</w:t>
      </w:r>
      <w:r>
        <w:rPr>
          <w:rFonts w:ascii="Times New Roman" w:hAnsi="Times New Roman" w:eastAsia="仿宋_GB2312" w:cs="Times New Roman"/>
          <w:sz w:val="32"/>
          <w:szCs w:val="32"/>
        </w:rPr>
        <w:t>万元，主要是</w:t>
      </w:r>
      <w:r>
        <w:rPr>
          <w:rFonts w:hint="eastAsia" w:ascii="Times New Roman" w:hAnsi="Times New Roman" w:eastAsia="仿宋_GB2312"/>
          <w:sz w:val="32"/>
          <w:szCs w:val="32"/>
        </w:rPr>
        <w:t>公车燃料费、公车维修费、司机安全奖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、过路费等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27.50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6.52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85.56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公车因购置时间较长，已达报废条件，部分硬件老化易坏，公车使用频率减少</w:t>
      </w:r>
      <w:r>
        <w:rPr>
          <w:rFonts w:ascii="Times New Roman" w:hAnsi="Times New Roman" w:eastAsia="仿宋_GB2312" w:cs="Times New Roman"/>
          <w:sz w:val="32"/>
          <w:szCs w:val="32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798B0F26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本单位无</w:t>
      </w:r>
      <w:r>
        <w:rPr>
          <w:rFonts w:ascii="Times New Roman" w:hAnsi="Times New Roman" w:eastAsia="仿宋_GB2312" w:cs="Times New Roman"/>
          <w:sz w:val="32"/>
          <w:szCs w:val="32"/>
        </w:rPr>
        <w:t>公务接待费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预算及</w:t>
      </w:r>
      <w:r>
        <w:rPr>
          <w:rFonts w:ascii="Times New Roman" w:hAnsi="Times New Roman" w:eastAsia="仿宋_GB2312" w:cs="Times New Roman"/>
          <w:sz w:val="32"/>
          <w:szCs w:val="32"/>
        </w:rPr>
        <w:t>支出。</w:t>
      </w:r>
    </w:p>
    <w:p w14:paraId="2538FA0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 w14:paraId="482942AF">
      <w:pPr>
        <w:pStyle w:val="1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本单位无政府性基金收支。</w:t>
      </w:r>
    </w:p>
    <w:p w14:paraId="525142EB">
      <w:pPr>
        <w:pStyle w:val="12"/>
        <w:numPr>
          <w:ilvl w:val="0"/>
          <w:numId w:val="3"/>
        </w:numPr>
        <w:spacing w:line="600" w:lineRule="exact"/>
        <w:ind w:firstLine="640" w:firstLineChars="200"/>
        <w:rPr>
          <w:rFonts w:hAnsi="黑体"/>
          <w:bCs/>
          <w:sz w:val="32"/>
          <w:szCs w:val="32"/>
        </w:rPr>
      </w:pPr>
      <w:r>
        <w:rPr>
          <w:rFonts w:hint="eastAsia" w:hAnsi="黑体"/>
          <w:bCs/>
          <w:sz w:val="32"/>
          <w:szCs w:val="32"/>
        </w:rPr>
        <w:t>国有资本经营预算财政拨款收入支出决算情况说明</w:t>
      </w:r>
    </w:p>
    <w:p w14:paraId="52E2EC7A">
      <w:pPr>
        <w:pStyle w:val="1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本单位无国有资本经营预算财政拨款收入支出。</w:t>
      </w:r>
    </w:p>
    <w:p w14:paraId="2B88BA77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十、</w:t>
      </w:r>
      <w:r>
        <w:rPr>
          <w:rFonts w:ascii="Times New Roman" w:hAnsi="Times New Roman" w:cs="Times New Roman"/>
          <w:bCs/>
          <w:sz w:val="32"/>
          <w:szCs w:val="32"/>
        </w:rPr>
        <w:t>关于机关运行经费支出说明</w:t>
      </w:r>
    </w:p>
    <w:p w14:paraId="2CF9E90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机关运行经费是为保障行政单位（包括参照公务员法管理的事业单位）运行，用一般公共预算拨款安排用于购买货物和服务的各项资金。我单位为事业单位，用于购买货物和服务的各项资金不属于机关运行经费。</w:t>
      </w:r>
    </w:p>
    <w:p w14:paraId="0A1AB6C4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一</w:t>
      </w:r>
      <w:r>
        <w:rPr>
          <w:rFonts w:ascii="Times New Roman" w:hAnsi="Times New Roman" w:cs="Times New Roman"/>
          <w:bCs/>
          <w:sz w:val="32"/>
          <w:szCs w:val="32"/>
        </w:rPr>
        <w:t>、一般性支出情况说明</w:t>
      </w:r>
    </w:p>
    <w:p w14:paraId="5A4CF985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培训费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1.08万元，用于监理工程师线下培训，人数6人，内容为监理工程师课程学习；开支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培训费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0.48万元，用于营造林工程师培训，人数4人，内容为营造林资质课程学习；开支培训费0.69万元，用于森林样地调查，人数17人，内容为森林样地调查技术规程培训；开支培训费0.58万元，用于图斑调查培训，人数4人，内容为图斑调查技术规程培训；开支培训费0.62万元，用于林草湿荒综合监测培训，人数9人，内容为林草湿荒综合监测项目技术培训；开支培训费0.31万元，用于资质培训，人数17人，内容为2024年在职人员继续教育培训；开支培训费0.31万元，用于继续教育培训，人数17人，内容为2025年在职人员继续教育培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A694616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二</w:t>
      </w:r>
      <w:r>
        <w:rPr>
          <w:rFonts w:ascii="Times New Roman" w:hAnsi="Times New Roman" w:cs="Times New Roman"/>
          <w:bCs/>
          <w:sz w:val="32"/>
          <w:szCs w:val="32"/>
        </w:rPr>
        <w:t>、关于政府采购支出说明</w:t>
      </w:r>
    </w:p>
    <w:p w14:paraId="349C1D2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36.20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2.58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33.62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36.20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36.20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2ABB40CF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eastAsia="zh-CN"/>
        </w:rPr>
        <w:t>三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、关于国有资产占用情况说明</w:t>
      </w:r>
    </w:p>
    <w:p w14:paraId="7CB2485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年12月31日，部门（单位）共有车辆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主要负责人用车0辆、机要通信用车0辆、应急保障用车0辆、执法执勤用车0辆、特种专业技术用车0辆、离退休干部服务用车0辆、其他用车1辆，其他用车主要是</w:t>
      </w:r>
      <w:r>
        <w:rPr>
          <w:rFonts w:hint="eastAsia" w:ascii="Times New Roman" w:hAnsi="Times New Roman" w:eastAsia="仿宋_GB2312"/>
          <w:sz w:val="32"/>
          <w:szCs w:val="32"/>
        </w:rPr>
        <w:t>单位保留的业务用车，主要用于野外森林资源监测、调查、评估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；单位价值100万元以上设备（不含车辆）0台（套）。</w:t>
      </w:r>
    </w:p>
    <w:p w14:paraId="473F92A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  <w:lang w:eastAsia="zh-CN"/>
        </w:rPr>
        <w:t>四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 w14:paraId="25A137DA">
      <w:pPr>
        <w:pStyle w:val="12"/>
        <w:spacing w:line="58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129.30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76.83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17.40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是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单位整体支出绩效情况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组织对所属单位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林草湿荒综合监测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“202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年省级检查验收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”“林业技术服务”“十五五规划”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个项目开展了部门评价，涉及一般公共预算支出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76.83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 w14:paraId="1FABBCF7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绩效评价结果。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636.75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494.03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77.59</w:t>
      </w:r>
      <w:r>
        <w:rPr>
          <w:rFonts w:ascii="Times New Roman" w:hAnsi="Times New Roman" w:eastAsia="仿宋_GB2312" w:cs="Times New Roman"/>
          <w:sz w:val="32"/>
          <w:szCs w:val="32"/>
        </w:rPr>
        <w:t>%。绩效目标完成情况：一是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完成怀化市森林固定样地调查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完成怀化市森林蓄积量调查技术指导和省级质量检查；三是完成怀化市图斑监测工作；四是完成怀化市林业“十五五”发展规划等</w:t>
      </w:r>
      <w:r>
        <w:rPr>
          <w:rFonts w:ascii="Times New Roman" w:hAnsi="Times New Roman" w:eastAsia="仿宋_GB2312" w:cs="Times New Roman"/>
          <w:sz w:val="32"/>
          <w:szCs w:val="32"/>
        </w:rPr>
        <w:t>。发现的主要问题及原因：一是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设备更新迭代较快，现有的设备无法完全满足项目需求，购置新设备受限较多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专项资金拨付与专项工作实施时间不一致，影响设备及专用材料的购置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三是专项资金解冻时间较晚，导致资金支付延迟。</w:t>
      </w:r>
      <w:r>
        <w:rPr>
          <w:rFonts w:ascii="Times New Roman" w:hAnsi="Times New Roman" w:eastAsia="仿宋_GB2312" w:cs="Times New Roman"/>
          <w:sz w:val="32"/>
          <w:szCs w:val="32"/>
        </w:rPr>
        <w:t>下一步改进措施：一是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做好思想工作，积极开展项目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落实资金的下拨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400C442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72"/>
          <w:szCs w:val="72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厉行节约，缩减不必要开支，提前做好项目资金预算，严格按照预算执行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5D66C931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01278849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5A9DBA35">
      <w:pPr>
        <w:pStyle w:val="12"/>
        <w:jc w:val="both"/>
        <w:rPr>
          <w:rFonts w:ascii="Times New Roman" w:hAnsi="Times New Roman" w:cs="Times New Roman"/>
          <w:sz w:val="72"/>
          <w:szCs w:val="72"/>
        </w:rPr>
      </w:pPr>
    </w:p>
    <w:p w14:paraId="166A27AC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第四部分    名词解释</w:t>
      </w:r>
    </w:p>
    <w:p w14:paraId="66EC408F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61A54A16"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一、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机关运行经费：为保障行政单位（包括参照公务员法管理的事业单位）运行，用一般公共预算拨款安排用于购买货物和服务的各项资金，包括办公及印刷费、邮电费、差旅费、会议费、福利费、日常维修费、办公用房水电费、办公用房取暖费、办公用房物业管理费、公务用车运行维护费以及其他费用。</w:t>
      </w:r>
    </w:p>
    <w:p w14:paraId="1780D9B1">
      <w:pPr>
        <w:ind w:firstLine="640" w:firstLineChars="200"/>
        <w:jc w:val="lef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“三公”经费：纳入财政预算管理的“三公“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4ABB2F08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3EA19B0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6A910CAD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15ABA29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9EFAC06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034492B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440E4DA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56D6823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FDC1D49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0E85E36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第五部分   附 件</w:t>
      </w:r>
    </w:p>
    <w:p w14:paraId="530A58E0">
      <w:pPr>
        <w:rPr>
          <w:rFonts w:ascii="Times New Roman" w:hAnsi="Times New Roman" w:cs="Times New Roman"/>
          <w:sz w:val="72"/>
          <w:szCs w:val="72"/>
        </w:rPr>
      </w:pPr>
    </w:p>
    <w:p w14:paraId="29BED8E1">
      <w:pPr>
        <w:pStyle w:val="12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一、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怀化市林业调查设计院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2025年决算公开表</w:t>
      </w:r>
    </w:p>
    <w:p w14:paraId="276C7651">
      <w:pPr>
        <w:pStyle w:val="12"/>
        <w:ind w:left="638" w:leftChars="304" w:firstLine="0" w:firstLineChars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二、怀化市林业调查设计院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度单位整体支出绩效自评报告</w:t>
      </w:r>
    </w:p>
    <w:p w14:paraId="722E6A80">
      <w:pPr>
        <w:pStyle w:val="12"/>
        <w:ind w:left="638" w:leftChars="304" w:firstLine="0" w:firstLineChars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怀化市林业调查设计院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2025年市级项目支出绩效自评报告</w:t>
      </w:r>
    </w:p>
    <w:p w14:paraId="5B71EFB9">
      <w:pPr>
        <w:pStyle w:val="12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56F2903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4268032F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2E6C6323"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C386D4-7BE3-418E-BC7A-F1EEEDD355B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B416BE0-2F00-458C-B3BA-05E0F47AABE9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18964B0-3C11-4747-8814-4B209FE08B8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7ABEFCC4-F860-4CC1-A5C2-F4B6F54764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DE17D75-5CCC-4542-B3D9-E28B17D3BFE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039A9B66-1238-46E3-A012-2F1FBC0498A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FF75F8D-B4AC-47A3-8D24-87133A3FB4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22B5B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A056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A28A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CFB65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CFB65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B792B7"/>
    <w:multiLevelType w:val="singleLevel"/>
    <w:tmpl w:val="93B792B7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13F25E3"/>
    <w:multiLevelType w:val="singleLevel"/>
    <w:tmpl w:val="213F25E3"/>
    <w:lvl w:ilvl="0" w:tentative="0">
      <w:start w:val="7"/>
      <w:numFmt w:val="decimal"/>
      <w:suff w:val="nothing"/>
      <w:lvlText w:val="%1、"/>
      <w:lvlJc w:val="left"/>
    </w:lvl>
  </w:abstractNum>
  <w:abstractNum w:abstractNumId="2">
    <w:nsid w:val="7CE22DB6"/>
    <w:multiLevelType w:val="singleLevel"/>
    <w:tmpl w:val="7CE22DB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A2205D6"/>
    <w:rsid w:val="12875022"/>
    <w:rsid w:val="12C14E1A"/>
    <w:rsid w:val="1D97DEFF"/>
    <w:rsid w:val="1DFF72E5"/>
    <w:rsid w:val="1EFC6F07"/>
    <w:rsid w:val="2FDF85B8"/>
    <w:rsid w:val="2FFFEE04"/>
    <w:rsid w:val="34DF85B0"/>
    <w:rsid w:val="385F2883"/>
    <w:rsid w:val="3B4F3D26"/>
    <w:rsid w:val="3B8F36BC"/>
    <w:rsid w:val="3EBC7FBA"/>
    <w:rsid w:val="40AF442B"/>
    <w:rsid w:val="491FF225"/>
    <w:rsid w:val="49373210"/>
    <w:rsid w:val="49EA01A7"/>
    <w:rsid w:val="4FFD214C"/>
    <w:rsid w:val="54F14BBA"/>
    <w:rsid w:val="5777D4F5"/>
    <w:rsid w:val="59357663"/>
    <w:rsid w:val="59DD8326"/>
    <w:rsid w:val="5DEF592A"/>
    <w:rsid w:val="5F4E6D9B"/>
    <w:rsid w:val="5FC6BB1E"/>
    <w:rsid w:val="5FF720F1"/>
    <w:rsid w:val="67FF5C0B"/>
    <w:rsid w:val="69407A67"/>
    <w:rsid w:val="6EFC0924"/>
    <w:rsid w:val="6FB74722"/>
    <w:rsid w:val="6FEF8B7E"/>
    <w:rsid w:val="704A3D66"/>
    <w:rsid w:val="70D27883"/>
    <w:rsid w:val="71175551"/>
    <w:rsid w:val="71A6591B"/>
    <w:rsid w:val="737D59BA"/>
    <w:rsid w:val="77C37683"/>
    <w:rsid w:val="79274202"/>
    <w:rsid w:val="79D19834"/>
    <w:rsid w:val="79FF515B"/>
    <w:rsid w:val="7E9E1962"/>
    <w:rsid w:val="7E9F11B4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FF7D786"/>
    <w:rsid w:val="ABBFB23D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4032</Words>
  <Characters>4594</Characters>
  <Lines>69</Lines>
  <Paragraphs>19</Paragraphs>
  <TotalTime>33</TotalTime>
  <ScaleCrop>false</ScaleCrop>
  <LinksUpToDate>false</LinksUpToDate>
  <CharactersWithSpaces>4606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2025-08-18T10:17:00Z</dcterms:created>
  <dc:creator>李航 null</dc:creator>
  <cp:lastModifiedBy>梁梦芸</cp:lastModifiedBy>
  <cp:lastPrinted>2024-08-08T18:20:00Z</cp:lastPrinted>
  <dcterms:modified xsi:type="dcterms:W3CDTF">2026-09-24T03:18:16Z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BB7B6AA21D207914D6FDA268992A22D6</vt:lpwstr>
  </property>
  <property fmtid="{D5CDD505-2E9C-101B-9397-08002B2CF9AE}" pid="4" name="KSOTemplateDocerSaveRecord">
    <vt:lpwstr>eyJoZGlkIjoiYTI3MWRmZDFiYWFlNzU0ODExN2FiNThlYjk0NDIwZmQiLCJ1c2VySWQiOiIzOTY2NjE2NzQifQ==</vt:lpwstr>
  </property>
</Properties>
</file>