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6B26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附件5</w:t>
      </w:r>
    </w:p>
    <w:p w14:paraId="3C97A12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061C4A5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6D66163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200" w:firstLineChars="3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2712F13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200" w:firstLineChars="3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6057E67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200" w:firstLineChars="3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3E898E4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200" w:firstLineChars="3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1FF18E1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200" w:firstLineChars="3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42E7952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200" w:firstLineChars="3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5F63BA9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200" w:firstLineChars="3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5AF2BBF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jc w:val="center"/>
        <w:textAlignment w:val="auto"/>
        <w:rPr>
          <w:rFonts w:hint="eastAsia" w:ascii="方正小标宋_GBK" w:hAnsi="方正小标宋_GBK" w:eastAsia="方正小标宋_GBK" w:cs="方正小标宋_GBK"/>
          <w:i w:val="0"/>
          <w:iCs w:val="0"/>
          <w:caps w:val="0"/>
          <w:color w:val="000000"/>
          <w:spacing w:val="0"/>
          <w:sz w:val="44"/>
          <w:szCs w:val="44"/>
          <w:shd w:val="clear" w:fill="FFFFFF"/>
          <w:lang w:val="en-US" w:eastAsia="zh-CN"/>
        </w:rPr>
      </w:pPr>
      <w:r>
        <w:rPr>
          <w:rFonts w:hint="eastAsia" w:ascii="方正小标宋_GBK" w:hAnsi="方正小标宋_GBK" w:eastAsia="方正小标宋_GBK" w:cs="方正小标宋_GBK"/>
          <w:i w:val="0"/>
          <w:iCs w:val="0"/>
          <w:caps w:val="0"/>
          <w:color w:val="000000"/>
          <w:spacing w:val="0"/>
          <w:sz w:val="44"/>
          <w:szCs w:val="44"/>
          <w:shd w:val="clear" w:fill="FFFFFF"/>
          <w:lang w:val="en-US" w:eastAsia="zh-CN"/>
        </w:rPr>
        <w:t>2025年度怀化市林</w:t>
      </w:r>
      <w:bookmarkStart w:id="0" w:name="_GoBack"/>
      <w:bookmarkEnd w:id="0"/>
      <w:r>
        <w:rPr>
          <w:rFonts w:hint="eastAsia" w:ascii="方正小标宋_GBK" w:hAnsi="方正小标宋_GBK" w:eastAsia="方正小标宋_GBK" w:cs="方正小标宋_GBK"/>
          <w:i w:val="0"/>
          <w:iCs w:val="0"/>
          <w:caps w:val="0"/>
          <w:color w:val="000000"/>
          <w:spacing w:val="0"/>
          <w:sz w:val="44"/>
          <w:szCs w:val="44"/>
          <w:shd w:val="clear" w:fill="FFFFFF"/>
          <w:lang w:val="en-US" w:eastAsia="zh-CN"/>
        </w:rPr>
        <w:t>业调查设计院整体</w:t>
      </w:r>
    </w:p>
    <w:p w14:paraId="0790C8D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jc w:val="center"/>
        <w:textAlignment w:val="auto"/>
        <w:rPr>
          <w:rFonts w:hint="eastAsia" w:ascii="方正小标宋_GBK" w:hAnsi="方正小标宋_GBK" w:eastAsia="方正小标宋_GBK" w:cs="方正小标宋_GBK"/>
          <w:i w:val="0"/>
          <w:iCs w:val="0"/>
          <w:caps w:val="0"/>
          <w:color w:val="000000"/>
          <w:spacing w:val="0"/>
          <w:sz w:val="44"/>
          <w:szCs w:val="44"/>
          <w:shd w:val="clear" w:fill="FFFFFF"/>
          <w:lang w:val="en-US" w:eastAsia="zh-CN"/>
        </w:rPr>
      </w:pPr>
      <w:r>
        <w:rPr>
          <w:rFonts w:hint="eastAsia" w:ascii="方正小标宋_GBK" w:hAnsi="方正小标宋_GBK" w:eastAsia="方正小标宋_GBK" w:cs="方正小标宋_GBK"/>
          <w:i w:val="0"/>
          <w:iCs w:val="0"/>
          <w:caps w:val="0"/>
          <w:color w:val="000000"/>
          <w:spacing w:val="0"/>
          <w:sz w:val="44"/>
          <w:szCs w:val="44"/>
          <w:shd w:val="clear" w:fill="FFFFFF"/>
          <w:lang w:val="en-US" w:eastAsia="zh-CN"/>
        </w:rPr>
        <w:t>支出绩效自评报告</w:t>
      </w:r>
    </w:p>
    <w:p w14:paraId="3EB9AEA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center"/>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774F0B8B">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70C3976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单位名称（盖章）：怀化市林业调查设计院</w:t>
      </w:r>
    </w:p>
    <w:p w14:paraId="5BF93EE9">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5A6B4206">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4A07637E">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5F6BF6F1">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73738E69">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487B6A2D">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6C8161AF">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19416435">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0FB83E6B">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7CC7508D">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1F16B620">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一、部门概况</w:t>
      </w:r>
    </w:p>
    <w:p w14:paraId="0B4ECFD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（一）单位基本情况。</w:t>
      </w:r>
    </w:p>
    <w:p w14:paraId="1E377D4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color w:val="auto"/>
          <w:sz w:val="32"/>
          <w:szCs w:val="32"/>
          <w:highlight w:val="none"/>
          <w:lang w:val="en-US" w:eastAsia="zh-CN"/>
        </w:rPr>
        <w:t>怀化市林业调查设计院隶属怀化市林业局，是全额拨款的事业单位，财务执行独立核算。单位现有在职人员17人，其中高级工程师4人，中级工程师 12人，助理工程师1人，设有5个科室，分别是资源监测办、生态评价办、科学技术办、办公室、财务室。2013年获得中国林业工程建设协会颁发的林业调查规划设计甲B级资质，主要业务范围包括：森林资源调查监测和评价；占用征收林地可行性报告编制；森林资源规划设计调查；林业专项核查；林业作业设计调查等。</w:t>
      </w:r>
    </w:p>
    <w:p w14:paraId="42FF960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（二）单位整体支出规模、使用方向和主要内容、涉及范围等。</w:t>
      </w:r>
    </w:p>
    <w:p w14:paraId="1BD5DC7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预算支出457.53万元，实际支出494.03万元，预算执行率107.98%，主要用于在职人员工资及奖金，社会保障缴费等福利开支；主要用于本单位差旅费、水电费、办公费、工会经费、物业费、公务用车运行维护费、劳务费等费用开支；以及退休人员一次性生活补贴及福利开支。</w:t>
      </w:r>
    </w:p>
    <w:p w14:paraId="1F950FF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二、一般公共预算支出情况</w:t>
      </w:r>
    </w:p>
    <w:p w14:paraId="6A0235D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（一）基本支出</w:t>
      </w:r>
    </w:p>
    <w:p w14:paraId="150757D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2025年基本支出364.72万元。</w:t>
      </w:r>
    </w:p>
    <w:p w14:paraId="3CDF976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工资福利支出321.93万元，其中：在职人员工资207.71万元、奖金30.25万元、社会保障（养老、医疗、其他社保）缴费50.74万元、住房公积金27.52万元、伙食补助费5.71万元。</w:t>
      </w:r>
    </w:p>
    <w:p w14:paraId="00A3412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商品和服务支出</w:t>
      </w:r>
      <w:r>
        <w:rPr>
          <w:rFonts w:hint="eastAsia" w:ascii="仿宋" w:hAnsi="仿宋" w:eastAsia="仿宋" w:cs="仿宋"/>
          <w:color w:val="auto"/>
          <w:sz w:val="32"/>
          <w:szCs w:val="32"/>
          <w:highlight w:val="none"/>
          <w:lang w:val="en-US" w:eastAsia="zh-CN"/>
        </w:rPr>
        <w:t>15.72</w:t>
      </w:r>
      <w:r>
        <w:rPr>
          <w:rFonts w:hint="default" w:ascii="仿宋" w:hAnsi="仿宋" w:eastAsia="仿宋" w:cs="仿宋"/>
          <w:color w:val="auto"/>
          <w:sz w:val="32"/>
          <w:szCs w:val="32"/>
          <w:highlight w:val="none"/>
          <w:lang w:val="en-US" w:eastAsia="zh-CN"/>
        </w:rPr>
        <w:t>万元，其中：办公费0.</w:t>
      </w:r>
      <w:r>
        <w:rPr>
          <w:rFonts w:hint="eastAsia" w:ascii="仿宋" w:hAnsi="仿宋" w:eastAsia="仿宋" w:cs="仿宋"/>
          <w:color w:val="auto"/>
          <w:sz w:val="32"/>
          <w:szCs w:val="32"/>
          <w:highlight w:val="none"/>
          <w:lang w:val="en-US" w:eastAsia="zh-CN"/>
        </w:rPr>
        <w:t>83</w:t>
      </w:r>
      <w:r>
        <w:rPr>
          <w:rFonts w:hint="default" w:ascii="仿宋" w:hAnsi="仿宋" w:eastAsia="仿宋" w:cs="仿宋"/>
          <w:color w:val="auto"/>
          <w:sz w:val="32"/>
          <w:szCs w:val="32"/>
          <w:highlight w:val="none"/>
          <w:lang w:val="en-US" w:eastAsia="zh-CN"/>
        </w:rPr>
        <w:t>万元，主要用于办公用品耗材开支；</w:t>
      </w:r>
      <w:r>
        <w:rPr>
          <w:rFonts w:hint="eastAsia" w:ascii="仿宋" w:hAnsi="仿宋" w:eastAsia="仿宋" w:cs="仿宋"/>
          <w:color w:val="auto"/>
          <w:sz w:val="32"/>
          <w:szCs w:val="32"/>
          <w:highlight w:val="none"/>
          <w:lang w:val="en-US" w:eastAsia="zh-CN"/>
        </w:rPr>
        <w:t>物业管理</w:t>
      </w:r>
      <w:r>
        <w:rPr>
          <w:rFonts w:hint="default" w:ascii="仿宋" w:hAnsi="仿宋" w:eastAsia="仿宋" w:cs="仿宋"/>
          <w:color w:val="auto"/>
          <w:sz w:val="32"/>
          <w:szCs w:val="32"/>
          <w:highlight w:val="none"/>
          <w:lang w:val="en-US" w:eastAsia="zh-CN"/>
        </w:rPr>
        <w:t>费</w:t>
      </w:r>
      <w:r>
        <w:rPr>
          <w:rFonts w:hint="eastAsia" w:ascii="仿宋" w:hAnsi="仿宋" w:eastAsia="仿宋" w:cs="仿宋"/>
          <w:color w:val="auto"/>
          <w:sz w:val="32"/>
          <w:szCs w:val="32"/>
          <w:highlight w:val="none"/>
          <w:lang w:val="en-US" w:eastAsia="zh-CN"/>
        </w:rPr>
        <w:t>2.00</w:t>
      </w:r>
      <w:r>
        <w:rPr>
          <w:rFonts w:hint="default" w:ascii="仿宋" w:hAnsi="仿宋" w:eastAsia="仿宋" w:cs="仿宋"/>
          <w:color w:val="auto"/>
          <w:sz w:val="32"/>
          <w:szCs w:val="32"/>
          <w:highlight w:val="none"/>
          <w:lang w:val="en-US" w:eastAsia="zh-CN"/>
        </w:rPr>
        <w:t>万元，主要用于</w:t>
      </w:r>
      <w:r>
        <w:rPr>
          <w:rFonts w:hint="eastAsia" w:ascii="仿宋" w:hAnsi="仿宋" w:eastAsia="仿宋" w:cs="仿宋"/>
          <w:color w:val="auto"/>
          <w:sz w:val="32"/>
          <w:szCs w:val="32"/>
          <w:highlight w:val="none"/>
          <w:lang w:val="en-US" w:eastAsia="zh-CN"/>
        </w:rPr>
        <w:t>单位缴纳物业管理支出</w:t>
      </w:r>
      <w:r>
        <w:rPr>
          <w:rFonts w:hint="default" w:ascii="仿宋" w:hAnsi="仿宋" w:eastAsia="仿宋" w:cs="仿宋"/>
          <w:color w:val="auto"/>
          <w:sz w:val="32"/>
          <w:szCs w:val="32"/>
          <w:highlight w:val="none"/>
          <w:lang w:val="en-US" w:eastAsia="zh-CN"/>
        </w:rPr>
        <w:t>；</w:t>
      </w:r>
      <w:r>
        <w:rPr>
          <w:rFonts w:hint="eastAsia" w:ascii="仿宋" w:hAnsi="仿宋" w:eastAsia="仿宋" w:cs="仿宋"/>
          <w:color w:val="auto"/>
          <w:sz w:val="32"/>
          <w:szCs w:val="32"/>
          <w:highlight w:val="none"/>
          <w:lang w:val="en-US" w:eastAsia="zh-CN"/>
        </w:rPr>
        <w:t>差旅费1.21万元，主要用于差旅支出；劳务费0.60万元，主要用于单位保洁阿姨劳务开支；委托业务费0.05万元，主要用于委托第三方完成单位业务；</w:t>
      </w:r>
      <w:r>
        <w:rPr>
          <w:rFonts w:hint="default" w:ascii="仿宋" w:hAnsi="仿宋" w:eastAsia="仿宋" w:cs="仿宋"/>
          <w:color w:val="auto"/>
          <w:sz w:val="32"/>
          <w:szCs w:val="32"/>
          <w:highlight w:val="none"/>
          <w:lang w:val="en-US" w:eastAsia="zh-CN"/>
        </w:rPr>
        <w:t>工会经费9.0</w:t>
      </w:r>
      <w:r>
        <w:rPr>
          <w:rFonts w:hint="eastAsia" w:ascii="仿宋" w:hAnsi="仿宋" w:eastAsia="仿宋" w:cs="仿宋"/>
          <w:color w:val="auto"/>
          <w:sz w:val="32"/>
          <w:szCs w:val="32"/>
          <w:highlight w:val="none"/>
          <w:lang w:val="en-US" w:eastAsia="zh-CN"/>
        </w:rPr>
        <w:t>6</w:t>
      </w:r>
      <w:r>
        <w:rPr>
          <w:rFonts w:hint="default" w:ascii="仿宋" w:hAnsi="仿宋" w:eastAsia="仿宋" w:cs="仿宋"/>
          <w:color w:val="auto"/>
          <w:sz w:val="32"/>
          <w:szCs w:val="32"/>
          <w:highlight w:val="none"/>
          <w:lang w:val="en-US" w:eastAsia="zh-CN"/>
        </w:rPr>
        <w:t>万元，用于单位工会行政补助及拨缴经费的发放；福利费0.</w:t>
      </w:r>
      <w:r>
        <w:rPr>
          <w:rFonts w:hint="eastAsia" w:ascii="仿宋" w:hAnsi="仿宋" w:eastAsia="仿宋" w:cs="仿宋"/>
          <w:color w:val="auto"/>
          <w:sz w:val="32"/>
          <w:szCs w:val="32"/>
          <w:highlight w:val="none"/>
          <w:lang w:val="en-US" w:eastAsia="zh-CN"/>
        </w:rPr>
        <w:t>34</w:t>
      </w:r>
      <w:r>
        <w:rPr>
          <w:rFonts w:hint="default" w:ascii="仿宋" w:hAnsi="仿宋" w:eastAsia="仿宋" w:cs="仿宋"/>
          <w:color w:val="auto"/>
          <w:sz w:val="32"/>
          <w:szCs w:val="32"/>
          <w:highlight w:val="none"/>
          <w:lang w:val="en-US" w:eastAsia="zh-CN"/>
        </w:rPr>
        <w:t>万元，主要用于退役军人八一慰问发放等；其他交通费用</w:t>
      </w:r>
      <w:r>
        <w:rPr>
          <w:rFonts w:hint="eastAsia" w:ascii="仿宋" w:hAnsi="仿宋" w:eastAsia="仿宋" w:cs="仿宋"/>
          <w:color w:val="auto"/>
          <w:sz w:val="32"/>
          <w:szCs w:val="32"/>
          <w:highlight w:val="none"/>
          <w:lang w:val="en-US" w:eastAsia="zh-CN"/>
        </w:rPr>
        <w:t>1.52</w:t>
      </w:r>
      <w:r>
        <w:rPr>
          <w:rFonts w:hint="default" w:ascii="仿宋" w:hAnsi="仿宋" w:eastAsia="仿宋" w:cs="仿宋"/>
          <w:color w:val="auto"/>
          <w:sz w:val="32"/>
          <w:szCs w:val="32"/>
          <w:highlight w:val="none"/>
          <w:lang w:val="en-US" w:eastAsia="zh-CN"/>
        </w:rPr>
        <w:t>万元，主要用于党建租车费及乡村振兴交通费用等；其他商品和服务支出0.</w:t>
      </w:r>
      <w:r>
        <w:rPr>
          <w:rFonts w:hint="eastAsia" w:ascii="仿宋" w:hAnsi="仿宋" w:eastAsia="仿宋" w:cs="仿宋"/>
          <w:color w:val="auto"/>
          <w:sz w:val="32"/>
          <w:szCs w:val="32"/>
          <w:highlight w:val="none"/>
          <w:lang w:val="en-US" w:eastAsia="zh-CN"/>
        </w:rPr>
        <w:t>12</w:t>
      </w:r>
      <w:r>
        <w:rPr>
          <w:rFonts w:hint="default" w:ascii="仿宋" w:hAnsi="仿宋" w:eastAsia="仿宋" w:cs="仿宋"/>
          <w:color w:val="auto"/>
          <w:sz w:val="32"/>
          <w:szCs w:val="32"/>
          <w:highlight w:val="none"/>
          <w:lang w:val="en-US" w:eastAsia="zh-CN"/>
        </w:rPr>
        <w:t>万元，用于党建费用、其他商品支出等。</w:t>
      </w:r>
    </w:p>
    <w:p w14:paraId="413C3A2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“三公”经费开支</w:t>
      </w:r>
      <w:r>
        <w:rPr>
          <w:rFonts w:hint="eastAsia" w:ascii="仿宋" w:hAnsi="仿宋" w:eastAsia="仿宋" w:cs="仿宋"/>
          <w:color w:val="auto"/>
          <w:sz w:val="32"/>
          <w:szCs w:val="32"/>
          <w:highlight w:val="none"/>
          <w:lang w:val="en-US" w:eastAsia="zh-CN"/>
        </w:rPr>
        <w:t>1.10</w:t>
      </w:r>
      <w:r>
        <w:rPr>
          <w:rFonts w:hint="default" w:ascii="仿宋" w:hAnsi="仿宋" w:eastAsia="仿宋" w:cs="仿宋"/>
          <w:color w:val="auto"/>
          <w:sz w:val="32"/>
          <w:szCs w:val="32"/>
          <w:highlight w:val="none"/>
          <w:lang w:val="en-US" w:eastAsia="zh-CN"/>
        </w:rPr>
        <w:t>万元，</w:t>
      </w:r>
      <w:r>
        <w:rPr>
          <w:rFonts w:hint="eastAsia" w:ascii="仿宋" w:hAnsi="仿宋" w:eastAsia="仿宋" w:cs="仿宋"/>
          <w:color w:val="auto"/>
          <w:sz w:val="32"/>
          <w:szCs w:val="32"/>
          <w:highlight w:val="none"/>
          <w:lang w:val="en-US" w:eastAsia="zh-CN"/>
        </w:rPr>
        <w:t>主要用于公务用车运行维护费，考虑到资金的实际使用情况，用非税资金支出，本年度非税收入以林业技术服务项目形式下拨</w:t>
      </w:r>
      <w:r>
        <w:rPr>
          <w:rFonts w:hint="default" w:ascii="仿宋" w:hAnsi="仿宋" w:eastAsia="仿宋" w:cs="仿宋"/>
          <w:color w:val="auto"/>
          <w:sz w:val="32"/>
          <w:szCs w:val="32"/>
          <w:highlight w:val="none"/>
          <w:lang w:val="en-US" w:eastAsia="zh-CN"/>
        </w:rPr>
        <w:t>；</w:t>
      </w:r>
    </w:p>
    <w:p w14:paraId="2D1B277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仿宋" w:hAnsi="仿宋" w:eastAsia="仿宋" w:cs="仿宋"/>
          <w:color w:val="auto"/>
          <w:sz w:val="32"/>
          <w:szCs w:val="32"/>
          <w:highlight w:val="none"/>
          <w:lang w:val="en-US" w:eastAsia="zh-CN"/>
        </w:rPr>
        <w:t>对个人和家庭的补助开支</w:t>
      </w:r>
      <w:r>
        <w:rPr>
          <w:rFonts w:hint="eastAsia" w:ascii="仿宋" w:hAnsi="仿宋" w:eastAsia="仿宋" w:cs="仿宋"/>
          <w:color w:val="auto"/>
          <w:sz w:val="32"/>
          <w:szCs w:val="32"/>
          <w:highlight w:val="none"/>
          <w:lang w:val="en-US" w:eastAsia="zh-CN"/>
        </w:rPr>
        <w:t>27.07</w:t>
      </w:r>
      <w:r>
        <w:rPr>
          <w:rFonts w:hint="default" w:ascii="仿宋" w:hAnsi="仿宋" w:eastAsia="仿宋" w:cs="仿宋"/>
          <w:color w:val="auto"/>
          <w:sz w:val="32"/>
          <w:szCs w:val="32"/>
          <w:highlight w:val="none"/>
          <w:lang w:val="en-US" w:eastAsia="zh-CN"/>
        </w:rPr>
        <w:t>万元，其中用于退休人员一次性生活补贴</w:t>
      </w:r>
      <w:r>
        <w:rPr>
          <w:rFonts w:hint="eastAsia" w:ascii="仿宋" w:hAnsi="仿宋" w:eastAsia="仿宋" w:cs="仿宋"/>
          <w:color w:val="auto"/>
          <w:sz w:val="32"/>
          <w:szCs w:val="32"/>
          <w:highlight w:val="none"/>
          <w:lang w:val="en-US" w:eastAsia="zh-CN"/>
        </w:rPr>
        <w:t>25.26</w:t>
      </w:r>
      <w:r>
        <w:rPr>
          <w:rFonts w:hint="default" w:ascii="仿宋" w:hAnsi="仿宋" w:eastAsia="仿宋" w:cs="仿宋"/>
          <w:color w:val="auto"/>
          <w:sz w:val="32"/>
          <w:szCs w:val="32"/>
          <w:highlight w:val="none"/>
          <w:lang w:val="en-US" w:eastAsia="zh-CN"/>
        </w:rPr>
        <w:t>万元、</w:t>
      </w:r>
      <w:r>
        <w:rPr>
          <w:rFonts w:hint="eastAsia" w:ascii="仿宋" w:hAnsi="仿宋" w:eastAsia="仿宋" w:cs="仿宋"/>
          <w:color w:val="auto"/>
          <w:sz w:val="32"/>
          <w:szCs w:val="32"/>
          <w:highlight w:val="none"/>
          <w:lang w:val="en-US" w:eastAsia="zh-CN"/>
        </w:rPr>
        <w:t>独生子女奖励金</w:t>
      </w:r>
      <w:r>
        <w:rPr>
          <w:rFonts w:hint="default"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lang w:val="en-US" w:eastAsia="zh-CN"/>
        </w:rPr>
        <w:t>15</w:t>
      </w:r>
      <w:r>
        <w:rPr>
          <w:rFonts w:hint="default" w:ascii="仿宋" w:hAnsi="仿宋" w:eastAsia="仿宋" w:cs="仿宋"/>
          <w:color w:val="auto"/>
          <w:sz w:val="32"/>
          <w:szCs w:val="32"/>
          <w:highlight w:val="none"/>
          <w:lang w:val="en-US" w:eastAsia="zh-CN"/>
        </w:rPr>
        <w:t>万元、其他对个人和家庭开支</w:t>
      </w:r>
      <w:r>
        <w:rPr>
          <w:rFonts w:hint="eastAsia" w:ascii="仿宋" w:hAnsi="仿宋" w:eastAsia="仿宋" w:cs="仿宋"/>
          <w:color w:val="auto"/>
          <w:sz w:val="32"/>
          <w:szCs w:val="32"/>
          <w:highlight w:val="none"/>
          <w:lang w:val="en-US" w:eastAsia="zh-CN"/>
        </w:rPr>
        <w:t>0.66</w:t>
      </w:r>
      <w:r>
        <w:rPr>
          <w:rFonts w:hint="default" w:ascii="仿宋" w:hAnsi="仿宋" w:eastAsia="仿宋" w:cs="仿宋"/>
          <w:color w:val="auto"/>
          <w:sz w:val="32"/>
          <w:szCs w:val="32"/>
          <w:highlight w:val="none"/>
          <w:lang w:val="en-US" w:eastAsia="zh-CN"/>
        </w:rPr>
        <w:t>万元。</w:t>
      </w:r>
    </w:p>
    <w:p w14:paraId="6763862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（二）项目支出</w:t>
      </w:r>
    </w:p>
    <w:p w14:paraId="1324F4D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1、项目资金（包括财政资金、自筹资金等）安排落实、总投入等情况分析。</w:t>
      </w:r>
    </w:p>
    <w:p w14:paraId="38CF899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202</w:t>
      </w:r>
      <w:r>
        <w:rPr>
          <w:rFonts w:hint="eastAsia" w:ascii="仿宋" w:hAnsi="仿宋" w:eastAsia="仿宋" w:cs="仿宋"/>
          <w:color w:val="auto"/>
          <w:sz w:val="32"/>
          <w:szCs w:val="32"/>
          <w:highlight w:val="none"/>
          <w:lang w:val="en-US" w:eastAsia="zh-CN"/>
        </w:rPr>
        <w:t>5</w:t>
      </w:r>
      <w:r>
        <w:rPr>
          <w:rFonts w:hint="default" w:ascii="仿宋" w:hAnsi="仿宋" w:eastAsia="仿宋" w:cs="仿宋"/>
          <w:color w:val="auto"/>
          <w:sz w:val="32"/>
          <w:szCs w:val="32"/>
          <w:highlight w:val="none"/>
          <w:lang w:val="en-US" w:eastAsia="zh-CN"/>
        </w:rPr>
        <w:t>年收到专项资金共计</w:t>
      </w:r>
      <w:r>
        <w:rPr>
          <w:rFonts w:hint="eastAsia" w:ascii="仿宋" w:hAnsi="仿宋" w:eastAsia="仿宋" w:cs="仿宋"/>
          <w:color w:val="auto"/>
          <w:sz w:val="32"/>
          <w:szCs w:val="32"/>
          <w:highlight w:val="none"/>
          <w:lang w:val="en-US" w:eastAsia="zh-CN"/>
        </w:rPr>
        <w:t>129.30</w:t>
      </w:r>
      <w:r>
        <w:rPr>
          <w:rFonts w:hint="default" w:ascii="仿宋" w:hAnsi="仿宋" w:eastAsia="仿宋" w:cs="仿宋"/>
          <w:color w:val="auto"/>
          <w:sz w:val="32"/>
          <w:szCs w:val="32"/>
          <w:highlight w:val="none"/>
          <w:lang w:val="en-US" w:eastAsia="zh-CN"/>
        </w:rPr>
        <w:t>万元，其中202</w:t>
      </w:r>
      <w:r>
        <w:rPr>
          <w:rFonts w:hint="eastAsia" w:ascii="仿宋" w:hAnsi="仿宋" w:eastAsia="仿宋" w:cs="仿宋"/>
          <w:color w:val="auto"/>
          <w:sz w:val="32"/>
          <w:szCs w:val="32"/>
          <w:highlight w:val="none"/>
          <w:lang w:val="en-US" w:eastAsia="zh-CN"/>
        </w:rPr>
        <w:t>5</w:t>
      </w:r>
      <w:r>
        <w:rPr>
          <w:rFonts w:hint="default" w:ascii="仿宋" w:hAnsi="仿宋" w:eastAsia="仿宋" w:cs="仿宋"/>
          <w:color w:val="auto"/>
          <w:sz w:val="32"/>
          <w:szCs w:val="32"/>
          <w:highlight w:val="none"/>
          <w:lang w:val="en-US" w:eastAsia="zh-CN"/>
        </w:rPr>
        <w:t>年</w:t>
      </w:r>
      <w:r>
        <w:rPr>
          <w:rFonts w:hint="eastAsia" w:ascii="仿宋" w:hAnsi="仿宋" w:eastAsia="仿宋" w:cs="仿宋"/>
          <w:color w:val="auto"/>
          <w:sz w:val="32"/>
          <w:szCs w:val="32"/>
          <w:highlight w:val="none"/>
          <w:lang w:val="en-US" w:eastAsia="zh-CN"/>
        </w:rPr>
        <w:t>林草湿荒综合监测</w:t>
      </w:r>
      <w:r>
        <w:rPr>
          <w:rFonts w:hint="default" w:ascii="仿宋" w:hAnsi="仿宋" w:eastAsia="仿宋" w:cs="仿宋"/>
          <w:color w:val="auto"/>
          <w:sz w:val="32"/>
          <w:szCs w:val="32"/>
          <w:highlight w:val="none"/>
          <w:lang w:val="en-US" w:eastAsia="zh-CN"/>
        </w:rPr>
        <w:t>工作经费</w:t>
      </w:r>
      <w:r>
        <w:rPr>
          <w:rFonts w:hint="eastAsia" w:ascii="仿宋" w:hAnsi="仿宋" w:eastAsia="仿宋" w:cs="仿宋"/>
          <w:color w:val="auto"/>
          <w:sz w:val="32"/>
          <w:szCs w:val="32"/>
          <w:highlight w:val="none"/>
          <w:lang w:val="en-US" w:eastAsia="zh-CN"/>
        </w:rPr>
        <w:t>61.20</w:t>
      </w:r>
      <w:r>
        <w:rPr>
          <w:rFonts w:hint="default" w:ascii="仿宋" w:hAnsi="仿宋" w:eastAsia="仿宋" w:cs="仿宋"/>
          <w:color w:val="auto"/>
          <w:sz w:val="32"/>
          <w:szCs w:val="32"/>
          <w:highlight w:val="none"/>
          <w:lang w:val="en-US" w:eastAsia="zh-CN"/>
        </w:rPr>
        <w:t>万元，2024年省级检查验收工作经费</w:t>
      </w:r>
      <w:r>
        <w:rPr>
          <w:rFonts w:hint="eastAsia" w:ascii="仿宋" w:hAnsi="仿宋" w:eastAsia="仿宋" w:cs="仿宋"/>
          <w:color w:val="auto"/>
          <w:sz w:val="32"/>
          <w:szCs w:val="32"/>
          <w:highlight w:val="none"/>
          <w:lang w:val="en-US" w:eastAsia="zh-CN"/>
        </w:rPr>
        <w:t>10.13</w:t>
      </w:r>
      <w:r>
        <w:rPr>
          <w:rFonts w:hint="default" w:ascii="仿宋" w:hAnsi="仿宋" w:eastAsia="仿宋" w:cs="仿宋"/>
          <w:color w:val="auto"/>
          <w:sz w:val="32"/>
          <w:szCs w:val="32"/>
          <w:highlight w:val="none"/>
          <w:lang w:val="en-US" w:eastAsia="zh-CN"/>
        </w:rPr>
        <w:t>万元，林业技术服务工作经费</w:t>
      </w:r>
      <w:r>
        <w:rPr>
          <w:rFonts w:hint="eastAsia" w:ascii="仿宋" w:hAnsi="仿宋" w:eastAsia="仿宋" w:cs="仿宋"/>
          <w:color w:val="auto"/>
          <w:sz w:val="32"/>
          <w:szCs w:val="32"/>
          <w:highlight w:val="none"/>
          <w:lang w:val="en-US" w:eastAsia="zh-CN"/>
        </w:rPr>
        <w:t>52.47</w:t>
      </w:r>
      <w:r>
        <w:rPr>
          <w:rFonts w:hint="default" w:ascii="仿宋" w:hAnsi="仿宋" w:eastAsia="仿宋" w:cs="仿宋"/>
          <w:color w:val="auto"/>
          <w:sz w:val="32"/>
          <w:szCs w:val="32"/>
          <w:highlight w:val="none"/>
          <w:lang w:val="en-US" w:eastAsia="zh-CN"/>
        </w:rPr>
        <w:t>万元，</w:t>
      </w:r>
      <w:r>
        <w:rPr>
          <w:rFonts w:hint="eastAsia" w:ascii="仿宋" w:hAnsi="仿宋" w:eastAsia="仿宋" w:cs="仿宋"/>
          <w:color w:val="auto"/>
          <w:sz w:val="32"/>
          <w:szCs w:val="32"/>
          <w:highlight w:val="none"/>
          <w:lang w:val="en-US" w:eastAsia="zh-CN"/>
        </w:rPr>
        <w:t>“十五五”林业发展规划编制</w:t>
      </w:r>
      <w:r>
        <w:rPr>
          <w:rFonts w:hint="default" w:ascii="仿宋" w:hAnsi="仿宋" w:eastAsia="仿宋" w:cs="仿宋"/>
          <w:color w:val="auto"/>
          <w:sz w:val="32"/>
          <w:szCs w:val="32"/>
          <w:highlight w:val="none"/>
          <w:lang w:val="en-US" w:eastAsia="zh-CN"/>
        </w:rPr>
        <w:t>工作经费</w:t>
      </w:r>
      <w:r>
        <w:rPr>
          <w:rFonts w:hint="eastAsia" w:ascii="仿宋" w:hAnsi="仿宋" w:eastAsia="仿宋" w:cs="仿宋"/>
          <w:color w:val="auto"/>
          <w:sz w:val="32"/>
          <w:szCs w:val="32"/>
          <w:highlight w:val="none"/>
          <w:lang w:val="en-US" w:eastAsia="zh-CN"/>
        </w:rPr>
        <w:t>5.50</w:t>
      </w:r>
      <w:r>
        <w:rPr>
          <w:rFonts w:hint="default" w:ascii="仿宋" w:hAnsi="仿宋" w:eastAsia="仿宋" w:cs="仿宋"/>
          <w:color w:val="auto"/>
          <w:sz w:val="32"/>
          <w:szCs w:val="32"/>
          <w:highlight w:val="none"/>
          <w:lang w:val="en-US" w:eastAsia="zh-CN"/>
        </w:rPr>
        <w:t>万元，资金到位率100%。</w:t>
      </w:r>
    </w:p>
    <w:p w14:paraId="1F94C084">
      <w:pPr>
        <w:keepNext w:val="0"/>
        <w:keepLines w:val="0"/>
        <w:pageBreakBefore w:val="0"/>
        <w:widowControl w:val="0"/>
        <w:numPr>
          <w:ilvl w:val="0"/>
          <w:numId w:val="1"/>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项目资金（主要指财政资金）实际使用情况分析。</w:t>
      </w:r>
    </w:p>
    <w:p w14:paraId="2F31400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2025年专项支出共计129.30万元。</w:t>
      </w:r>
    </w:p>
    <w:p w14:paraId="32AF71B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w:t>
      </w:r>
      <w:r>
        <w:rPr>
          <w:rFonts w:hint="default" w:ascii="仿宋" w:hAnsi="仿宋" w:eastAsia="仿宋" w:cs="仿宋"/>
          <w:color w:val="auto"/>
          <w:sz w:val="32"/>
          <w:szCs w:val="32"/>
          <w:highlight w:val="none"/>
          <w:lang w:val="en-US" w:eastAsia="zh-CN"/>
        </w:rPr>
        <w:t>202</w:t>
      </w:r>
      <w:r>
        <w:rPr>
          <w:rFonts w:hint="eastAsia" w:ascii="仿宋" w:hAnsi="仿宋" w:eastAsia="仿宋" w:cs="仿宋"/>
          <w:color w:val="auto"/>
          <w:sz w:val="32"/>
          <w:szCs w:val="32"/>
          <w:highlight w:val="none"/>
          <w:lang w:val="en-US" w:eastAsia="zh-CN"/>
        </w:rPr>
        <w:t>5</w:t>
      </w:r>
      <w:r>
        <w:rPr>
          <w:rFonts w:hint="default" w:ascii="仿宋" w:hAnsi="仿宋" w:eastAsia="仿宋" w:cs="仿宋"/>
          <w:color w:val="auto"/>
          <w:sz w:val="32"/>
          <w:szCs w:val="32"/>
          <w:highlight w:val="none"/>
          <w:lang w:val="en-US" w:eastAsia="zh-CN"/>
        </w:rPr>
        <w:t>年</w:t>
      </w:r>
      <w:r>
        <w:rPr>
          <w:rFonts w:hint="eastAsia" w:ascii="仿宋" w:hAnsi="仿宋" w:eastAsia="仿宋" w:cs="仿宋"/>
          <w:color w:val="auto"/>
          <w:sz w:val="32"/>
          <w:szCs w:val="32"/>
          <w:highlight w:val="none"/>
          <w:lang w:val="en-US" w:eastAsia="zh-CN"/>
        </w:rPr>
        <w:t>林草湿荒综合监测专项支出共计61.20</w:t>
      </w:r>
      <w:r>
        <w:rPr>
          <w:rFonts w:hint="default" w:ascii="仿宋" w:hAnsi="仿宋" w:eastAsia="仿宋" w:cs="仿宋"/>
          <w:color w:val="auto"/>
          <w:sz w:val="32"/>
          <w:szCs w:val="32"/>
          <w:highlight w:val="none"/>
          <w:lang w:val="en-US" w:eastAsia="zh-CN"/>
        </w:rPr>
        <w:t>万元</w:t>
      </w:r>
      <w:r>
        <w:rPr>
          <w:rFonts w:hint="eastAsia" w:ascii="仿宋" w:hAnsi="仿宋" w:eastAsia="仿宋" w:cs="仿宋"/>
          <w:color w:val="auto"/>
          <w:sz w:val="32"/>
          <w:szCs w:val="32"/>
          <w:highlight w:val="none"/>
          <w:lang w:val="en-US" w:eastAsia="zh-CN"/>
        </w:rPr>
        <w:t>，其中：印刷费0.36万元，用于资料印刷开支；差旅费22.58万元，用于13个县市区森林样地调查差旅费支出；维修（护）费，用于RTK等专用设备的维护维修及日常损耗；培训费2.30万元，用于用于技术人员资质培训及森林样地调查项目培训开支；专用材料费4.42万元，用于森林样地调查项目野外防护药品、耗材等开支；劳务费26.46万元，用于第三方公司小工及向导劳务等；委托业务费0.40万元，用于委托第三方公司进行森林样地调查任务招标；其他商品和服务支出4.26万元，用于业务宣传报道、技术人员体检、技术人员意外险等开支。</w:t>
      </w:r>
    </w:p>
    <w:p w14:paraId="2DB2F94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w:t>
      </w:r>
      <w:r>
        <w:rPr>
          <w:rFonts w:hint="default" w:ascii="仿宋" w:hAnsi="仿宋" w:eastAsia="仿宋" w:cs="仿宋"/>
          <w:color w:val="auto"/>
          <w:sz w:val="32"/>
          <w:szCs w:val="32"/>
          <w:highlight w:val="none"/>
          <w:lang w:val="en-US" w:eastAsia="zh-CN"/>
        </w:rPr>
        <w:t>2024年省级检查验收</w:t>
      </w:r>
      <w:r>
        <w:rPr>
          <w:rFonts w:hint="eastAsia" w:ascii="仿宋" w:hAnsi="仿宋" w:eastAsia="仿宋" w:cs="仿宋"/>
          <w:color w:val="auto"/>
          <w:sz w:val="32"/>
          <w:szCs w:val="32"/>
          <w:highlight w:val="none"/>
          <w:lang w:val="en-US" w:eastAsia="zh-CN"/>
        </w:rPr>
        <w:t>专项支出共计10.13</w:t>
      </w:r>
      <w:r>
        <w:rPr>
          <w:rFonts w:hint="default" w:ascii="仿宋" w:hAnsi="仿宋" w:eastAsia="仿宋" w:cs="仿宋"/>
          <w:color w:val="auto"/>
          <w:sz w:val="32"/>
          <w:szCs w:val="32"/>
          <w:highlight w:val="none"/>
          <w:lang w:val="en-US" w:eastAsia="zh-CN"/>
        </w:rPr>
        <w:t>万元</w:t>
      </w:r>
      <w:r>
        <w:rPr>
          <w:rFonts w:hint="eastAsia" w:ascii="仿宋" w:hAnsi="仿宋" w:eastAsia="仿宋" w:cs="仿宋"/>
          <w:color w:val="auto"/>
          <w:sz w:val="32"/>
          <w:szCs w:val="32"/>
          <w:highlight w:val="none"/>
          <w:lang w:val="en-US" w:eastAsia="zh-CN"/>
        </w:rPr>
        <w:t>，其中：差旅费7.00万元，用于蓄积量省级检查验收、图斑监测指导等差旅费开支；培训费1.81万元，用于2024年图斑监测技术培训开支；专用设备购置费1.25万元，主要用于蓄积量、固定样地省级检查所需设备购买的开支；公务用车运行维护费0.08万元，主要用于省级检查公车运行的油费、过路费。</w:t>
      </w:r>
    </w:p>
    <w:p w14:paraId="59F8D02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“十五五”林业发展规划编制专项支出共计5.50</w:t>
      </w:r>
      <w:r>
        <w:rPr>
          <w:rFonts w:hint="default" w:ascii="仿宋" w:hAnsi="仿宋" w:eastAsia="仿宋" w:cs="仿宋"/>
          <w:color w:val="auto"/>
          <w:sz w:val="32"/>
          <w:szCs w:val="32"/>
          <w:highlight w:val="none"/>
          <w:lang w:val="en-US" w:eastAsia="zh-CN"/>
        </w:rPr>
        <w:t>万元，</w:t>
      </w:r>
      <w:r>
        <w:rPr>
          <w:rFonts w:hint="eastAsia" w:ascii="仿宋" w:hAnsi="仿宋" w:eastAsia="仿宋" w:cs="仿宋"/>
          <w:color w:val="auto"/>
          <w:sz w:val="32"/>
          <w:szCs w:val="32"/>
          <w:highlight w:val="none"/>
          <w:lang w:val="en-US" w:eastAsia="zh-CN"/>
        </w:rPr>
        <w:t>其中：差旅费5.50万元，主要用于“十五五”林业发展规划调研过程中产生的差旅支出。</w:t>
      </w:r>
    </w:p>
    <w:p w14:paraId="3B184ED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林业技术服务</w:t>
      </w:r>
      <w:r>
        <w:rPr>
          <w:rFonts w:hint="eastAsia" w:ascii="仿宋" w:hAnsi="仿宋" w:eastAsia="仿宋" w:cs="仿宋"/>
          <w:color w:val="auto"/>
          <w:sz w:val="32"/>
          <w:szCs w:val="32"/>
          <w:highlight w:val="none"/>
          <w:lang w:val="en-US" w:eastAsia="zh-CN"/>
        </w:rPr>
        <w:t>专项支出共计52.47</w:t>
      </w:r>
      <w:r>
        <w:rPr>
          <w:rFonts w:hint="default" w:ascii="仿宋" w:hAnsi="仿宋" w:eastAsia="仿宋" w:cs="仿宋"/>
          <w:color w:val="auto"/>
          <w:sz w:val="32"/>
          <w:szCs w:val="32"/>
          <w:highlight w:val="none"/>
          <w:lang w:val="en-US" w:eastAsia="zh-CN"/>
        </w:rPr>
        <w:t>万元</w:t>
      </w:r>
      <w:r>
        <w:rPr>
          <w:rFonts w:hint="eastAsia" w:ascii="仿宋" w:hAnsi="仿宋" w:eastAsia="仿宋" w:cs="仿宋"/>
          <w:color w:val="auto"/>
          <w:sz w:val="32"/>
          <w:szCs w:val="32"/>
          <w:highlight w:val="none"/>
          <w:lang w:val="en-US" w:eastAsia="zh-CN"/>
        </w:rPr>
        <w:t>，为我单位非税资金支出，弥补公用经费的不足，以项目形式下拨。其中：奖金0.75万元，主要用于个人年度考核奖励；伙食补助费2.79万元，主要用于单位职工伙食补助的发放；其他社会保障缴费15.56万元，主要用于职工医疗铺底；办公费0.98万元，主要用于办公用品等开支，弥补公用经费的不足；电费2.86万元，用于单位水电费开支；邮电费0.24万元，主要用于乡村振兴人员通讯补助及非税业务文本的邮寄等；物业管理费2.00万元；差旅费12.63万元，主要用于开展非税业务产生的差旅支出及乡村振兴人员往来的差旅开支；租赁费4.07万元，主要用于人才引进人员及派遣学习人员的房屋租赁费；委托业务费2.12万元，主要用于2024-2025年委托第三方公司帮扶小区卫生清理费用；公务用车运行维护费1.00万元，主要用于公车维修、燃油费及司机安全奖的发放；其他商品和服务支出7.47万元，主要用于党建、退休人员体检、乡村振兴工作经费等。</w:t>
      </w:r>
    </w:p>
    <w:p w14:paraId="1D04E3C3">
      <w:pPr>
        <w:keepNext w:val="0"/>
        <w:keepLines w:val="0"/>
        <w:pageBreakBefore w:val="0"/>
        <w:widowControl w:val="0"/>
        <w:numPr>
          <w:ilvl w:val="0"/>
          <w:numId w:val="1"/>
        </w:numPr>
        <w:kinsoku/>
        <w:wordWrap/>
        <w:overflowPunct/>
        <w:topLinePunct w:val="0"/>
        <w:autoSpaceDE/>
        <w:autoSpaceDN/>
        <w:bidi w:val="0"/>
        <w:adjustRightInd/>
        <w:snapToGrid w:val="0"/>
        <w:spacing w:line="520" w:lineRule="exact"/>
        <w:ind w:left="0"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项目资金管理情况分析，主要包括管理制度、办法的制订及执行情况。</w:t>
      </w:r>
    </w:p>
    <w:p w14:paraId="3143B11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color w:val="auto"/>
          <w:sz w:val="32"/>
          <w:szCs w:val="32"/>
          <w:highlight w:val="none"/>
          <w:lang w:val="en-US" w:eastAsia="zh-CN"/>
        </w:rPr>
        <w:t>项目资金本着“专款专用”的原则，严格按照上级下达的专款资金文件，下设各类项目支出，保证项目资金的专项渠道。按照文件下拨资金，计划安排资金，确保项目的顺利实施。严格项目资金的审核管理，按程序办理审批手续，经办人申请、项目负责人审核、项目领导复核，不得简化或越权审批，保证项目资金的安全运转。</w:t>
      </w:r>
    </w:p>
    <w:p w14:paraId="47AF94B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三、项目组织实施情况</w:t>
      </w:r>
    </w:p>
    <w:p w14:paraId="7096748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（一）项目组织情况分析，主要包括项目招投标、调整、竣工验收等情况。</w:t>
      </w:r>
    </w:p>
    <w:p w14:paraId="41CE556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结合本单位工作实际，制定工作实施方案，明确工作思路，细化工作任务，进一步压实责任。对全体干部职工进行培训，做到考核上岗。按要求收集和整理林业技术服务项目</w:t>
      </w:r>
      <w:r>
        <w:rPr>
          <w:rFonts w:hint="eastAsia" w:ascii="仿宋" w:hAnsi="仿宋" w:eastAsia="仿宋" w:cs="仿宋"/>
          <w:color w:val="auto"/>
          <w:sz w:val="32"/>
          <w:szCs w:val="32"/>
          <w:highlight w:val="none"/>
          <w:lang w:val="en-US" w:eastAsia="zh-CN"/>
        </w:rPr>
        <w:t>、“十五五”林业发展规划编制</w:t>
      </w:r>
      <w:r>
        <w:rPr>
          <w:rFonts w:hint="default" w:ascii="仿宋" w:hAnsi="仿宋" w:eastAsia="仿宋" w:cs="仿宋"/>
          <w:color w:val="auto"/>
          <w:sz w:val="32"/>
          <w:szCs w:val="32"/>
          <w:highlight w:val="none"/>
          <w:lang w:val="en-US" w:eastAsia="zh-CN"/>
        </w:rPr>
        <w:t>所涉及的相关资料，并及时做好备份和管理工作。强化组织领导，成立领导小组，由院长任组长，各项目负责人为副组长，推动项目的实施</w:t>
      </w:r>
      <w:r>
        <w:rPr>
          <w:rFonts w:hint="eastAsia" w:ascii="仿宋" w:hAnsi="仿宋" w:eastAsia="仿宋" w:cs="仿宋"/>
          <w:color w:val="auto"/>
          <w:sz w:val="32"/>
          <w:szCs w:val="32"/>
          <w:highlight w:val="none"/>
          <w:lang w:val="en-US" w:eastAsia="zh-CN"/>
        </w:rPr>
        <w:t>，并完成各项目的总结报告。</w:t>
      </w:r>
    </w:p>
    <w:p w14:paraId="4E7AEDC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（二）项目管理情况分析，主要包括项目管理制度建设、日常检查监督管理等情况。</w:t>
      </w:r>
    </w:p>
    <w:p w14:paraId="0E1C8C8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加强项目资金的监督管理，监督项目的实施与验收工作，发现问题及时采取防范措施，及时掌握项目资金的运转情况，保障项目工作的顺利完成。</w:t>
      </w:r>
    </w:p>
    <w:p w14:paraId="6681E12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四、资产管理情况</w:t>
      </w:r>
    </w:p>
    <w:p w14:paraId="6BEBD0C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反映部门资产的配置、管理、处置等综合情况。包括制度建设、管理措施、配置处置的程序等。</w:t>
      </w:r>
    </w:p>
    <w:p w14:paraId="7DC8C86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现本单位共有车辆1辆，其中，其他用车1辆，其他用车主要是单位保留的业务用车，主要用于野外森林资源监测、调查、评估；单位价值50万元以上通用设备0台（套）；单位价值100万元以上专用设备0台（套）。</w:t>
      </w:r>
      <w:r>
        <w:rPr>
          <w:rFonts w:hint="eastAsia" w:ascii="仿宋" w:hAnsi="仿宋" w:eastAsia="仿宋" w:cs="仿宋"/>
          <w:color w:val="auto"/>
          <w:sz w:val="32"/>
          <w:szCs w:val="32"/>
          <w:highlight w:val="none"/>
          <w:lang w:val="en-US" w:eastAsia="zh-CN"/>
        </w:rPr>
        <w:t>2025年处置固定资产原值总计4.86万元，处置收入总计0.03万元，配置专用设备罗盘仪一台0.47万元，配置涉密电脑及其配套软件一套0.78万元。</w:t>
      </w:r>
    </w:p>
    <w:p w14:paraId="2D250E0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严格执行怀化市国有资产管理制度，厉行节约、不超标准配置国有资产，合理使用国有资产，严格按照年初预算执行国有资产购置及处置。</w:t>
      </w:r>
    </w:p>
    <w:p w14:paraId="7C2AACF1">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五、政府性基金预算支出情况</w:t>
      </w:r>
    </w:p>
    <w:p w14:paraId="74D0C15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color w:val="auto"/>
          <w:sz w:val="32"/>
          <w:szCs w:val="32"/>
          <w:highlight w:val="none"/>
          <w:lang w:val="en-US" w:eastAsia="zh-CN"/>
        </w:rPr>
        <w:t>无</w:t>
      </w:r>
    </w:p>
    <w:p w14:paraId="3488626E">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六、国有资本经营预算支出情况</w:t>
      </w:r>
    </w:p>
    <w:p w14:paraId="69B3C7F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color w:val="auto"/>
          <w:sz w:val="32"/>
          <w:szCs w:val="32"/>
          <w:highlight w:val="none"/>
          <w:lang w:val="en-US" w:eastAsia="zh-CN"/>
        </w:rPr>
        <w:t>无</w:t>
      </w:r>
    </w:p>
    <w:p w14:paraId="3844A895">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七、社会保险基金预算支出情况</w:t>
      </w:r>
    </w:p>
    <w:p w14:paraId="267AD8B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color w:val="auto"/>
          <w:sz w:val="32"/>
          <w:szCs w:val="32"/>
          <w:highlight w:val="none"/>
          <w:lang w:val="en-US" w:eastAsia="zh-CN"/>
        </w:rPr>
        <w:t>无</w:t>
      </w:r>
    </w:p>
    <w:p w14:paraId="387ACBF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八、部门整体支出绩效情况</w:t>
      </w:r>
    </w:p>
    <w:p w14:paraId="65043BA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w:t>
      </w:r>
      <w:r>
        <w:rPr>
          <w:rFonts w:hint="default" w:ascii="Times New Roman Regular" w:hAnsi="Times New Roman Regular" w:eastAsia="仿宋_GB2312" w:cs="Times New Roman Regular"/>
          <w:color w:val="auto"/>
          <w:sz w:val="32"/>
          <w:szCs w:val="32"/>
          <w:highlight w:val="none"/>
          <w:lang w:val="en-US" w:eastAsia="zh-CN"/>
        </w:rPr>
        <w:tab/>
      </w:r>
      <w:r>
        <w:rPr>
          <w:rFonts w:hint="default" w:ascii="Times New Roman Regular" w:hAnsi="Times New Roman Regular" w:eastAsia="仿宋_GB2312" w:cs="Times New Roman Regular"/>
          <w:color w:val="auto"/>
          <w:sz w:val="32"/>
          <w:szCs w:val="32"/>
          <w:highlight w:val="none"/>
          <w:lang w:val="en-US" w:eastAsia="zh-CN"/>
        </w:rPr>
        <w:t>经济性</w:t>
      </w:r>
    </w:p>
    <w:p w14:paraId="743309C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202</w:t>
      </w:r>
      <w:r>
        <w:rPr>
          <w:rFonts w:hint="eastAsia" w:ascii="仿宋" w:hAnsi="仿宋" w:eastAsia="仿宋" w:cs="仿宋"/>
          <w:color w:val="auto"/>
          <w:sz w:val="32"/>
          <w:szCs w:val="32"/>
          <w:highlight w:val="none"/>
          <w:lang w:val="en-US" w:eastAsia="zh-CN"/>
        </w:rPr>
        <w:t>5</w:t>
      </w:r>
      <w:r>
        <w:rPr>
          <w:rFonts w:hint="default" w:ascii="仿宋" w:hAnsi="仿宋" w:eastAsia="仿宋" w:cs="仿宋"/>
          <w:color w:val="auto"/>
          <w:sz w:val="32"/>
          <w:szCs w:val="32"/>
          <w:highlight w:val="none"/>
          <w:lang w:val="en-US" w:eastAsia="zh-CN"/>
        </w:rPr>
        <w:t>年年初预算支出为</w:t>
      </w:r>
      <w:r>
        <w:rPr>
          <w:rFonts w:hint="eastAsia" w:ascii="仿宋" w:hAnsi="仿宋" w:eastAsia="仿宋" w:cs="仿宋"/>
          <w:color w:val="auto"/>
          <w:sz w:val="32"/>
          <w:szCs w:val="32"/>
          <w:highlight w:val="none"/>
          <w:lang w:val="en-US" w:eastAsia="zh-CN"/>
        </w:rPr>
        <w:t>457.53</w:t>
      </w:r>
      <w:r>
        <w:rPr>
          <w:rFonts w:hint="default" w:ascii="仿宋" w:hAnsi="仿宋" w:eastAsia="仿宋" w:cs="仿宋"/>
          <w:color w:val="auto"/>
          <w:sz w:val="32"/>
          <w:szCs w:val="32"/>
          <w:highlight w:val="none"/>
          <w:lang w:val="en-US" w:eastAsia="zh-CN"/>
        </w:rPr>
        <w:t>万元，其中基本支出</w:t>
      </w:r>
      <w:r>
        <w:rPr>
          <w:rFonts w:hint="eastAsia" w:ascii="仿宋" w:hAnsi="仿宋" w:eastAsia="仿宋" w:cs="仿宋"/>
          <w:color w:val="auto"/>
          <w:sz w:val="32"/>
          <w:szCs w:val="32"/>
          <w:highlight w:val="none"/>
          <w:lang w:val="en-US" w:eastAsia="zh-CN"/>
        </w:rPr>
        <w:t>347.03</w:t>
      </w:r>
      <w:r>
        <w:rPr>
          <w:rFonts w:hint="default" w:ascii="仿宋" w:hAnsi="仿宋" w:eastAsia="仿宋" w:cs="仿宋"/>
          <w:color w:val="auto"/>
          <w:sz w:val="32"/>
          <w:szCs w:val="32"/>
          <w:highlight w:val="none"/>
          <w:lang w:val="en-US" w:eastAsia="zh-CN"/>
        </w:rPr>
        <w:t>万元，项目支出</w:t>
      </w:r>
      <w:r>
        <w:rPr>
          <w:rFonts w:hint="eastAsia" w:ascii="仿宋" w:hAnsi="仿宋" w:eastAsia="仿宋" w:cs="仿宋"/>
          <w:color w:val="auto"/>
          <w:sz w:val="32"/>
          <w:szCs w:val="32"/>
          <w:highlight w:val="none"/>
          <w:lang w:val="en-US" w:eastAsia="zh-CN"/>
        </w:rPr>
        <w:t>110.50</w:t>
      </w:r>
      <w:r>
        <w:rPr>
          <w:rFonts w:hint="default" w:ascii="仿宋" w:hAnsi="仿宋" w:eastAsia="仿宋" w:cs="仿宋"/>
          <w:color w:val="auto"/>
          <w:sz w:val="32"/>
          <w:szCs w:val="32"/>
          <w:highlight w:val="none"/>
          <w:lang w:val="en-US" w:eastAsia="zh-CN"/>
        </w:rPr>
        <w:t>万元。实际支出</w:t>
      </w:r>
      <w:r>
        <w:rPr>
          <w:rFonts w:hint="eastAsia" w:ascii="仿宋" w:hAnsi="仿宋" w:eastAsia="仿宋" w:cs="仿宋"/>
          <w:color w:val="auto"/>
          <w:sz w:val="32"/>
          <w:szCs w:val="32"/>
          <w:highlight w:val="none"/>
          <w:lang w:val="en-US" w:eastAsia="zh-CN"/>
        </w:rPr>
        <w:t>494.03</w:t>
      </w:r>
      <w:r>
        <w:rPr>
          <w:rFonts w:hint="default" w:ascii="仿宋" w:hAnsi="仿宋" w:eastAsia="仿宋" w:cs="仿宋"/>
          <w:color w:val="auto"/>
          <w:sz w:val="32"/>
          <w:szCs w:val="32"/>
          <w:highlight w:val="none"/>
          <w:lang w:val="en-US" w:eastAsia="zh-CN"/>
        </w:rPr>
        <w:t>万元，其中基本支出</w:t>
      </w:r>
      <w:r>
        <w:rPr>
          <w:rFonts w:hint="eastAsia" w:ascii="仿宋" w:hAnsi="仿宋" w:eastAsia="仿宋" w:cs="仿宋"/>
          <w:color w:val="auto"/>
          <w:sz w:val="32"/>
          <w:szCs w:val="32"/>
          <w:highlight w:val="none"/>
          <w:lang w:val="en-US" w:eastAsia="zh-CN"/>
        </w:rPr>
        <w:t>364.73</w:t>
      </w:r>
      <w:r>
        <w:rPr>
          <w:rFonts w:hint="default" w:ascii="仿宋" w:hAnsi="仿宋" w:eastAsia="仿宋" w:cs="仿宋"/>
          <w:color w:val="auto"/>
          <w:sz w:val="32"/>
          <w:szCs w:val="32"/>
          <w:highlight w:val="none"/>
          <w:lang w:val="en-US" w:eastAsia="zh-CN"/>
        </w:rPr>
        <w:t>万元，项目支出</w:t>
      </w:r>
      <w:r>
        <w:rPr>
          <w:rFonts w:hint="eastAsia" w:ascii="仿宋" w:hAnsi="仿宋" w:eastAsia="仿宋" w:cs="仿宋"/>
          <w:color w:val="auto"/>
          <w:sz w:val="32"/>
          <w:szCs w:val="32"/>
          <w:highlight w:val="none"/>
          <w:lang w:val="en-US" w:eastAsia="zh-CN"/>
        </w:rPr>
        <w:t>129.30</w:t>
      </w:r>
      <w:r>
        <w:rPr>
          <w:rFonts w:hint="default" w:ascii="仿宋" w:hAnsi="仿宋" w:eastAsia="仿宋" w:cs="仿宋"/>
          <w:color w:val="auto"/>
          <w:sz w:val="32"/>
          <w:szCs w:val="32"/>
          <w:highlight w:val="none"/>
          <w:lang w:val="en-US" w:eastAsia="zh-CN"/>
        </w:rPr>
        <w:t>万元，实际比预算增加</w:t>
      </w:r>
      <w:r>
        <w:rPr>
          <w:rFonts w:hint="eastAsia" w:ascii="仿宋" w:hAnsi="仿宋" w:eastAsia="仿宋" w:cs="仿宋"/>
          <w:color w:val="auto"/>
          <w:sz w:val="32"/>
          <w:szCs w:val="32"/>
          <w:highlight w:val="none"/>
          <w:lang w:val="en-US" w:eastAsia="zh-CN"/>
        </w:rPr>
        <w:t>36.50</w:t>
      </w:r>
      <w:r>
        <w:rPr>
          <w:rFonts w:hint="default" w:ascii="仿宋" w:hAnsi="仿宋" w:eastAsia="仿宋" w:cs="仿宋"/>
          <w:color w:val="auto"/>
          <w:sz w:val="32"/>
          <w:szCs w:val="32"/>
          <w:highlight w:val="none"/>
          <w:lang w:val="en-US" w:eastAsia="zh-CN"/>
        </w:rPr>
        <w:t>万元，较年初预算增加</w:t>
      </w:r>
      <w:r>
        <w:rPr>
          <w:rFonts w:hint="eastAsia" w:ascii="仿宋" w:hAnsi="仿宋" w:eastAsia="仿宋" w:cs="仿宋"/>
          <w:color w:val="auto"/>
          <w:sz w:val="32"/>
          <w:szCs w:val="32"/>
          <w:highlight w:val="none"/>
          <w:lang w:val="en-US" w:eastAsia="zh-CN"/>
        </w:rPr>
        <w:t>7.98</w:t>
      </w:r>
      <w:r>
        <w:rPr>
          <w:rFonts w:hint="default" w:ascii="仿宋" w:hAnsi="仿宋" w:eastAsia="仿宋" w:cs="仿宋"/>
          <w:color w:val="auto"/>
          <w:sz w:val="32"/>
          <w:szCs w:val="32"/>
          <w:highlight w:val="none"/>
          <w:lang w:val="en-US" w:eastAsia="zh-CN"/>
        </w:rPr>
        <w:t>%，主要是202</w:t>
      </w:r>
      <w:r>
        <w:rPr>
          <w:rFonts w:hint="eastAsia" w:ascii="仿宋" w:hAnsi="仿宋" w:eastAsia="仿宋" w:cs="仿宋"/>
          <w:color w:val="auto"/>
          <w:sz w:val="32"/>
          <w:szCs w:val="32"/>
          <w:highlight w:val="none"/>
          <w:lang w:val="en-US" w:eastAsia="zh-CN"/>
        </w:rPr>
        <w:t>5</w:t>
      </w:r>
      <w:r>
        <w:rPr>
          <w:rFonts w:hint="default" w:ascii="仿宋" w:hAnsi="仿宋" w:eastAsia="仿宋" w:cs="仿宋"/>
          <w:color w:val="auto"/>
          <w:sz w:val="32"/>
          <w:szCs w:val="32"/>
          <w:highlight w:val="none"/>
          <w:lang w:val="en-US" w:eastAsia="zh-CN"/>
        </w:rPr>
        <w:t>年中央</w:t>
      </w:r>
      <w:r>
        <w:rPr>
          <w:rFonts w:hint="eastAsia" w:ascii="仿宋" w:hAnsi="仿宋" w:eastAsia="仿宋" w:cs="仿宋"/>
          <w:color w:val="auto"/>
          <w:sz w:val="32"/>
          <w:szCs w:val="32"/>
          <w:highlight w:val="none"/>
          <w:lang w:val="en-US" w:eastAsia="zh-CN"/>
        </w:rPr>
        <w:t>财政</w:t>
      </w:r>
      <w:r>
        <w:rPr>
          <w:rFonts w:hint="default" w:ascii="仿宋" w:hAnsi="仿宋" w:eastAsia="仿宋" w:cs="仿宋"/>
          <w:color w:val="auto"/>
          <w:sz w:val="32"/>
          <w:szCs w:val="32"/>
          <w:highlight w:val="none"/>
          <w:lang w:val="en-US" w:eastAsia="zh-CN"/>
        </w:rPr>
        <w:t>项目未纳入年初预算中。</w:t>
      </w:r>
    </w:p>
    <w:p w14:paraId="50246CB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w:t>
      </w:r>
      <w:r>
        <w:rPr>
          <w:rFonts w:hint="default" w:ascii="Times New Roman Regular" w:hAnsi="Times New Roman Regular" w:eastAsia="仿宋_GB2312" w:cs="Times New Roman Regular"/>
          <w:color w:val="auto"/>
          <w:sz w:val="32"/>
          <w:szCs w:val="32"/>
          <w:highlight w:val="none"/>
          <w:lang w:val="en-US" w:eastAsia="zh-CN"/>
        </w:rPr>
        <w:tab/>
      </w:r>
      <w:r>
        <w:rPr>
          <w:rFonts w:hint="default" w:ascii="Times New Roman Regular" w:hAnsi="Times New Roman Regular" w:eastAsia="仿宋_GB2312" w:cs="Times New Roman Regular"/>
          <w:color w:val="auto"/>
          <w:sz w:val="32"/>
          <w:szCs w:val="32"/>
          <w:highlight w:val="none"/>
          <w:lang w:val="en-US" w:eastAsia="zh-CN"/>
        </w:rPr>
        <w:t>效率性</w:t>
      </w:r>
    </w:p>
    <w:p w14:paraId="2732DD9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1、202</w:t>
      </w:r>
      <w:r>
        <w:rPr>
          <w:rFonts w:hint="eastAsia" w:ascii="仿宋" w:hAnsi="仿宋" w:eastAsia="仿宋" w:cs="仿宋"/>
          <w:color w:val="auto"/>
          <w:sz w:val="32"/>
          <w:szCs w:val="32"/>
          <w:highlight w:val="none"/>
          <w:lang w:val="en-US" w:eastAsia="zh-CN"/>
        </w:rPr>
        <w:t>5</w:t>
      </w:r>
      <w:r>
        <w:rPr>
          <w:rFonts w:hint="default" w:ascii="仿宋" w:hAnsi="仿宋" w:eastAsia="仿宋" w:cs="仿宋"/>
          <w:color w:val="auto"/>
          <w:sz w:val="32"/>
          <w:szCs w:val="32"/>
          <w:highlight w:val="none"/>
          <w:lang w:val="en-US" w:eastAsia="zh-CN"/>
        </w:rPr>
        <w:t>年森林样地调查：按时间节点和要求完成17</w:t>
      </w:r>
      <w:r>
        <w:rPr>
          <w:rFonts w:hint="eastAsia" w:ascii="仿宋" w:hAnsi="仿宋" w:eastAsia="仿宋" w:cs="仿宋"/>
          <w:color w:val="auto"/>
          <w:sz w:val="32"/>
          <w:szCs w:val="32"/>
          <w:highlight w:val="none"/>
          <w:lang w:val="en-US" w:eastAsia="zh-CN"/>
        </w:rPr>
        <w:t>0</w:t>
      </w:r>
      <w:r>
        <w:rPr>
          <w:rFonts w:hint="default" w:ascii="仿宋" w:hAnsi="仿宋" w:eastAsia="仿宋" w:cs="仿宋"/>
          <w:color w:val="auto"/>
          <w:sz w:val="32"/>
          <w:szCs w:val="32"/>
          <w:highlight w:val="none"/>
          <w:lang w:val="en-US" w:eastAsia="zh-CN"/>
        </w:rPr>
        <w:t>个森林样地调查工作。</w:t>
      </w:r>
    </w:p>
    <w:p w14:paraId="107C622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2、2024年省级检查验收：完成蓄积量调查省级检查验收</w:t>
      </w:r>
      <w:r>
        <w:rPr>
          <w:rFonts w:hint="eastAsia" w:ascii="仿宋" w:hAnsi="仿宋" w:eastAsia="仿宋" w:cs="仿宋"/>
          <w:color w:val="auto"/>
          <w:sz w:val="32"/>
          <w:szCs w:val="32"/>
          <w:highlight w:val="none"/>
          <w:lang w:val="en-US" w:eastAsia="zh-CN"/>
        </w:rPr>
        <w:t>指导及培训任务，完成图斑监测培训任务</w:t>
      </w:r>
      <w:r>
        <w:rPr>
          <w:rFonts w:hint="default" w:ascii="仿宋" w:hAnsi="仿宋" w:eastAsia="仿宋" w:cs="仿宋"/>
          <w:color w:val="auto"/>
          <w:sz w:val="32"/>
          <w:szCs w:val="32"/>
          <w:highlight w:val="none"/>
          <w:lang w:val="en-US" w:eastAsia="zh-CN"/>
        </w:rPr>
        <w:t>。</w:t>
      </w:r>
    </w:p>
    <w:p w14:paraId="4B1F3DC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林业技术服务：编制麻阳县县级林业发展规划及年度采伐限额编制，配合市局推进油茶产业奖补、水土流失及石漠化综合治理等重大项目申报，做好县市区相关数据检查与落地上图等技术工作。</w:t>
      </w:r>
    </w:p>
    <w:p w14:paraId="386298F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“十五五”林业发展规划：完成怀化市“十五五”林业发展规划初稿及2轮修改完善。</w:t>
      </w:r>
    </w:p>
    <w:p w14:paraId="135CF20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（三）</w:t>
      </w:r>
      <w:r>
        <w:rPr>
          <w:rFonts w:hint="default" w:ascii="仿宋" w:hAnsi="仿宋" w:eastAsia="仿宋" w:cs="仿宋"/>
          <w:color w:val="auto"/>
          <w:sz w:val="32"/>
          <w:szCs w:val="32"/>
          <w:highlight w:val="none"/>
          <w:lang w:val="en-US" w:eastAsia="zh-CN"/>
        </w:rPr>
        <w:tab/>
      </w:r>
      <w:r>
        <w:rPr>
          <w:rFonts w:hint="default" w:ascii="仿宋" w:hAnsi="仿宋" w:eastAsia="仿宋" w:cs="仿宋"/>
          <w:color w:val="auto"/>
          <w:sz w:val="32"/>
          <w:szCs w:val="32"/>
          <w:highlight w:val="none"/>
          <w:lang w:val="en-US" w:eastAsia="zh-CN"/>
        </w:rPr>
        <w:t>有效性</w:t>
      </w:r>
    </w:p>
    <w:p w14:paraId="0498C99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1、非税收入用于弥补财政拨款经费不足，确保单位运转，利于业务扩展。</w:t>
      </w:r>
    </w:p>
    <w:p w14:paraId="2BF575F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2、专项项目调查减少了水土流失、保护了生态环境、森林资源增长明显，对森林资源的持续发展意义重大，真正体现了绿水青山就是金山银山的理念。</w:t>
      </w:r>
    </w:p>
    <w:p w14:paraId="5833683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（四）</w:t>
      </w:r>
      <w:r>
        <w:rPr>
          <w:rFonts w:hint="default" w:ascii="仿宋" w:hAnsi="仿宋" w:eastAsia="仿宋" w:cs="仿宋"/>
          <w:color w:val="auto"/>
          <w:sz w:val="32"/>
          <w:szCs w:val="32"/>
          <w:highlight w:val="none"/>
          <w:lang w:val="en-US" w:eastAsia="zh-CN"/>
        </w:rPr>
        <w:tab/>
      </w:r>
      <w:r>
        <w:rPr>
          <w:rFonts w:hint="default" w:ascii="仿宋" w:hAnsi="仿宋" w:eastAsia="仿宋" w:cs="仿宋"/>
          <w:color w:val="auto"/>
          <w:sz w:val="32"/>
          <w:szCs w:val="32"/>
          <w:highlight w:val="none"/>
          <w:lang w:val="en-US" w:eastAsia="zh-CN"/>
        </w:rPr>
        <w:t>可持续性</w:t>
      </w:r>
    </w:p>
    <w:p w14:paraId="10C6C95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本单位作为甲级林业调查资质队伍，近十几年一直承担国家及省级林业专项工作，在省内林业核查、调查工作中成绩显著，得到了上级林业部门的认可，每年均从上级财政争取部分专项资金，为单位的后续发展奠定了基础，也为地方财政减轻了压力。</w:t>
      </w:r>
    </w:p>
    <w:p w14:paraId="7943E2D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九、存在的问题及原因分析</w:t>
      </w:r>
    </w:p>
    <w:p w14:paraId="7C63BE5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主要反映各种预算支出执行偏离绩效目标的情况，并分析其原因。</w:t>
      </w:r>
    </w:p>
    <w:p w14:paraId="2A6E968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专项经费拨付时间、市级财政资金解冻时间与项目实施要求时间不一致，导致项目开展实施中资金周转困难，业务人员垫付费用，报账资金滞后，影响专项工作的开展。</w:t>
      </w:r>
    </w:p>
    <w:p w14:paraId="6E960EA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sz w:val="32"/>
          <w:szCs w:val="32"/>
          <w:lang w:val="en-US" w:eastAsia="zh-CN"/>
        </w:rPr>
      </w:pPr>
      <w:r>
        <w:rPr>
          <w:rFonts w:hint="eastAsia" w:ascii="仿宋" w:hAnsi="仿宋" w:eastAsia="仿宋" w:cs="仿宋"/>
          <w:color w:val="auto"/>
          <w:sz w:val="32"/>
          <w:szCs w:val="32"/>
          <w:highlight w:val="none"/>
          <w:lang w:val="en-US" w:eastAsia="zh-CN"/>
        </w:rPr>
        <w:t>因经济下行，非税项目开展减少，林业技术服务项目回款艰难，导致未能达到年初预算目标。</w:t>
      </w:r>
    </w:p>
    <w:p w14:paraId="4F0F7806">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下一步改进措施</w:t>
      </w:r>
    </w:p>
    <w:p w14:paraId="7E7123B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积极与市本级财政沟通，落实专项资金的下达及解冻。加强业务能力，拓宽非税收入来源，开展更多林业技术服务项目。</w:t>
      </w:r>
    </w:p>
    <w:p w14:paraId="6A2EBD79">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ind w:left="0" w:leftChars="0" w:firstLine="0" w:firstLineChars="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绩效自评结果拟应用和公开情况</w:t>
      </w:r>
    </w:p>
    <w:p w14:paraId="218D92F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绩效自评结果会在财政局官网公开。</w:t>
      </w:r>
    </w:p>
    <w:p w14:paraId="0D944C4B">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十二、其他需要说明的情况</w:t>
      </w:r>
    </w:p>
    <w:p w14:paraId="0B257E3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整体支出报告需要以下附件：</w:t>
      </w:r>
    </w:p>
    <w:p w14:paraId="28AC6E9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1.部门整体支出绩效评价基础数据表</w:t>
      </w:r>
    </w:p>
    <w:p w14:paraId="54EE272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2.部门整体支出绩效自评表</w:t>
      </w:r>
    </w:p>
    <w:p w14:paraId="70DDFBE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3.项目支出绩效自评表（每个一级项目支出一张表）</w:t>
      </w:r>
    </w:p>
    <w:p w14:paraId="095B56B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如有政府性基金预算、国有资本经营预算和社会保险基金预算支出，还需对应提供以下附件：</w:t>
      </w:r>
    </w:p>
    <w:p w14:paraId="55D4652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4</w:t>
      </w:r>
      <w:r>
        <w:rPr>
          <w:rFonts w:hint="default" w:ascii="Times New Roman Regular" w:hAnsi="Times New Roman Regular" w:eastAsia="仿宋_GB2312" w:cs="Times New Roman Regular"/>
          <w:color w:val="auto"/>
          <w:sz w:val="32"/>
          <w:szCs w:val="32"/>
          <w:highlight w:val="none"/>
          <w:lang w:val="en-US" w:eastAsia="zh-CN"/>
        </w:rPr>
        <w:t>、政府性基金预算支出情况表</w:t>
      </w:r>
    </w:p>
    <w:p w14:paraId="4873301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、国有资本经营预算支出情况表</w:t>
      </w:r>
    </w:p>
    <w:p w14:paraId="2708525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6</w:t>
      </w:r>
      <w:r>
        <w:rPr>
          <w:rFonts w:hint="default" w:ascii="Times New Roman Regular" w:hAnsi="Times New Roman Regular" w:eastAsia="仿宋_GB2312" w:cs="Times New Roman Regular"/>
          <w:color w:val="auto"/>
          <w:sz w:val="32"/>
          <w:szCs w:val="32"/>
          <w:highlight w:val="none"/>
          <w:lang w:val="en-US" w:eastAsia="zh-CN"/>
        </w:rPr>
        <w:t>、社会保险基金预算支出情况表</w:t>
      </w:r>
    </w:p>
    <w:p w14:paraId="3DF1271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3B83C2D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sectPr>
      <w:pgSz w:w="11906" w:h="16838"/>
      <w:pgMar w:top="2098" w:right="1800"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alibri"/>
    <w:panose1 w:val="020F0302020204030204"/>
    <w:charset w:val="00"/>
    <w:family w:val="auto"/>
    <w:pitch w:val="default"/>
    <w:sig w:usb0="00000000" w:usb1="00000000" w:usb2="0000000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auto"/>
    <w:pitch w:val="default"/>
    <w:sig w:usb0="00000000" w:usb1="00000000" w:usb2="00000000" w:usb3="00000000" w:csb0="00040000" w:csb1="00000000"/>
    <w:embedRegular r:id="rId1" w:fontKey="{66C4E1E8-2EC3-4C21-8633-0510120E5BF7}"/>
  </w:font>
  <w:font w:name="微软雅黑">
    <w:panose1 w:val="020B0503020204020204"/>
    <w:charset w:val="86"/>
    <w:family w:val="auto"/>
    <w:pitch w:val="default"/>
    <w:sig w:usb0="80000287" w:usb1="280F3C52" w:usb2="00000016" w:usb3="00000000" w:csb0="0004001F" w:csb1="00000000"/>
  </w:font>
  <w:font w:name="方正黑体_GBK">
    <w:altName w:val="微软雅黑"/>
    <w:panose1 w:val="02000000000000000000"/>
    <w:charset w:val="86"/>
    <w:family w:val="auto"/>
    <w:pitch w:val="default"/>
    <w:sig w:usb0="00000000" w:usb1="00000000" w:usb2="00000000" w:usb3="00000000" w:csb0="00040000" w:csb1="00000000"/>
    <w:embedRegular r:id="rId2" w:fontKey="{900B70E0-3528-4C40-8C41-1C13225BC4BB}"/>
  </w:font>
  <w:font w:name="Times New Roman Regular">
    <w:altName w:val="Times New Roman"/>
    <w:panose1 w:val="02020603050405020304"/>
    <w:charset w:val="00"/>
    <w:family w:val="auto"/>
    <w:pitch w:val="default"/>
    <w:sig w:usb0="00000000" w:usb1="00000000" w:usb2="00000009" w:usb3="00000000" w:csb0="400001FF" w:csb1="FFFF0000"/>
    <w:embedRegular r:id="rId3" w:fontKey="{C99946C0-1E4C-4C84-8983-61FFE97F6E6D}"/>
  </w:font>
  <w:font w:name="仿宋_GB2312">
    <w:panose1 w:val="02010609030101010101"/>
    <w:charset w:val="86"/>
    <w:family w:val="auto"/>
    <w:pitch w:val="default"/>
    <w:sig w:usb0="00000001" w:usb1="080E0000" w:usb2="00000000" w:usb3="00000000" w:csb0="00040000" w:csb1="00000000"/>
    <w:embedRegular r:id="rId4" w:fontKey="{D97E388A-92AB-40F3-AEAB-1318409FB4DD}"/>
  </w:font>
  <w:font w:name="仿宋">
    <w:panose1 w:val="02010609060101010101"/>
    <w:charset w:val="86"/>
    <w:family w:val="auto"/>
    <w:pitch w:val="default"/>
    <w:sig w:usb0="800002BF" w:usb1="38CF7CFA" w:usb2="00000016" w:usb3="00000000" w:csb0="00040001" w:csb1="00000000"/>
    <w:embedRegular r:id="rId5" w:fontKey="{F25C2FDC-0DC6-4D7C-998F-5ED31B34C869}"/>
  </w:font>
  <w:font w:name="WPSEMBED45">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A342BE"/>
    <w:multiLevelType w:val="singleLevel"/>
    <w:tmpl w:val="99A342BE"/>
    <w:lvl w:ilvl="0" w:tentative="0">
      <w:start w:val="10"/>
      <w:numFmt w:val="chineseCounting"/>
      <w:suff w:val="nothing"/>
      <w:lvlText w:val="%1、"/>
      <w:lvlJc w:val="left"/>
      <w:rPr>
        <w:rFonts w:hint="eastAsia"/>
      </w:rPr>
    </w:lvl>
  </w:abstractNum>
  <w:abstractNum w:abstractNumId="1">
    <w:nsid w:val="AE13685C"/>
    <w:multiLevelType w:val="singleLevel"/>
    <w:tmpl w:val="AE13685C"/>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4YjljOWRkYTEwMzVhMGU0MTZkMjJmNzQ2MTZmMDEifQ=="/>
    <w:docVar w:name="KSO_WPS_MARK_KEY" w:val="9920a277-c0c3-43b4-93d3-1636fe398e0b"/>
  </w:docVars>
  <w:rsids>
    <w:rsidRoot w:val="753C4E9B"/>
    <w:rsid w:val="00641E35"/>
    <w:rsid w:val="05E95AA6"/>
    <w:rsid w:val="08C26CF2"/>
    <w:rsid w:val="0C180A78"/>
    <w:rsid w:val="0D276746"/>
    <w:rsid w:val="0D464D9C"/>
    <w:rsid w:val="0DD52794"/>
    <w:rsid w:val="0E956870"/>
    <w:rsid w:val="10C666A5"/>
    <w:rsid w:val="111D0EFF"/>
    <w:rsid w:val="1223366A"/>
    <w:rsid w:val="143877FD"/>
    <w:rsid w:val="14B80712"/>
    <w:rsid w:val="17FCFFF6"/>
    <w:rsid w:val="19E805B2"/>
    <w:rsid w:val="1CBF872E"/>
    <w:rsid w:val="22FE234B"/>
    <w:rsid w:val="277E6F02"/>
    <w:rsid w:val="291B6C85"/>
    <w:rsid w:val="29990575"/>
    <w:rsid w:val="2AF6742D"/>
    <w:rsid w:val="312A2265"/>
    <w:rsid w:val="333F3E43"/>
    <w:rsid w:val="336D09ED"/>
    <w:rsid w:val="36FC0F5D"/>
    <w:rsid w:val="374A2C88"/>
    <w:rsid w:val="375773F8"/>
    <w:rsid w:val="393E32BB"/>
    <w:rsid w:val="3B2E0E01"/>
    <w:rsid w:val="3EFDDE87"/>
    <w:rsid w:val="419B2857"/>
    <w:rsid w:val="41D71DA8"/>
    <w:rsid w:val="4C6611ED"/>
    <w:rsid w:val="4D5D3BD3"/>
    <w:rsid w:val="4EB7F892"/>
    <w:rsid w:val="535F1313"/>
    <w:rsid w:val="552A0475"/>
    <w:rsid w:val="578D10CB"/>
    <w:rsid w:val="5A5915AC"/>
    <w:rsid w:val="5ABBC979"/>
    <w:rsid w:val="5BFC7B3B"/>
    <w:rsid w:val="5E77C7C6"/>
    <w:rsid w:val="5FFFAAE0"/>
    <w:rsid w:val="66347B2F"/>
    <w:rsid w:val="667FD72C"/>
    <w:rsid w:val="690C00B0"/>
    <w:rsid w:val="69D80B0F"/>
    <w:rsid w:val="6A12486A"/>
    <w:rsid w:val="6ABE64BE"/>
    <w:rsid w:val="6B5F16C5"/>
    <w:rsid w:val="6CDE381E"/>
    <w:rsid w:val="6CF3EA5A"/>
    <w:rsid w:val="6D036DE1"/>
    <w:rsid w:val="753C4E9B"/>
    <w:rsid w:val="769B7804"/>
    <w:rsid w:val="779FCBF0"/>
    <w:rsid w:val="77F7E21B"/>
    <w:rsid w:val="781113A7"/>
    <w:rsid w:val="791E6510"/>
    <w:rsid w:val="79E2F975"/>
    <w:rsid w:val="7B3BDBF2"/>
    <w:rsid w:val="7C605FFE"/>
    <w:rsid w:val="7C8D4A41"/>
    <w:rsid w:val="7EBDCBBF"/>
    <w:rsid w:val="7EC74CC1"/>
    <w:rsid w:val="7EE6408F"/>
    <w:rsid w:val="7F3EB32E"/>
    <w:rsid w:val="7F5F3F3B"/>
    <w:rsid w:val="7F5FE5E8"/>
    <w:rsid w:val="7F7FC8C5"/>
    <w:rsid w:val="7FFDE9AB"/>
    <w:rsid w:val="7FFEB77D"/>
    <w:rsid w:val="7FFFADA2"/>
    <w:rsid w:val="9ED5792A"/>
    <w:rsid w:val="AEFFB886"/>
    <w:rsid w:val="BEFF7926"/>
    <w:rsid w:val="CF12F568"/>
    <w:rsid w:val="DEBF7731"/>
    <w:rsid w:val="E39F96A6"/>
    <w:rsid w:val="E6DFCF67"/>
    <w:rsid w:val="EBB76B61"/>
    <w:rsid w:val="F6D78CAF"/>
    <w:rsid w:val="F7DA3342"/>
    <w:rsid w:val="FBD266D3"/>
    <w:rsid w:val="FBFF7914"/>
    <w:rsid w:val="FDBFA637"/>
    <w:rsid w:val="FE6B70D4"/>
    <w:rsid w:val="FF2C1D8F"/>
    <w:rsid w:val="FF7BB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0">
    <w:name w:val="Default Paragraph Font"/>
    <w:autoRedefine/>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Indent"/>
    <w:basedOn w:val="1"/>
    <w:autoRedefine/>
    <w:unhideWhenUsed/>
    <w:qFormat/>
    <w:uiPriority w:val="0"/>
    <w:pPr>
      <w:spacing w:beforeLines="0" w:afterLines="0"/>
      <w:ind w:firstLine="640" w:firstLineChars="200"/>
    </w:pPr>
    <w:rPr>
      <w:rFonts w:hint="default"/>
      <w:sz w:val="32"/>
    </w:r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3"/>
    <w:autoRedefine/>
    <w:unhideWhenUsed/>
    <w:qFormat/>
    <w:uiPriority w:val="99"/>
    <w:pPr>
      <w:spacing w:beforeLines="0" w:afterLines="0"/>
      <w:ind w:firstLine="420"/>
    </w:pPr>
    <w:rPr>
      <w:rFonts w:hint="default"/>
      <w:sz w:val="32"/>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标题1"/>
    <w:basedOn w:val="2"/>
    <w:autoRedefine/>
    <w:qFormat/>
    <w:uiPriority w:val="0"/>
    <w:rPr>
      <w:rFonts w:eastAsia="黑体"/>
    </w:rPr>
  </w:style>
  <w:style w:type="paragraph" w:customStyle="1" w:styleId="12">
    <w:name w:val="首行缩进"/>
    <w:basedOn w:val="1"/>
    <w:autoRedefine/>
    <w:qFormat/>
    <w:uiPriority w:val="0"/>
    <w:pPr>
      <w:ind w:firstLine="480" w:firstLineChars="200"/>
    </w:pPr>
    <w:rPr>
      <w:lang w:val="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3613</Words>
  <Characters>3945</Characters>
  <Lines>0</Lines>
  <Paragraphs>0</Paragraphs>
  <TotalTime>0</TotalTime>
  <ScaleCrop>false</ScaleCrop>
  <LinksUpToDate>false</LinksUpToDate>
  <CharactersWithSpaces>3962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2024-02-23T10:03:00Z</dcterms:created>
  <dc:creator>1402836399</dc:creator>
  <cp:lastModifiedBy>造冄</cp:lastModifiedBy>
  <cp:lastPrinted>2026-03-25T02:10:00Z</cp:lastPrinted>
  <dcterms:modified xsi:type="dcterms:W3CDTF">2026-06-11T11:54:19Z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2E59967559EAD85B47E0F5671AAD0169_43</vt:lpwstr>
  </property>
  <property fmtid="{D5CDD505-2E9C-101B-9397-08002B2CF9AE}" pid="4" name="KSOTemplateDocerSaveRecord">
    <vt:lpwstr>eyJoZGlkIjoiNjUyMzRmNzY0MGFlMDgzODk4ZmY4OThkM2E0NTI2NGEiLCJ1c2VySWQiOiIyMDg4Njg2ODUifQ==</vt:lpwstr>
  </property>
</Properties>
</file>