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jc w:val="center"/>
        <w:rPr>
          <w:rFonts w:ascii="Times New Roman" w:hAnsi="Times New Roman" w:cs="Times New Roman"/>
          <w:sz w:val="56"/>
          <w:szCs w:val="56"/>
        </w:rPr>
      </w:pPr>
    </w:p>
    <w:p>
      <w:pPr>
        <w:pStyle w:val="12"/>
        <w:jc w:val="center"/>
        <w:rPr>
          <w:rFonts w:ascii="Times New Roman" w:hAnsi="Times New Roman" w:cs="Times New Roman"/>
          <w:sz w:val="84"/>
          <w:szCs w:val="84"/>
        </w:rPr>
      </w:pPr>
    </w:p>
    <w:p>
      <w:pPr>
        <w:pStyle w:val="12"/>
        <w:jc w:val="center"/>
        <w:rPr>
          <w:rFonts w:ascii="Times New Roman" w:hAnsi="Times New Roman" w:cs="Times New Roman"/>
          <w:sz w:val="84"/>
          <w:szCs w:val="84"/>
        </w:rPr>
      </w:pPr>
    </w:p>
    <w:p>
      <w:pPr>
        <w:pStyle w:val="12"/>
        <w:jc w:val="center"/>
        <w:rPr>
          <w:rFonts w:ascii="Times New Roman" w:hAnsi="Times New Roman" w:eastAsia="方正小标宋简体" w:cs="Times New Roman"/>
          <w:sz w:val="72"/>
          <w:szCs w:val="72"/>
        </w:rPr>
      </w:pPr>
      <w:r>
        <w:rPr>
          <w:rFonts w:ascii="Times New Roman" w:hAnsi="Times New Roman" w:eastAsia="方正小标宋简体" w:cs="Times New Roman"/>
          <w:sz w:val="72"/>
          <w:szCs w:val="72"/>
        </w:rPr>
        <w:t>202</w:t>
      </w:r>
      <w:r>
        <w:rPr>
          <w:rFonts w:hint="eastAsia" w:ascii="Times New Roman" w:hAnsi="Times New Roman" w:eastAsia="方正小标宋简体" w:cs="Times New Roman"/>
          <w:sz w:val="72"/>
          <w:szCs w:val="72"/>
        </w:rPr>
        <w:t>5</w:t>
      </w:r>
      <w:r>
        <w:rPr>
          <w:rFonts w:ascii="Times New Roman" w:hAnsi="Times New Roman" w:eastAsia="方正小标宋简体" w:cs="Times New Roman"/>
          <w:sz w:val="72"/>
          <w:szCs w:val="72"/>
        </w:rPr>
        <w:t>年度</w:t>
      </w:r>
    </w:p>
    <w:p>
      <w:pPr>
        <w:pStyle w:val="12"/>
        <w:spacing w:line="1300" w:lineRule="exact"/>
        <w:jc w:val="center"/>
        <w:rPr>
          <w:rFonts w:ascii="方正小标宋_GBK" w:hAnsi="方正小标宋_GBK" w:eastAsia="方正小标宋_GBK" w:cs="方正小标宋_GBK"/>
          <w:color w:val="auto"/>
          <w:w w:val="94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color w:val="auto"/>
          <w:w w:val="94"/>
          <w:sz w:val="72"/>
          <w:szCs w:val="72"/>
        </w:rPr>
        <w:t>湖南中坡国家森林公园</w:t>
      </w:r>
    </w:p>
    <w:p>
      <w:pPr>
        <w:pStyle w:val="12"/>
        <w:jc w:val="center"/>
        <w:rPr>
          <w:rFonts w:ascii="Times New Roman" w:hAnsi="Times New Roman" w:eastAsia="方正小标宋_GBK" w:cs="Times New Roman"/>
          <w:sz w:val="56"/>
          <w:szCs w:val="56"/>
        </w:rPr>
      </w:pPr>
      <w:r>
        <w:rPr>
          <w:rFonts w:hint="eastAsia" w:ascii="方正小标宋_GBK" w:hAnsi="方正小标宋_GBK" w:eastAsia="方正小标宋_GBK" w:cs="方正小标宋_GBK"/>
          <w:color w:val="auto"/>
          <w:w w:val="94"/>
          <w:sz w:val="72"/>
          <w:szCs w:val="72"/>
        </w:rPr>
        <w:t>管理处部门决算</w:t>
      </w:r>
    </w:p>
    <w:p>
      <w:pPr>
        <w:pStyle w:val="12"/>
        <w:jc w:val="center"/>
        <w:rPr>
          <w:rFonts w:ascii="Times New Roman" w:hAnsi="Times New Roman" w:cs="Times New Roman"/>
          <w:sz w:val="56"/>
          <w:szCs w:val="56"/>
        </w:rPr>
      </w:pPr>
    </w:p>
    <w:p>
      <w:pPr>
        <w:pStyle w:val="12"/>
        <w:rPr>
          <w:rFonts w:ascii="Times New Roman" w:hAnsi="Times New Roman" w:cs="Times New Roman"/>
          <w:sz w:val="56"/>
          <w:szCs w:val="56"/>
        </w:rPr>
      </w:pPr>
    </w:p>
    <w:p>
      <w:pPr>
        <w:pStyle w:val="12"/>
        <w:jc w:val="center"/>
        <w:rPr>
          <w:rFonts w:ascii="Times New Roman" w:hAnsi="Times New Roman" w:cs="Times New Roman"/>
          <w:sz w:val="32"/>
          <w:szCs w:val="32"/>
        </w:rPr>
      </w:pPr>
    </w:p>
    <w:p>
      <w:pPr>
        <w:pStyle w:val="12"/>
        <w:jc w:val="center"/>
        <w:rPr>
          <w:rFonts w:ascii="Times New Roman" w:hAnsi="Times New Roman" w:cs="Times New Roman"/>
          <w:sz w:val="32"/>
          <w:szCs w:val="32"/>
        </w:rPr>
      </w:pPr>
    </w:p>
    <w:p>
      <w:pPr>
        <w:pStyle w:val="12"/>
        <w:jc w:val="center"/>
        <w:rPr>
          <w:rFonts w:ascii="Times New Roman" w:hAnsi="Times New Roman" w:cs="Times New Roman"/>
          <w:sz w:val="32"/>
          <w:szCs w:val="32"/>
        </w:rPr>
      </w:pPr>
    </w:p>
    <w:p>
      <w:pPr>
        <w:pStyle w:val="12"/>
        <w:spacing w:line="600" w:lineRule="exact"/>
        <w:jc w:val="center"/>
        <w:rPr>
          <w:rFonts w:ascii="Times New Roman" w:hAnsi="Times New Roman" w:cs="Times New Roman"/>
          <w:b/>
          <w:sz w:val="36"/>
          <w:szCs w:val="28"/>
        </w:rPr>
        <w:sectPr>
          <w:footerReference r:id="rId3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>
      <w:pPr>
        <w:pStyle w:val="12"/>
        <w:spacing w:line="600" w:lineRule="exact"/>
        <w:jc w:val="center"/>
        <w:rPr>
          <w:rFonts w:ascii="Times New Roman" w:hAnsi="Times New Roman" w:cs="Times New Roman"/>
          <w:bCs/>
          <w:sz w:val="36"/>
          <w:szCs w:val="28"/>
        </w:rPr>
      </w:pPr>
      <w:r>
        <w:rPr>
          <w:rFonts w:ascii="Times New Roman" w:hAnsi="Times New Roman" w:cs="Times New Roman"/>
          <w:bCs/>
          <w:sz w:val="36"/>
          <w:szCs w:val="28"/>
        </w:rPr>
        <w:t>目  录</w:t>
      </w:r>
    </w:p>
    <w:p>
      <w:pPr>
        <w:pStyle w:val="12"/>
        <w:spacing w:line="600" w:lineRule="exact"/>
        <w:jc w:val="center"/>
        <w:rPr>
          <w:rFonts w:ascii="Times New Roman" w:hAnsi="Times New Roman" w:cs="Times New Roman"/>
          <w:b/>
          <w:sz w:val="36"/>
          <w:szCs w:val="28"/>
        </w:rPr>
      </w:pPr>
    </w:p>
    <w:p>
      <w:pPr>
        <w:pStyle w:val="12"/>
        <w:spacing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第一部分 </w:t>
      </w:r>
      <w:r>
        <w:rPr>
          <w:rFonts w:hint="eastAsia" w:ascii="Times New Roman" w:hAnsi="Times New Roman" w:cs="Times New Roman"/>
          <w:bCs/>
          <w:sz w:val="32"/>
          <w:szCs w:val="32"/>
        </w:rPr>
        <w:t>湖南中坡国家森林公园管理处</w:t>
      </w:r>
      <w:r>
        <w:rPr>
          <w:rFonts w:ascii="Times New Roman" w:hAnsi="Times New Roman" w:cs="Times New Roman"/>
          <w:bCs/>
          <w:sz w:val="32"/>
          <w:szCs w:val="32"/>
        </w:rPr>
        <w:t>概况</w:t>
      </w:r>
    </w:p>
    <w:p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一、部门职责</w:t>
      </w:r>
    </w:p>
    <w:p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二、机构设置及决算单位构成</w:t>
      </w:r>
    </w:p>
    <w:p>
      <w:pPr>
        <w:pStyle w:val="12"/>
        <w:spacing w:beforeLines="50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第二部分 部门决算表</w:t>
      </w:r>
    </w:p>
    <w:p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一、收入支出决算总表</w:t>
      </w:r>
    </w:p>
    <w:p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二、收入决算表</w:t>
      </w:r>
    </w:p>
    <w:p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三、支出决算表</w:t>
      </w:r>
    </w:p>
    <w:p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四、财政拨款收入支出决算总表</w:t>
      </w:r>
    </w:p>
    <w:p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五、一般公共预算财政拨款支出决算表</w:t>
      </w:r>
    </w:p>
    <w:p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六、一般公共预算财政拨款基本支出决算明细表</w:t>
      </w:r>
    </w:p>
    <w:p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七、政府性基金预算财政拨款收入支出决算表</w:t>
      </w:r>
    </w:p>
    <w:p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八、国有资本经营预算财政拨款支出决算表</w:t>
      </w:r>
    </w:p>
    <w:p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九、财政拨款“三公”经费支出决算表</w:t>
      </w:r>
    </w:p>
    <w:p>
      <w:pPr>
        <w:pStyle w:val="12"/>
        <w:spacing w:beforeLines="50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第三部分 部门决算情况说明</w:t>
      </w:r>
    </w:p>
    <w:p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一、收入支出决算总体情况说明</w:t>
      </w:r>
    </w:p>
    <w:p>
      <w:pPr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二、收入决算情况说明</w:t>
      </w:r>
    </w:p>
    <w:p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三、支出决算情况说明</w:t>
      </w:r>
    </w:p>
    <w:p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四、财政拨款收入支出决算总体情况说明</w:t>
      </w:r>
    </w:p>
    <w:p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五、一般公共预算财政拨款支出决算情况说明</w:t>
      </w:r>
    </w:p>
    <w:p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sectPr>
          <w:footerReference r:id="rId4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六、一般公共预算财政拨款基本支出决算情况说明</w:t>
      </w:r>
    </w:p>
    <w:p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七、财政拨款“三公”经费支出决算情况说明</w:t>
      </w:r>
    </w:p>
    <w:p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八、政府性基金预算收入支出决算情况</w:t>
      </w:r>
    </w:p>
    <w:p>
      <w:pPr>
        <w:autoSpaceDE w:val="0"/>
        <w:autoSpaceDN w:val="0"/>
        <w:adjustRightIn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九、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国有资本经营预算财政拨款支出决算情况</w:t>
      </w:r>
    </w:p>
    <w:p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十、关于机关运行经费支出说明</w:t>
      </w:r>
    </w:p>
    <w:p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十一、一般性支出情况说明</w:t>
      </w:r>
    </w:p>
    <w:p>
      <w:pPr>
        <w:pStyle w:val="12"/>
        <w:spacing w:line="600" w:lineRule="exac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十二、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关于政府采购支出说明</w:t>
      </w:r>
    </w:p>
    <w:p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十三、关于国有资产占用情况说明</w:t>
      </w:r>
    </w:p>
    <w:p>
      <w:pPr>
        <w:pStyle w:val="12"/>
        <w:spacing w:line="600" w:lineRule="exac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十四、</w:t>
      </w:r>
      <w:r>
        <w:rPr>
          <w:rFonts w:ascii="Times New Roman" w:hAnsi="Times New Roman" w:eastAsia="仿宋_GB2312" w:cs="Times New Roman"/>
          <w:sz w:val="32"/>
          <w:szCs w:val="32"/>
        </w:rPr>
        <w:t>关于202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年度预算绩效管理情况的说明</w:t>
      </w:r>
    </w:p>
    <w:p>
      <w:pPr>
        <w:pStyle w:val="12"/>
        <w:spacing w:beforeLines="50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第四部分 名词解释</w:t>
      </w:r>
    </w:p>
    <w:p>
      <w:pPr>
        <w:pStyle w:val="12"/>
        <w:spacing w:beforeLines="50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第五部分 附件</w:t>
      </w:r>
    </w:p>
    <w:p>
      <w:pPr>
        <w:pStyle w:val="12"/>
        <w:spacing w:line="600" w:lineRule="exact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sz w:val="72"/>
          <w:szCs w:val="72"/>
        </w:rPr>
      </w:pPr>
    </w:p>
    <w:p>
      <w:pPr>
        <w:pStyle w:val="2"/>
        <w:rPr>
          <w:rFonts w:ascii="Times New Roman" w:hAnsi="Times New Roman" w:cs="Times New Roman"/>
        </w:rPr>
        <w:sectPr>
          <w:footerReference r:id="rId5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>
      <w:pPr>
        <w:rPr>
          <w:rFonts w:ascii="Times New Roman" w:hAnsi="Times New Roman" w:eastAsia="方正小标宋_GBK" w:cs="Times New Roman"/>
          <w:sz w:val="72"/>
          <w:szCs w:val="72"/>
        </w:rPr>
      </w:pPr>
    </w:p>
    <w:p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第一部分</w:t>
      </w:r>
    </w:p>
    <w:p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hint="eastAsia" w:ascii="Times New Roman" w:hAnsi="Times New Roman" w:eastAsia="方正小标宋_GBK" w:cs="Times New Roman"/>
          <w:sz w:val="52"/>
          <w:szCs w:val="52"/>
        </w:rPr>
        <w:t>湖南中坡国家森林公园管理处</w:t>
      </w:r>
      <w:r>
        <w:rPr>
          <w:rFonts w:ascii="Times New Roman" w:hAnsi="Times New Roman" w:eastAsia="方正小标宋_GBK" w:cs="Times New Roman"/>
          <w:sz w:val="52"/>
          <w:szCs w:val="52"/>
        </w:rPr>
        <w:t>概况</w:t>
      </w:r>
    </w:p>
    <w:p>
      <w:pPr>
        <w:pStyle w:val="3"/>
        <w:ind w:left="0" w:leftChars="0" w:firstLine="0" w:firstLineChars="0"/>
        <w:rPr>
          <w:rFonts w:ascii="Times New Roman" w:hAnsi="Times New Roman" w:cs="Times New Roman"/>
        </w:rPr>
      </w:pPr>
    </w:p>
    <w:p>
      <w:pPr>
        <w:pStyle w:val="13"/>
        <w:spacing w:line="600" w:lineRule="exact"/>
        <w:ind w:firstLine="0" w:firstLineChars="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一、</w:t>
      </w:r>
      <w:r>
        <w:rPr>
          <w:rFonts w:ascii="Times New Roman" w:hAnsi="Times New Roman" w:eastAsia="黑体" w:cs="Times New Roman"/>
          <w:sz w:val="32"/>
          <w:szCs w:val="32"/>
        </w:rPr>
        <w:t>部门职责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 xml:space="preserve">（一）贯彻执行国家、省、市关于森林公园和风景名胜区及国有林场建设管理的法律、法规和政策。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 xml:space="preserve">　　（二）承担湖南中坡国家森林公园的环境建设、园区管理、设施维护、生态保护、安全保卫等工作。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 xml:space="preserve">　　（三）负责组织对湖南中坡国家森林公园的旅游资源进行合理开发和利用，开展林业科普宣传教育、研学示范实践与生态休闲康养。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 xml:space="preserve">　　（四）负责全市林业科学研究、林业科技成果推广应用、林业科技咨询服务、林业技术培训指导等工作。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 xml:space="preserve">　　（五）承担上级下达的植物种质资源调查、收集、扩繁、迁地保护、野外回归等任务。承担全市植物种质资源创新利用工作；开展应用型林业生物技术研究、本市特异种质资源筛选评价和重要基因发掘利用工作。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 xml:space="preserve">　　（六）组织开展林业学术交流、技术合作和科研人才培养工作。 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　　（七）完成市委、市政府和市林业局交办的其他任务。</w:t>
      </w:r>
    </w:p>
    <w:p>
      <w:pPr>
        <w:widowControl/>
        <w:spacing w:line="600" w:lineRule="exact"/>
        <w:rPr>
          <w:rFonts w:ascii="Times New Roman" w:hAnsi="Times New Roman" w:eastAsia="黑体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bCs/>
          <w:kern w:val="0"/>
          <w:sz w:val="32"/>
          <w:szCs w:val="32"/>
        </w:rPr>
        <w:t>二、机构设置及决算单位构成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（一）内设机构设置。</w:t>
      </w: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湖南中坡国家森林公园管理处（怀化市林业科学研究所、怀化市中坡风景名胜管理处、怀化市中坡国有林场）以下简称“中坡公园”为隶属市林业局管辖的副处级公益一类差额拨款事业单位，实行“四块牌子，一套人马”的管理体制。内设机构包括综合部、人事教育部、计划财务部、规划建设部、森林防火与安全保卫部、旅游服务部、林场管理部、林业科技研究推广部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决算单位构成。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2025年部门决算汇总公开单位构成包括：湖南中坡国家森林公园管理处（怀化市林业科学研究所、怀化市中坡风景名胜管理处、怀化市中坡国有林场）单位本级。</w:t>
      </w:r>
    </w:p>
    <w:p>
      <w:pPr>
        <w:jc w:val="left"/>
        <w:rPr>
          <w:rFonts w:ascii="Times New Roman" w:hAnsi="Times New Roman" w:eastAsia="仿宋_GB2312" w:cs="Times New Roman"/>
          <w:sz w:val="28"/>
          <w:szCs w:val="32"/>
        </w:rPr>
      </w:pPr>
    </w:p>
    <w:p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>
      <w:pPr>
        <w:pStyle w:val="2"/>
        <w:rPr>
          <w:rFonts w:ascii="Times New Roman" w:hAnsi="Times New Roman" w:cs="Times New Roman"/>
        </w:rPr>
        <w:sectPr>
          <w:footerReference r:id="rId6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</w:t>
      </w:r>
      <w:r>
        <w:rPr>
          <w:rFonts w:hint="eastAsia" w:ascii="Times New Roman" w:hAnsi="Times New Roman" w:eastAsia="方正小标宋_GBK" w:cs="Times New Roman"/>
          <w:sz w:val="52"/>
          <w:szCs w:val="52"/>
          <w:lang w:val="en-US" w:eastAsia="zh-CN"/>
        </w:rPr>
        <w:t>二</w:t>
      </w:r>
      <w:r>
        <w:rPr>
          <w:rFonts w:ascii="Times New Roman" w:hAnsi="Times New Roman" w:eastAsia="方正小标宋_GBK" w:cs="Times New Roman"/>
          <w:sz w:val="52"/>
          <w:szCs w:val="52"/>
        </w:rPr>
        <w:t>部分</w:t>
      </w:r>
    </w:p>
    <w:p>
      <w:pPr>
        <w:pStyle w:val="12"/>
        <w:spacing w:line="360" w:lineRule="auto"/>
        <w:jc w:val="center"/>
        <w:rPr>
          <w:rFonts w:hint="eastAsia" w:ascii="Times New Roman" w:hAnsi="Times New Roman" w:eastAsia="方正小标宋_GBK" w:cs="Times New Roman"/>
          <w:sz w:val="52"/>
          <w:szCs w:val="52"/>
          <w:lang w:val="en-US" w:eastAsia="zh-CN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部门决算</w:t>
      </w:r>
      <w:r>
        <w:rPr>
          <w:rFonts w:hint="eastAsia" w:ascii="Times New Roman" w:hAnsi="Times New Roman" w:eastAsia="方正小标宋_GBK" w:cs="Times New Roman"/>
          <w:sz w:val="52"/>
          <w:szCs w:val="52"/>
          <w:lang w:val="en-US" w:eastAsia="zh-CN"/>
        </w:rPr>
        <w:t>报表</w:t>
      </w:r>
    </w:p>
    <w:p>
      <w:pPr>
        <w:widowControl/>
        <w:rPr>
          <w:rFonts w:ascii="Times New Roman" w:hAnsi="Times New Roman" w:cs="Times New Roman"/>
          <w:sz w:val="72"/>
          <w:szCs w:val="72"/>
        </w:rPr>
      </w:pPr>
    </w:p>
    <w:p>
      <w:pPr>
        <w:pStyle w:val="2"/>
        <w:jc w:val="center"/>
        <w:rPr>
          <w:rFonts w:ascii="Times New Roman" w:hAnsi="Times New Roman" w:cs="Times New Roman"/>
          <w:sz w:val="72"/>
          <w:szCs w:val="72"/>
        </w:rPr>
        <w:sectPr>
          <w:pgSz w:w="11906" w:h="16838"/>
          <w:pgMar w:top="1417" w:right="1134" w:bottom="1417" w:left="1134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见附件一</w:t>
      </w:r>
    </w:p>
    <w:p>
      <w:pPr>
        <w:pStyle w:val="12"/>
        <w:jc w:val="both"/>
        <w:rPr>
          <w:rFonts w:ascii="Times New Roman" w:hAnsi="Times New Roman" w:eastAsia="方正小标宋_GBK" w:cs="Times New Roman"/>
          <w:sz w:val="72"/>
          <w:szCs w:val="72"/>
        </w:rPr>
      </w:pPr>
    </w:p>
    <w:p>
      <w:pPr>
        <w:pStyle w:val="12"/>
        <w:jc w:val="both"/>
        <w:rPr>
          <w:rFonts w:ascii="Times New Roman" w:hAnsi="Times New Roman" w:eastAsia="方正小标宋_GBK" w:cs="Times New Roman"/>
          <w:sz w:val="72"/>
          <w:szCs w:val="72"/>
        </w:rPr>
      </w:pPr>
    </w:p>
    <w:p>
      <w:pPr>
        <w:pStyle w:val="12"/>
        <w:jc w:val="both"/>
        <w:rPr>
          <w:rFonts w:ascii="Times New Roman" w:hAnsi="Times New Roman" w:eastAsia="方正小标宋_GBK" w:cs="Times New Roman"/>
          <w:sz w:val="72"/>
          <w:szCs w:val="72"/>
        </w:rPr>
      </w:pPr>
    </w:p>
    <w:p>
      <w:pPr>
        <w:pStyle w:val="12"/>
        <w:jc w:val="both"/>
        <w:rPr>
          <w:rFonts w:ascii="Times New Roman" w:hAnsi="Times New Roman" w:eastAsia="方正小标宋_GBK" w:cs="Times New Roman"/>
          <w:sz w:val="72"/>
          <w:szCs w:val="72"/>
        </w:rPr>
      </w:pPr>
    </w:p>
    <w:p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第三部分</w:t>
      </w:r>
    </w:p>
    <w:p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202</w:t>
      </w:r>
      <w:r>
        <w:rPr>
          <w:rFonts w:hint="eastAsia" w:ascii="Times New Roman" w:hAnsi="Times New Roman" w:eastAsia="方正小标宋_GBK" w:cs="Times New Roman"/>
          <w:sz w:val="52"/>
          <w:szCs w:val="52"/>
        </w:rPr>
        <w:t>5</w:t>
      </w:r>
      <w:r>
        <w:rPr>
          <w:rFonts w:ascii="Times New Roman" w:hAnsi="Times New Roman" w:eastAsia="方正小标宋_GBK" w:cs="Times New Roman"/>
          <w:sz w:val="52"/>
          <w:szCs w:val="52"/>
        </w:rPr>
        <w:t>年度部门决算情况说明</w:t>
      </w:r>
    </w:p>
    <w:p>
      <w:pPr>
        <w:widowControl/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方正小标宋_GBK" w:cs="Times New Roman"/>
          <w:sz w:val="70"/>
          <w:szCs w:val="70"/>
        </w:rPr>
        <w:br w:type="page"/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一、收入支出决算总体情况说明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年度收、支总计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2924.19 </w:t>
      </w:r>
      <w:r>
        <w:rPr>
          <w:rFonts w:ascii="Times New Roman" w:hAnsi="Times New Roman" w:eastAsia="仿宋_GB2312" w:cs="Times New Roman"/>
          <w:sz w:val="32"/>
          <w:szCs w:val="32"/>
        </w:rPr>
        <w:t>万元。与上年相比，增加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219.09</w:t>
      </w:r>
      <w:r>
        <w:rPr>
          <w:rFonts w:ascii="Times New Roman" w:hAnsi="Times New Roman" w:eastAsia="仿宋_GB2312" w:cs="Times New Roman"/>
          <w:sz w:val="32"/>
          <w:szCs w:val="32"/>
        </w:rPr>
        <w:t>万元，增长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8.1</w:t>
      </w:r>
      <w:r>
        <w:rPr>
          <w:rFonts w:ascii="Times New Roman" w:hAnsi="Times New Roman" w:eastAsia="仿宋_GB2312" w:cs="Times New Roman"/>
          <w:sz w:val="32"/>
          <w:szCs w:val="32"/>
        </w:rPr>
        <w:t>%，主要是因为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2025年全体职工工资标准提高，人员经费增加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总支出增加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贯彻落实党政机关习惯过紧日子有关要求，厉行节约办一切事业，严控一般性支出，进一步优化支出结构，持续压降“三公”经费、办公经费、会议培训等行政开支。同时坚持有保有压，优化支出结构，提高资金使用效率，合理保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民生、安全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等重点支出，体现在有关支出科目中。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二、收入决算情况说明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年度收入合计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2817.19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万元，其中：财政拨款收入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2692.69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95.58%</w:t>
      </w:r>
      <w:r>
        <w:rPr>
          <w:rFonts w:ascii="Times New Roman" w:hAnsi="Times New Roman" w:eastAsia="仿宋_GB2312" w:cs="Times New Roman"/>
          <w:sz w:val="32"/>
          <w:szCs w:val="32"/>
        </w:rPr>
        <w:t>；其他收入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124.5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4.42%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三、支出决算情况说明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年度支出合计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2924.19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万元，其中：基本支出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2253.29</w:t>
      </w:r>
      <w:r>
        <w:rPr>
          <w:rFonts w:ascii="Times New Roman" w:hAnsi="Times New Roman" w:eastAsia="仿宋_GB2312" w:cs="Times New Roman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77.06%</w:t>
      </w:r>
      <w:r>
        <w:rPr>
          <w:rFonts w:ascii="Times New Roman" w:hAnsi="Times New Roman" w:eastAsia="仿宋_GB2312" w:cs="Times New Roman"/>
          <w:sz w:val="32"/>
          <w:szCs w:val="32"/>
        </w:rPr>
        <w:t>；项目支出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670.9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22.94%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四、财政拨款收入支出决算总体情况说明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年度财政拨款收、支总计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2692.69</w:t>
      </w:r>
      <w:r>
        <w:rPr>
          <w:rFonts w:ascii="Times New Roman" w:hAnsi="Times New Roman" w:eastAsia="仿宋_GB2312" w:cs="Times New Roman"/>
          <w:sz w:val="32"/>
          <w:szCs w:val="32"/>
        </w:rPr>
        <w:t>万元，与上年相比，增加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170.35</w:t>
      </w:r>
      <w:r>
        <w:rPr>
          <w:rFonts w:ascii="Times New Roman" w:hAnsi="Times New Roman" w:eastAsia="仿宋_GB2312" w:cs="Times New Roman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6.8</w:t>
      </w:r>
      <w:r>
        <w:rPr>
          <w:rFonts w:ascii="Times New Roman" w:hAnsi="Times New Roman" w:eastAsia="仿宋_GB2312" w:cs="Times New Roman"/>
          <w:sz w:val="32"/>
          <w:szCs w:val="32"/>
        </w:rPr>
        <w:t>%，主要是因为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2025年全体职工工资标准提高，人员经费增加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总支出增加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五、一般公共预算财政拨款支出决算情况说明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（一）一般公共预算财政拨款支出决算总体情况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2692.69</w:t>
      </w:r>
      <w:r>
        <w:rPr>
          <w:rFonts w:ascii="Times New Roman" w:hAnsi="Times New Roman" w:eastAsia="仿宋_GB2312" w:cs="Times New Roman"/>
          <w:sz w:val="32"/>
          <w:szCs w:val="32"/>
        </w:rPr>
        <w:t>万元，占本年支出合计的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92.08</w:t>
      </w:r>
      <w:r>
        <w:rPr>
          <w:rFonts w:ascii="Times New Roman" w:hAnsi="Times New Roman" w:eastAsia="仿宋_GB2312" w:cs="Times New Roman"/>
          <w:sz w:val="32"/>
          <w:szCs w:val="32"/>
        </w:rPr>
        <w:t>%，与上年相比，财政拨款支出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增加170.35万元，增长6.8%，主要是因为2025年全体职工工资标准提高，人员经费增加，总支出增加。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（二）一般公共预算财政拨款支出决算结构情况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度财政拨款支出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2692.69</w:t>
      </w:r>
      <w:r>
        <w:rPr>
          <w:rFonts w:ascii="Times New Roman" w:hAnsi="Times New Roman" w:eastAsia="仿宋_GB2312" w:cs="Times New Roman"/>
          <w:sz w:val="32"/>
          <w:szCs w:val="32"/>
        </w:rPr>
        <w:t>万元，主要用于以下方面：一般公共服务（类）支出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92.87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3.45</w:t>
      </w:r>
      <w:r>
        <w:rPr>
          <w:rFonts w:ascii="Times New Roman" w:hAnsi="Times New Roman" w:eastAsia="仿宋_GB2312" w:cs="Times New Roman"/>
          <w:sz w:val="32"/>
          <w:szCs w:val="32"/>
        </w:rPr>
        <w:t>%；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科学技术支出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支出30.8万元，占1.14%；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节能环保（类）支出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5.45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%；农林水（类）支出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2549.28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94.68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%；交通运输（类）支出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14.29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0.53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%。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（三）一般公共预算财政拨款支出决算具体情况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年度财政拨款支出年初预算数为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2327.71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万元，支出决算数为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2692.69</w:t>
      </w:r>
      <w:r>
        <w:rPr>
          <w:rFonts w:ascii="Times New Roman" w:hAnsi="Times New Roman" w:eastAsia="仿宋_GB2312" w:cs="Times New Roman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115.68</w:t>
      </w:r>
      <w:r>
        <w:rPr>
          <w:rFonts w:ascii="Times New Roman" w:hAnsi="Times New Roman" w:eastAsia="仿宋_GB2312" w:cs="Times New Roman"/>
          <w:sz w:val="32"/>
          <w:szCs w:val="32"/>
        </w:rPr>
        <w:t>%，其中：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1、</w:t>
      </w:r>
      <w:r>
        <w:rPr>
          <w:rFonts w:ascii="Times New Roman" w:hAnsi="Times New Roman" w:eastAsia="仿宋_GB2312" w:cs="Times New Roman"/>
          <w:sz w:val="32"/>
          <w:szCs w:val="32"/>
        </w:rPr>
        <w:t>一般公共服务（类）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其他一般公共服务支出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其他一般公共服务支出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（项）。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92.87</w:t>
      </w:r>
      <w:r>
        <w:rPr>
          <w:rFonts w:ascii="Times New Roman" w:hAnsi="Times New Roman" w:eastAsia="仿宋_GB2312" w:cs="Times New Roman"/>
          <w:sz w:val="32"/>
          <w:szCs w:val="32"/>
        </w:rPr>
        <w:t>万元，决算数大于年初预算数的主要原因是：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财政通过追加的方式对单位下达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2025年绩效考核奖。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科学技术支出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其他科学技术支出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其他科学技术支出</w:t>
      </w:r>
      <w:r>
        <w:rPr>
          <w:rFonts w:ascii="Times New Roman" w:hAnsi="Times New Roman" w:eastAsia="仿宋_GB2312" w:cs="Times New Roman"/>
          <w:sz w:val="32"/>
          <w:szCs w:val="32"/>
        </w:rPr>
        <w:t>（项）。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30.8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决算数大于年初预算数的主要原因是：财政通过追加的方式对单位下达人才资源开发专项资金。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3、</w:t>
      </w: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节能环保支出（类）森林保护修复（款）森林管护（项）。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5.45</w:t>
      </w:r>
      <w:r>
        <w:rPr>
          <w:rFonts w:ascii="Times New Roman" w:hAnsi="Times New Roman" w:eastAsia="仿宋_GB2312" w:cs="Times New Roman"/>
          <w:sz w:val="32"/>
          <w:szCs w:val="32"/>
        </w:rPr>
        <w:t>万元，决算数大于年初预算数的主要原因是：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财政通过追加的方式下达的中央国有林保护修复补助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资金。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adjustRightInd w:val="0"/>
        <w:snapToGrid/>
        <w:spacing w:line="560" w:lineRule="exact"/>
        <w:ind w:leftChars="200" w:firstLine="320" w:firstLineChars="100"/>
        <w:jc w:val="both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农林水支出（类）林业和草原（款）事业机构（项）。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年初预算为1852.54万元，支出决算为1950.77万元。决算数大于预算数的主要原因是：年初预算不包括2025年基本工资调增那部分，而决算数包括。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5、农林水支出（类）林业和草原（款）技术推广与转化（项）。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年初预算数为0万元，支出决算数为</w:t>
      </w: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6</w:t>
      </w:r>
      <w:r>
        <w:rPr>
          <w:rFonts w:hint="default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万元。决算数大于预算数的主要原因是：财政下达上年结转的笋用乌壳雷竹产业化栽培与示范项目经费</w:t>
      </w: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6</w:t>
      </w:r>
      <w:r>
        <w:rPr>
          <w:rFonts w:hint="default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万元。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6</w:t>
      </w:r>
      <w:r>
        <w:rPr>
          <w:rFonts w:hint="default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、农林水支出（类）林业和草原（款）森林资源管理（项）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年初预算数为450.17万元，支出决算数为351.8万元。决算数小于预算数的主要原因是：联营林租赁与分成项目有部分租赁费未完全兑付；森林防火项目和公园设施管理维护项目财政未足额保障资金。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7、农林水支出（类）林业和草原（款）森林生态效益补偿（项）。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年初预算数为25万元，支出决算为17.52万元，决算数小于预算数的主要原因是：市级森林生态效益补偿项目财政未足额保障资金。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8、</w:t>
      </w:r>
      <w:r>
        <w:rPr>
          <w:rFonts w:hint="default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农林水支出（类）林业和草原（款）其他林业和草原支出（项）。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年初预算数为0万元，支出决算为112.37万元。决算数大于预算数的主要原因是：财政通过预算追加的形式下达中坡公园绿化提质项目20万元和五溪广场提质改造项目92.37元。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9、农林水支出（类）林业和草原（款）其他农林水支出（项）。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年初预算数为0万元，支出决算为110.82万元。决算数大于预算数的主要原因是：财政通过预算追加的形式下达公园管理购买服务资金107.82万元和结转2021年木材战略储备基地建设项目3万元。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10、交通运输支出（类）公路水路运输（款）公路养护（项）。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 w:bidi="ar-SA"/>
        </w:rPr>
        <w:t>年初预算数为0万元，支出决算为14.29元。决算数大于预算数的主要原因是：财政通过预算追加的形式下达的省级林区公路建设及养护资金。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六、一般公共预算财政拨款基本支出决算情况说明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年度一般公共预算财政拨款基本支出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2043.64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万元，其中：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人员经费1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904.82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万元，占基本支出的9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3.21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%，主要包括基本工资、津贴补贴、奖金、伙食补助费、绩效工资、机关事业单位基本养老保险缴费、职业年金缴费、职工基本医疗保险缴费、其他社会保险缴费、住房公积金、生活补助、奖励金、其他对个人和家庭的补助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公用经费13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8.82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万元，占基本支出的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6.79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%，主要包括办公费、印刷费、咨询费、费、邮电费、差旅费、维修（护）、租赁费、培训费、公务接待费、劳务费、委托业务费、工会经费、福利费、公务用车运行维护费、其他交通费用、税金及附加费用、其他商品和服务支出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财政拨款“三公”经费支出决算情况说明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（一）“三公”经费财政拨款支出决算总体情况说明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年度“三公”经费财政拨款支出预算为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17.8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17.8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，决算数等于预算数</w:t>
      </w:r>
      <w:r>
        <w:rPr>
          <w:rFonts w:ascii="Times New Roman" w:hAnsi="Times New Roman" w:eastAsia="仿宋_GB2312" w:cs="Times New Roman"/>
          <w:sz w:val="32"/>
          <w:szCs w:val="32"/>
        </w:rPr>
        <w:t>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16.68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48.4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（二）“三公”经费财政拨款支出决算具体情况说明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楷体" w:cs="Times New Roman"/>
          <w:b/>
          <w:bCs/>
          <w:i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因公出国（境）费支出预算为0万元，支出决算为0万元，预算决算金额均为0万元，无法计算完成百分比，主要原因是单位未安排因公出国（境）。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2.公务用车购置费及运行维护费支出预算为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17.66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17.66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15.11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46.1</w:t>
      </w:r>
      <w:r>
        <w:rPr>
          <w:rFonts w:ascii="Times New Roman" w:hAnsi="Times New Roman" w:eastAsia="仿宋_GB2312" w:cs="Times New Roman"/>
          <w:sz w:val="32"/>
          <w:szCs w:val="32"/>
        </w:rPr>
        <w:t>%。其中：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公务用车购置费支出预算为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17.77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%。决算数小于上年数的主要原因是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去年购置一辆消防车，今年没有购置车辆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17.66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17.66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主要是车辆油料费支出、车辆维修费支出，完成预算的100%，决算数等于预算数</w:t>
      </w:r>
      <w:r>
        <w:rPr>
          <w:rFonts w:ascii="Times New Roman" w:hAnsi="Times New Roman" w:eastAsia="仿宋_GB2312" w:cs="Times New Roman"/>
          <w:sz w:val="32"/>
          <w:szCs w:val="32"/>
        </w:rPr>
        <w:t>；与上年相比增加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2.66</w:t>
      </w:r>
      <w:r>
        <w:rPr>
          <w:rFonts w:ascii="Times New Roman" w:hAnsi="Times New Roman" w:eastAsia="仿宋_GB2312" w:cs="Times New Roman"/>
          <w:sz w:val="32"/>
          <w:szCs w:val="32"/>
        </w:rPr>
        <w:t>万元，增长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17.8</w:t>
      </w:r>
      <w:r>
        <w:rPr>
          <w:rFonts w:ascii="Times New Roman" w:hAnsi="Times New Roman" w:eastAsia="仿宋_GB2312" w:cs="Times New Roman"/>
          <w:sz w:val="32"/>
          <w:szCs w:val="32"/>
        </w:rPr>
        <w:t>%。决算数大于上年数的主要原因是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为了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保障公园森林防火安全，防火巡护车和消防水车使用率高，经批准提高特种公务用车运行维护费标准，在2025年“三公经费”总预算不变的前提下，将公务接待费部分指标调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</w:rPr>
        <w:t>至公车运行维护费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截止202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年12月31日，我单位开支财政拨款的公务用车保有量为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辆。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3.公务接待费支出预算为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0.14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0.14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决算数等于预算数；与上年相比减少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1.57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%</w:t>
      </w:r>
      <w:r>
        <w:rPr>
          <w:rFonts w:ascii="Times New Roman" w:hAnsi="Times New Roman" w:eastAsia="仿宋_GB2312" w:cs="Times New Roman"/>
          <w:sz w:val="32"/>
          <w:szCs w:val="32"/>
        </w:rPr>
        <w:t>。决算数小于上年数的主要原因是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今年逐步推行无公务接待，公务接待费减少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度共接待来访团组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个、来宾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</w:t>
      </w:r>
      <w:r>
        <w:rPr>
          <w:rFonts w:ascii="Times New Roman" w:hAnsi="Times New Roman" w:eastAsia="仿宋_GB2312" w:cs="Times New Roman"/>
          <w:sz w:val="32"/>
          <w:szCs w:val="32"/>
        </w:rPr>
        <w:t>人次，主要是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相关科技推广业务发生的接待专家支出。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八、政府性基金预算收入支出决算情况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年度本单位无政府性基金收支。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cs="Times New Roman"/>
          <w:bCs/>
          <w:sz w:val="32"/>
          <w:szCs w:val="32"/>
        </w:rPr>
      </w:pPr>
      <w:r>
        <w:rPr>
          <w:rFonts w:hint="eastAsia" w:ascii="Times New Roman" w:hAnsi="Times New Roman" w:cs="Times New Roman"/>
          <w:bCs/>
          <w:sz w:val="32"/>
          <w:szCs w:val="32"/>
        </w:rPr>
        <w:t>九、国有资本经营预算财政拨款支出决算情况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cs="Times New Roman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年度本单位无国有资本经营预算财政拨款支出。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cs="Times New Roman"/>
          <w:bCs/>
          <w:sz w:val="32"/>
          <w:szCs w:val="32"/>
        </w:rPr>
      </w:pPr>
      <w:r>
        <w:rPr>
          <w:rFonts w:hint="eastAsia" w:ascii="Times New Roman" w:hAnsi="Times New Roman" w:cs="Times New Roman"/>
          <w:bCs/>
          <w:sz w:val="32"/>
          <w:szCs w:val="32"/>
        </w:rPr>
        <w:t>十、关于机关运行经费支出说明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本部门202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年度机关运行经费支出0万元。原因为单位是事业单位没有机关运行经费支出。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十</w:t>
      </w:r>
      <w:r>
        <w:rPr>
          <w:rFonts w:hint="eastAsia" w:ascii="Times New Roman" w:hAnsi="Times New Roman" w:cs="Times New Roman"/>
          <w:bCs/>
          <w:sz w:val="32"/>
          <w:szCs w:val="32"/>
          <w:lang w:val="en-US" w:eastAsia="zh-CN"/>
        </w:rPr>
        <w:t>一</w:t>
      </w:r>
      <w:r>
        <w:rPr>
          <w:rFonts w:ascii="Times New Roman" w:hAnsi="Times New Roman" w:cs="Times New Roman"/>
          <w:bCs/>
          <w:sz w:val="32"/>
          <w:szCs w:val="32"/>
        </w:rPr>
        <w:t>、一般性支出情况说明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年本部门开支会议费0万元；开支培训费6.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89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万元，用于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开展2024年、2025年两年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事业单位工作人员培训，培训人数120人，培训内容为公共科目培训30学时，专业科目培训60学时。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十</w:t>
      </w:r>
      <w:r>
        <w:rPr>
          <w:rFonts w:hint="eastAsia" w:ascii="Times New Roman" w:hAnsi="Times New Roman" w:cs="Times New Roman"/>
          <w:bCs/>
          <w:sz w:val="32"/>
          <w:szCs w:val="32"/>
          <w:lang w:val="en-US" w:eastAsia="zh-CN"/>
        </w:rPr>
        <w:t>二</w:t>
      </w:r>
      <w:r>
        <w:rPr>
          <w:rFonts w:ascii="Times New Roman" w:hAnsi="Times New Roman" w:cs="Times New Roman"/>
          <w:bCs/>
          <w:sz w:val="32"/>
          <w:szCs w:val="32"/>
        </w:rPr>
        <w:t>、关于政府采购支出说明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本部门202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年度政府采购支出总额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73.5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3万元，其中：政府采购货物支出0万元、政府采购工程支出0万元、政府采购服务支出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73.53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万元。授予中小企业合同金额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73.53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万元，占政府采购支出总额的100%，其中：授予小微企业合同金额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73.53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万元，占授予中小企业合同金额的100%。货物采购授予中小企业合同金额占货物支出金额的0%，工程采购授予中小企业合同金额占工程支出金额的0%，服务采购授予中小企业合同金额占服务支出金额的100%。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>十</w:t>
      </w:r>
      <w:r>
        <w:rPr>
          <w:rFonts w:hint="eastAsia" w:ascii="Times New Roman" w:hAnsi="Times New Roman" w:cs="Times New Roman"/>
          <w:bCs/>
          <w:color w:val="auto"/>
          <w:sz w:val="32"/>
          <w:szCs w:val="32"/>
          <w:lang w:val="en-US" w:eastAsia="zh-CN"/>
        </w:rPr>
        <w:t>三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、关于国有资产占用情况说明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截至202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年12月31日，部门（单位）共有车辆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辆，其中，副部（省）级及以上领导用车0辆、主要负责人用车0辆、机要通信用车0辆、应急保障用车0辆、执法执勤用车0辆、特种专业技术用车0辆、离退休干部服务用车0辆、其他用车5辆，其他用车主要是一般公务用车1辆、园内设施维护用车1辆、园内清运垃圾车1辆、森林防火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辆、洒水车1辆；单位价值100万元以上设备（不含车辆）0台（套）。</w:t>
      </w:r>
    </w:p>
    <w:p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>十</w:t>
      </w:r>
      <w:r>
        <w:rPr>
          <w:rFonts w:hint="eastAsia" w:ascii="Times New Roman" w:hAnsi="Times New Roman" w:cs="Times New Roman"/>
          <w:bCs/>
          <w:color w:val="auto"/>
          <w:sz w:val="32"/>
          <w:szCs w:val="32"/>
          <w:lang w:val="en-US" w:eastAsia="zh-CN"/>
        </w:rPr>
        <w:t>四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、关于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5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年度预算绩效情况的说明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（一）绩效评价工作开展情况。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组织对2025年度本部门（单位）整体支出开展绩效自评，涉及项目16个，共涉及资金670.9万元。其中，一般公共预算项目14个649.05万元，占一般公共预算支出总额的24.1%；政府性基金预算项目0个0万元，占政府性基金预算支出总额的0%；国有资本经营预算项目0 个0万元，占国有资本经营预算支出总额的0%；社会保险基金预算项目0个0万元，占社会保险基金预算支出总额的0%。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  <w:lang w:eastAsia="zh-CN"/>
        </w:rPr>
        <w:t>）</w:t>
      </w: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绩效评价结果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年度本部门（单位）整体支出</w:t>
      </w:r>
      <w:r>
        <w:rPr>
          <w:rFonts w:ascii="Times New Roman" w:hAnsi="Times New Roman" w:eastAsia="仿宋_GB2312" w:cs="Times New Roman"/>
          <w:sz w:val="32"/>
          <w:szCs w:val="32"/>
        </w:rPr>
        <w:t>全年预算数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3058.4</w:t>
      </w:r>
      <w:r>
        <w:rPr>
          <w:rFonts w:ascii="Times New Roman" w:hAnsi="Times New Roman" w:eastAsia="仿宋_GB2312" w:cs="Times New Roman"/>
          <w:sz w:val="32"/>
          <w:szCs w:val="32"/>
        </w:rPr>
        <w:t>万元，执行数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2924.19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95.61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，绩效自评得分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96.56</w:t>
      </w:r>
      <w:r>
        <w:rPr>
          <w:rFonts w:ascii="Times New Roman" w:hAnsi="Times New Roman" w:eastAsia="仿宋_GB2312" w:cs="Times New Roman"/>
          <w:sz w:val="32"/>
          <w:szCs w:val="32"/>
        </w:rPr>
        <w:t>分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，评价等级为</w:t>
      </w:r>
      <w:r>
        <w:rPr>
          <w:rFonts w:ascii="Times New Roman" w:hAnsi="Times New Roman" w:eastAsia="仿宋_GB2312" w:cs="Times New Roman"/>
          <w:sz w:val="32"/>
          <w:szCs w:val="32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优</w:t>
      </w:r>
      <w:r>
        <w:rPr>
          <w:rFonts w:ascii="Times New Roman" w:hAnsi="Times New Roman" w:eastAsia="仿宋_GB2312" w:cs="Times New Roman"/>
          <w:sz w:val="32"/>
          <w:szCs w:val="32"/>
        </w:rPr>
        <w:t>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绩效目标完成情况：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通过全面推进“林长制”各项工作，实施公益林补偿、天然林管护、林业有害病虫害防治、森林防火、林业科学研究和基础设施管理维护等项目，实现公益林管护完成率100%，森林防火覆盖率100%，火灾受害率控制在0.9‰以内，主要林业有害生物成灾率控制在省定指标2.98‰以下。重点保护2.5万亩国有森林资源，维护公园生产安全，带动周边农户发展，形成良好社会效益；为怀化市市民创造一个舒适的活动场所，使公众对公园的满意度达到95%以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发现的主要问题及原因：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一是中坡公园建设专项经费紧缺。中坡公园现森林主体之一为1.2万亩林龄已超40年的杉木过熟纯林，大部分保持初植密度，老化过密、功能退化、林相不佳、病虫害侵害严重的矛盾突出，亟需资金开展林种树种结构调整、森林质量提升和病虫害防治。二是公共设施管理维护和建设经费严重不足。中坡公园自2010年起全面开放免费入园，已成为怀化市民重要的游憩休闲目的地，但园区建设维护保障不足，与日益增长的市民游客对公园品质要求相距甚远。尤其是我处推行网格化管理后，精细化管理带来的经费不足矛盾越发凸显，安全隐患整治、景点维修维护、服务设施更换等支出捉襟见肘，难以为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下一步改进措施：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建议依据中坡公园公益一类事业单位的性质和规定，将中坡公园纳入财政全额拨款单位管理，并加大对中坡公园公共基础设施的资金投入，保障公益性单位各项民生支出和公园持续安全发展。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/>
          <w:bCs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auto"/>
          <w:kern w:val="2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楷体_GB2312" w:cs="Times New Roman"/>
          <w:b/>
          <w:bCs/>
          <w:color w:val="auto"/>
          <w:kern w:val="2"/>
          <w:sz w:val="32"/>
          <w:szCs w:val="32"/>
          <w:lang w:eastAsia="zh-CN"/>
        </w:rPr>
        <w:t>）</w:t>
      </w:r>
      <w:r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</w:rPr>
        <w:t>评价结果应用情况。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topLinePunct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问题整改:针对绩效自评中发现的问题，制定详细的整改措施，明确整改责任人和整改时限，确保问题得到及时有效整改。通过整改，进一步完善项目管理流程，提高项目实施质量和资金使用效益。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topLinePunct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cs="Times New Roman"/>
          <w:sz w:val="72"/>
          <w:szCs w:val="7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预算调整:将绩效自评结果作为下一年度预算安排和调整的重要依据。对绩效评价结果优秀的项目，在预算安排上给予优先支持和适当倾斜;对绩效评价结果不合格的项目，削减或暂停预算安排，督促项目单位改进管理。</w:t>
      </w:r>
    </w:p>
    <w:p>
      <w:pPr>
        <w:pStyle w:val="12"/>
        <w:numPr>
          <w:ilvl w:val="0"/>
          <w:numId w:val="0"/>
        </w:numPr>
        <w:overflowPunct w:val="0"/>
        <w:autoSpaceDE/>
        <w:autoSpaceDN/>
        <w:spacing w:line="600" w:lineRule="exact"/>
        <w:ind w:leftChars="0"/>
        <w:jc w:val="both"/>
        <w:rPr>
          <w:rFonts w:ascii="Times New Roman" w:hAnsi="Times New Roman" w:eastAsia="楷体_GB2312" w:cs="Times New Roman"/>
          <w:b w:val="0"/>
          <w:bCs w:val="0"/>
          <w:color w:val="auto"/>
          <w:kern w:val="2"/>
          <w:sz w:val="32"/>
          <w:szCs w:val="32"/>
        </w:rPr>
      </w:pPr>
    </w:p>
    <w:p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>
      <w:pPr>
        <w:pStyle w:val="12"/>
        <w:spacing w:line="360" w:lineRule="auto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>
      <w:pPr>
        <w:pStyle w:val="12"/>
        <w:spacing w:line="360" w:lineRule="auto"/>
        <w:jc w:val="center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第四部分    名词解释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一、机关运行经费：为保障行政单位（包括参照公务员法管理的事业单位）运行，用一般公共预算拨款安排用于购买货物和服务费各项资金，包括办公及印刷费、邮电费、差旅费、办公用房取暖费、办公用房物业费、公务用车运行维护费以及其他费用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cs="Times New Roman"/>
          <w:sz w:val="72"/>
          <w:szCs w:val="7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二、“三公”经费：纳入财政预算管理的“三公”经费，是指用一般公共预算安排的公务接待费、公务用车购置及运行维护费和因公出国（境）费。其中，公务接待费反映单位按规定开支的各项公务接待支出：公务用车购置费及运行费反映单位公务用车车辆购置支出（含车辆购置税），以及燃料费、维修费、保险费等支出；因公出国（境）的国际旅费、国外城市间交通费、食宿费等支出。</w:t>
      </w:r>
    </w:p>
    <w:p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>
      <w:pPr>
        <w:pStyle w:val="12"/>
        <w:spacing w:line="360" w:lineRule="auto"/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第五部分   附 件</w:t>
      </w:r>
    </w:p>
    <w:p>
      <w:pPr>
        <w:pStyle w:val="12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：湖南中坡国家森林公园管理处202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年决算公开报表</w:t>
      </w:r>
    </w:p>
    <w:p>
      <w:pPr>
        <w:pStyle w:val="12"/>
        <w:spacing w:line="600" w:lineRule="exac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二：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湖南中坡国家森林公园管理处202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年度部门整体支出绩效自评报告</w:t>
      </w:r>
    </w:p>
    <w:p>
      <w:pPr>
        <w:pStyle w:val="12"/>
        <w:jc w:val="left"/>
        <w:rPr>
          <w:rFonts w:ascii="Times New Roman" w:hAnsi="Times New Roman" w:cs="Times New Roman"/>
          <w:sz w:val="72"/>
          <w:szCs w:val="7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三：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湖南中坡国家森林公园管理处202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年度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项目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支出绩效自评报告</w:t>
      </w:r>
    </w:p>
    <w:p>
      <w:pPr>
        <w:pStyle w:val="12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>
      <w:pPr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</w:p>
    <w:sectPr>
      <w:pgSz w:w="11906" w:h="16838"/>
      <w:pgMar w:top="1417" w:right="1588" w:bottom="1417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vY9gwLAIAAFUEAAAOAAAAZHJz&#10;L2Uyb0RvYy54bWytVM2O0zAQviPxDpbvNGlRV1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95O&#10;0/bC1QNwqZEjkugeG63Q7Jue2d7kZxBzpusMb/mmQvIt8+GBObQCHoxhCfdYCmmQxPQWJaVxX/91&#10;HuNRIXgpqdFaGdWYJErkB43KATAMhhuM/WDoo7oz6NUxhtDy1sQFF+RgFs6oL5igVcwBF9McmTIa&#10;BvMudO2NCeRitWqD0GuWha3eWR6ho3jero4BAra6RlE6JXqt0G1tZfrJiO38576NevobLB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s0lY7tAAAAAFAQAADwAAAAAAAAABACAAAAA4AAAAZHJzL2Rv&#10;d25yZXYueG1sUEsBAhQAFAAAAAgAh07iQK9j2DAsAgAAVQQAAA4AAAAAAAAAAQAgAAAANQEAAGRy&#10;cy9lMm9Eb2MueG1sUEsFBgAAAAAGAAYAWQEAANM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6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FB5A8C"/>
    <w:multiLevelType w:val="singleLevel"/>
    <w:tmpl w:val="D5FB5A8C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5B197E5"/>
    <w:multiLevelType w:val="singleLevel"/>
    <w:tmpl w:val="25B197E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459D5C93"/>
    <w:multiLevelType w:val="singleLevel"/>
    <w:tmpl w:val="459D5C93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TIzNzUxOWM4ZDE1MmJlYWNhMTEzM2Y1NGNlN2JjMTYifQ=="/>
  </w:docVars>
  <w:rsids>
    <w:rsidRoot w:val="004506F9"/>
    <w:rsid w:val="0000001A"/>
    <w:rsid w:val="0002229B"/>
    <w:rsid w:val="000273BD"/>
    <w:rsid w:val="0003620C"/>
    <w:rsid w:val="00040CBC"/>
    <w:rsid w:val="000415B7"/>
    <w:rsid w:val="00041E3F"/>
    <w:rsid w:val="00055DAA"/>
    <w:rsid w:val="00061F7B"/>
    <w:rsid w:val="000658A3"/>
    <w:rsid w:val="00074155"/>
    <w:rsid w:val="00080785"/>
    <w:rsid w:val="000A3F69"/>
    <w:rsid w:val="000B20F1"/>
    <w:rsid w:val="000C5742"/>
    <w:rsid w:val="00103957"/>
    <w:rsid w:val="00152C6D"/>
    <w:rsid w:val="00162D39"/>
    <w:rsid w:val="001678BD"/>
    <w:rsid w:val="00182373"/>
    <w:rsid w:val="001A67DB"/>
    <w:rsid w:val="001B67D1"/>
    <w:rsid w:val="001C3C29"/>
    <w:rsid w:val="001D2B79"/>
    <w:rsid w:val="001D51E5"/>
    <w:rsid w:val="001E080D"/>
    <w:rsid w:val="001E53D0"/>
    <w:rsid w:val="001F0C3B"/>
    <w:rsid w:val="00202C82"/>
    <w:rsid w:val="00214427"/>
    <w:rsid w:val="00220689"/>
    <w:rsid w:val="00221AFD"/>
    <w:rsid w:val="00226CB7"/>
    <w:rsid w:val="00252450"/>
    <w:rsid w:val="00264552"/>
    <w:rsid w:val="00264EF9"/>
    <w:rsid w:val="00265724"/>
    <w:rsid w:val="0027426B"/>
    <w:rsid w:val="00296D60"/>
    <w:rsid w:val="002E0A30"/>
    <w:rsid w:val="0030077D"/>
    <w:rsid w:val="003130C4"/>
    <w:rsid w:val="00316C4B"/>
    <w:rsid w:val="0032192B"/>
    <w:rsid w:val="0033283E"/>
    <w:rsid w:val="003479BD"/>
    <w:rsid w:val="0037197D"/>
    <w:rsid w:val="003768D5"/>
    <w:rsid w:val="003926B9"/>
    <w:rsid w:val="003C2E17"/>
    <w:rsid w:val="003C47E6"/>
    <w:rsid w:val="003C4FC2"/>
    <w:rsid w:val="00401F9A"/>
    <w:rsid w:val="00416E61"/>
    <w:rsid w:val="0042790C"/>
    <w:rsid w:val="004506F9"/>
    <w:rsid w:val="00462315"/>
    <w:rsid w:val="004717A2"/>
    <w:rsid w:val="00473DF3"/>
    <w:rsid w:val="00487911"/>
    <w:rsid w:val="00490F48"/>
    <w:rsid w:val="00491741"/>
    <w:rsid w:val="004B0CEE"/>
    <w:rsid w:val="004C2A0A"/>
    <w:rsid w:val="004F5EFB"/>
    <w:rsid w:val="00500E5F"/>
    <w:rsid w:val="005122EF"/>
    <w:rsid w:val="0051441A"/>
    <w:rsid w:val="00517C33"/>
    <w:rsid w:val="00517D5F"/>
    <w:rsid w:val="00523644"/>
    <w:rsid w:val="0054069E"/>
    <w:rsid w:val="00544866"/>
    <w:rsid w:val="00552A3D"/>
    <w:rsid w:val="00574CC8"/>
    <w:rsid w:val="005767CC"/>
    <w:rsid w:val="00590D9F"/>
    <w:rsid w:val="00595D26"/>
    <w:rsid w:val="005A74E6"/>
    <w:rsid w:val="005B404E"/>
    <w:rsid w:val="005D4D55"/>
    <w:rsid w:val="005E0E6C"/>
    <w:rsid w:val="005E2CFB"/>
    <w:rsid w:val="005F2103"/>
    <w:rsid w:val="005F3D1C"/>
    <w:rsid w:val="005F4189"/>
    <w:rsid w:val="006171EE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6F56C8"/>
    <w:rsid w:val="00702E34"/>
    <w:rsid w:val="00704395"/>
    <w:rsid w:val="00710FE7"/>
    <w:rsid w:val="00717621"/>
    <w:rsid w:val="00720FF1"/>
    <w:rsid w:val="00727A53"/>
    <w:rsid w:val="007502DE"/>
    <w:rsid w:val="00787B42"/>
    <w:rsid w:val="007C4539"/>
    <w:rsid w:val="007F3657"/>
    <w:rsid w:val="00810F0C"/>
    <w:rsid w:val="00811AA2"/>
    <w:rsid w:val="00812ED5"/>
    <w:rsid w:val="008277D9"/>
    <w:rsid w:val="0084478C"/>
    <w:rsid w:val="0086638C"/>
    <w:rsid w:val="008764FA"/>
    <w:rsid w:val="008A1079"/>
    <w:rsid w:val="008A3E8D"/>
    <w:rsid w:val="008A5055"/>
    <w:rsid w:val="008D17F4"/>
    <w:rsid w:val="009237C4"/>
    <w:rsid w:val="00944C48"/>
    <w:rsid w:val="00950252"/>
    <w:rsid w:val="00967F5D"/>
    <w:rsid w:val="009A0F95"/>
    <w:rsid w:val="009B3ADF"/>
    <w:rsid w:val="009C31C5"/>
    <w:rsid w:val="009C3B52"/>
    <w:rsid w:val="009D0B5B"/>
    <w:rsid w:val="009E6817"/>
    <w:rsid w:val="009E6E9A"/>
    <w:rsid w:val="00A01D2B"/>
    <w:rsid w:val="00A1392A"/>
    <w:rsid w:val="00A42218"/>
    <w:rsid w:val="00A70249"/>
    <w:rsid w:val="00A70B02"/>
    <w:rsid w:val="00A71D9F"/>
    <w:rsid w:val="00A92E9F"/>
    <w:rsid w:val="00AB18FF"/>
    <w:rsid w:val="00B26269"/>
    <w:rsid w:val="00B33BEA"/>
    <w:rsid w:val="00B57C9F"/>
    <w:rsid w:val="00B63572"/>
    <w:rsid w:val="00B845B3"/>
    <w:rsid w:val="00B85D8B"/>
    <w:rsid w:val="00BB4A40"/>
    <w:rsid w:val="00BD6022"/>
    <w:rsid w:val="00BD6C3E"/>
    <w:rsid w:val="00BE3674"/>
    <w:rsid w:val="00C10681"/>
    <w:rsid w:val="00C10822"/>
    <w:rsid w:val="00C15C89"/>
    <w:rsid w:val="00C27C0D"/>
    <w:rsid w:val="00C3049A"/>
    <w:rsid w:val="00C31B1E"/>
    <w:rsid w:val="00C32F2E"/>
    <w:rsid w:val="00C73888"/>
    <w:rsid w:val="00C77645"/>
    <w:rsid w:val="00CE04C3"/>
    <w:rsid w:val="00CE34BE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9388B"/>
    <w:rsid w:val="00FB462F"/>
    <w:rsid w:val="00FE16FA"/>
    <w:rsid w:val="00FE328A"/>
    <w:rsid w:val="00FE6269"/>
    <w:rsid w:val="00FF5CD6"/>
    <w:rsid w:val="06532BEE"/>
    <w:rsid w:val="0B0F23BB"/>
    <w:rsid w:val="0B1A381C"/>
    <w:rsid w:val="0BF32FF8"/>
    <w:rsid w:val="12905D43"/>
    <w:rsid w:val="15C41FC5"/>
    <w:rsid w:val="16143C3C"/>
    <w:rsid w:val="16F573FE"/>
    <w:rsid w:val="18E11E1D"/>
    <w:rsid w:val="1CEA667C"/>
    <w:rsid w:val="1D97DEFF"/>
    <w:rsid w:val="1DB3035C"/>
    <w:rsid w:val="1DFF72E5"/>
    <w:rsid w:val="1EFC6F07"/>
    <w:rsid w:val="23C24894"/>
    <w:rsid w:val="29611EF7"/>
    <w:rsid w:val="2A150928"/>
    <w:rsid w:val="2A9D7742"/>
    <w:rsid w:val="2C8E7A08"/>
    <w:rsid w:val="2D7D50EB"/>
    <w:rsid w:val="2DF81343"/>
    <w:rsid w:val="2E223E9C"/>
    <w:rsid w:val="2FDF85B8"/>
    <w:rsid w:val="2FFFEE04"/>
    <w:rsid w:val="31CA2BE1"/>
    <w:rsid w:val="32C00CD9"/>
    <w:rsid w:val="332D7CE1"/>
    <w:rsid w:val="34DF85B0"/>
    <w:rsid w:val="35A10512"/>
    <w:rsid w:val="35E012E1"/>
    <w:rsid w:val="38691D0C"/>
    <w:rsid w:val="3B8F36BC"/>
    <w:rsid w:val="42E944C7"/>
    <w:rsid w:val="46CD6C14"/>
    <w:rsid w:val="491FF225"/>
    <w:rsid w:val="4B046389"/>
    <w:rsid w:val="4E7450DA"/>
    <w:rsid w:val="4EE541D8"/>
    <w:rsid w:val="4FFD214C"/>
    <w:rsid w:val="55796932"/>
    <w:rsid w:val="55AB73D6"/>
    <w:rsid w:val="5668410F"/>
    <w:rsid w:val="5777D4F5"/>
    <w:rsid w:val="59B44D19"/>
    <w:rsid w:val="59DD8326"/>
    <w:rsid w:val="5AED2FF7"/>
    <w:rsid w:val="5D011713"/>
    <w:rsid w:val="5DEF592A"/>
    <w:rsid w:val="5EA84545"/>
    <w:rsid w:val="5FC6BB1E"/>
    <w:rsid w:val="5FF720F1"/>
    <w:rsid w:val="629C5C32"/>
    <w:rsid w:val="64510EB4"/>
    <w:rsid w:val="67FF5C0B"/>
    <w:rsid w:val="69DB4F4A"/>
    <w:rsid w:val="6BCA7AAC"/>
    <w:rsid w:val="6D7D4764"/>
    <w:rsid w:val="6EFC0924"/>
    <w:rsid w:val="6FB74722"/>
    <w:rsid w:val="6FEF8B7E"/>
    <w:rsid w:val="70163753"/>
    <w:rsid w:val="71A6591B"/>
    <w:rsid w:val="73044931"/>
    <w:rsid w:val="737D59BA"/>
    <w:rsid w:val="76C07AF1"/>
    <w:rsid w:val="77C37683"/>
    <w:rsid w:val="79D19834"/>
    <w:rsid w:val="79FF515B"/>
    <w:rsid w:val="7A7F78A5"/>
    <w:rsid w:val="7BDF1EB6"/>
    <w:rsid w:val="7BF549BF"/>
    <w:rsid w:val="7CA50E90"/>
    <w:rsid w:val="7E9E1962"/>
    <w:rsid w:val="7E9F11B4"/>
    <w:rsid w:val="7F21188E"/>
    <w:rsid w:val="7F37EC1E"/>
    <w:rsid w:val="7F7DCD9D"/>
    <w:rsid w:val="7F970A6F"/>
    <w:rsid w:val="7FC1FFF3"/>
    <w:rsid w:val="7FC69637"/>
    <w:rsid w:val="7FDF8620"/>
    <w:rsid w:val="7FE50F93"/>
    <w:rsid w:val="7FE8C8F7"/>
    <w:rsid w:val="7FFB242F"/>
    <w:rsid w:val="7FFDB408"/>
    <w:rsid w:val="7FFE4EEB"/>
    <w:rsid w:val="95FB2B98"/>
    <w:rsid w:val="9A639BC2"/>
    <w:rsid w:val="9BFA491D"/>
    <w:rsid w:val="9FF7D786"/>
    <w:rsid w:val="ABBFB23D"/>
    <w:rsid w:val="B6AFFE39"/>
    <w:rsid w:val="C3B4DA5A"/>
    <w:rsid w:val="CBFF70E0"/>
    <w:rsid w:val="CFF50B82"/>
    <w:rsid w:val="CFFFAD89"/>
    <w:rsid w:val="DFFE359E"/>
    <w:rsid w:val="DFFE4FFD"/>
    <w:rsid w:val="EEABED75"/>
    <w:rsid w:val="F56FDF51"/>
    <w:rsid w:val="F6B69F17"/>
    <w:rsid w:val="F77F1D61"/>
    <w:rsid w:val="F7FED3A9"/>
    <w:rsid w:val="F8C9DB26"/>
    <w:rsid w:val="F97E8EAE"/>
    <w:rsid w:val="FB36E1A6"/>
    <w:rsid w:val="FB3BE134"/>
    <w:rsid w:val="FCFF4275"/>
    <w:rsid w:val="FD7FEEEA"/>
    <w:rsid w:val="FDFFB577"/>
    <w:rsid w:val="FEEA50FE"/>
    <w:rsid w:val="FF7D47A9"/>
    <w:rsid w:val="FF7F63BE"/>
    <w:rsid w:val="FFCF21CB"/>
    <w:rsid w:val="FFFF1C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4">
    <w:name w:val="Body Text Indent"/>
    <w:basedOn w:val="1"/>
    <w:next w:val="3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6"/>
    <w:qFormat/>
    <w:uiPriority w:val="99"/>
    <w:rPr>
      <w:sz w:val="18"/>
      <w:szCs w:val="18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9"/>
    <w:link w:val="5"/>
    <w:semiHidden/>
    <w:qFormat/>
    <w:uiPriority w:val="99"/>
    <w:rPr>
      <w:sz w:val="18"/>
      <w:szCs w:val="18"/>
    </w:rPr>
  </w:style>
  <w:style w:type="character" w:customStyle="1" w:styleId="15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30</Pages>
  <Words>1514</Words>
  <Characters>8631</Characters>
  <Lines>71</Lines>
  <Paragraphs>20</Paragraphs>
  <TotalTime>19</TotalTime>
  <ScaleCrop>false</ScaleCrop>
  <LinksUpToDate>false</LinksUpToDate>
  <CharactersWithSpaces>10125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2026-09-15T09:58:00Z</dcterms:created>
  <dc:creator>李航 null</dc:creator>
  <cp:lastModifiedBy>派大星</cp:lastModifiedBy>
  <cp:lastPrinted>2024-08-10T02:20:00Z</cp:lastPrinted>
  <dcterms:modified xsi:type="dcterms:W3CDTF">2026-09-22T08:05:23Z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4F0B27C0AAC35EFA9177686ADDD5E058</vt:lpwstr>
  </property>
</Properties>
</file>