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04D24">
      <w:pPr>
        <w:pStyle w:val="20"/>
        <w:jc w:val="both"/>
        <w:rPr>
          <w:rFonts w:hAnsi="黑体"/>
          <w:sz w:val="36"/>
          <w:szCs w:val="36"/>
        </w:rPr>
      </w:pPr>
    </w:p>
    <w:p w14:paraId="09C2AADB">
      <w:pPr>
        <w:jc w:val="center"/>
        <w:rPr>
          <w:w w:val="100"/>
          <w:sz w:val="36"/>
          <w:szCs w:val="36"/>
        </w:rPr>
      </w:pPr>
    </w:p>
    <w:p w14:paraId="4DD2FAF7">
      <w:pPr>
        <w:jc w:val="center"/>
        <w:rPr>
          <w:w w:val="100"/>
          <w:sz w:val="36"/>
          <w:szCs w:val="36"/>
        </w:rPr>
      </w:pPr>
    </w:p>
    <w:p w14:paraId="782CD5B7">
      <w:pPr>
        <w:jc w:val="center"/>
        <w:rPr>
          <w:w w:val="100"/>
          <w:sz w:val="36"/>
          <w:szCs w:val="36"/>
        </w:rPr>
      </w:pPr>
    </w:p>
    <w:p w14:paraId="44BFA2D8">
      <w:pPr>
        <w:jc w:val="center"/>
        <w:rPr>
          <w:w w:val="100"/>
          <w:sz w:val="36"/>
          <w:szCs w:val="36"/>
        </w:rPr>
      </w:pPr>
    </w:p>
    <w:p w14:paraId="15FA3BEA">
      <w:pPr>
        <w:jc w:val="center"/>
        <w:rPr>
          <w:w w:val="100"/>
          <w:sz w:val="36"/>
          <w:szCs w:val="36"/>
        </w:rPr>
      </w:pPr>
    </w:p>
    <w:p w14:paraId="622B170E">
      <w:pPr>
        <w:jc w:val="center"/>
        <w:rPr>
          <w:w w:val="100"/>
          <w:sz w:val="36"/>
          <w:szCs w:val="36"/>
        </w:rPr>
      </w:pPr>
    </w:p>
    <w:p w14:paraId="0EDC4755">
      <w:pPr>
        <w:jc w:val="center"/>
        <w:rPr>
          <w:w w:val="100"/>
          <w:sz w:val="36"/>
          <w:szCs w:val="36"/>
        </w:rPr>
      </w:pPr>
    </w:p>
    <w:p w14:paraId="5AFEE59D">
      <w:pPr>
        <w:jc w:val="center"/>
        <w:rPr>
          <w:w w:val="100"/>
          <w:sz w:val="60"/>
          <w:szCs w:val="60"/>
        </w:rPr>
      </w:pPr>
      <w:r>
        <w:rPr>
          <w:w w:val="100"/>
          <w:sz w:val="60"/>
          <w:szCs w:val="60"/>
        </w:rPr>
        <w:t>202</w:t>
      </w:r>
      <w:r>
        <w:rPr>
          <w:rFonts w:hint="eastAsia"/>
          <w:w w:val="100"/>
          <w:sz w:val="60"/>
          <w:szCs w:val="60"/>
          <w:lang w:val="en-US" w:eastAsia="zh-CN"/>
        </w:rPr>
        <w:t>5</w:t>
      </w:r>
      <w:r>
        <w:rPr>
          <w:w w:val="100"/>
          <w:sz w:val="60"/>
          <w:szCs w:val="60"/>
        </w:rPr>
        <w:t>年度</w:t>
      </w:r>
    </w:p>
    <w:p w14:paraId="38261973">
      <w:pPr>
        <w:jc w:val="center"/>
        <w:rPr>
          <w:w w:val="100"/>
          <w:sz w:val="60"/>
          <w:szCs w:val="60"/>
        </w:rPr>
      </w:pPr>
      <w:r>
        <w:rPr>
          <w:rFonts w:hint="eastAsia"/>
          <w:w w:val="100"/>
          <w:sz w:val="60"/>
          <w:szCs w:val="60"/>
        </w:rPr>
        <w:t>怀化市农村经营事务中心</w:t>
      </w:r>
    </w:p>
    <w:p w14:paraId="2FA90B37">
      <w:pPr>
        <w:jc w:val="center"/>
        <w:rPr>
          <w:w w:val="100"/>
          <w:sz w:val="72"/>
          <w:szCs w:val="72"/>
        </w:rPr>
      </w:pPr>
      <w:r>
        <w:rPr>
          <w:w w:val="100"/>
          <w:sz w:val="60"/>
          <w:szCs w:val="60"/>
        </w:rPr>
        <w:t>决算公开说明</w:t>
      </w:r>
    </w:p>
    <w:p w14:paraId="7915A3EC">
      <w:pPr>
        <w:widowControl/>
        <w:jc w:val="left"/>
        <w:rPr>
          <w:rFonts w:ascii="仿宋" w:hAnsi="仿宋" w:eastAsia="仿宋"/>
          <w:w w:val="100"/>
          <w:sz w:val="30"/>
          <w:szCs w:val="30"/>
        </w:rPr>
      </w:pPr>
      <w:r>
        <w:rPr>
          <w:rFonts w:ascii="仿宋" w:hAnsi="仿宋" w:eastAsia="仿宋"/>
          <w:w w:val="100"/>
          <w:sz w:val="30"/>
          <w:szCs w:val="30"/>
        </w:rPr>
        <w:br w:type="page"/>
      </w:r>
    </w:p>
    <w:p w14:paraId="28100192">
      <w:pPr>
        <w:jc w:val="center"/>
        <w:rPr>
          <w:w w:val="100"/>
          <w:sz w:val="30"/>
          <w:szCs w:val="30"/>
        </w:rPr>
      </w:pPr>
      <w:r>
        <w:rPr>
          <w:w w:val="100"/>
          <w:sz w:val="30"/>
          <w:szCs w:val="30"/>
        </w:rPr>
        <w:t>目录</w:t>
      </w:r>
    </w:p>
    <w:p w14:paraId="5A2EFD73">
      <w:pPr>
        <w:rPr>
          <w:w w:val="100"/>
          <w:sz w:val="30"/>
          <w:szCs w:val="30"/>
        </w:rPr>
      </w:pPr>
      <w:r>
        <w:rPr>
          <w:w w:val="100"/>
          <w:sz w:val="30"/>
          <w:szCs w:val="30"/>
        </w:rPr>
        <w:t>第一部分</w:t>
      </w:r>
      <w:r>
        <w:rPr>
          <w:rFonts w:hint="eastAsia"/>
          <w:w w:val="100"/>
          <w:sz w:val="30"/>
          <w:szCs w:val="30"/>
        </w:rPr>
        <w:t>怀化市农村经营事务中心</w:t>
      </w:r>
      <w:r>
        <w:rPr>
          <w:w w:val="100"/>
          <w:sz w:val="30"/>
          <w:szCs w:val="30"/>
        </w:rPr>
        <w:t>概况</w:t>
      </w:r>
    </w:p>
    <w:p w14:paraId="56B2E5CA">
      <w:pPr>
        <w:rPr>
          <w:rFonts w:ascii="仿宋" w:hAnsi="仿宋" w:eastAsia="仿宋"/>
          <w:w w:val="100"/>
          <w:sz w:val="30"/>
          <w:szCs w:val="30"/>
        </w:rPr>
      </w:pPr>
      <w:r>
        <w:rPr>
          <w:rFonts w:ascii="仿宋" w:hAnsi="仿宋" w:eastAsia="仿宋"/>
          <w:w w:val="100"/>
          <w:sz w:val="30"/>
          <w:szCs w:val="30"/>
        </w:rPr>
        <w:t>一、部门职责</w:t>
      </w:r>
    </w:p>
    <w:p w14:paraId="09E3F1B2">
      <w:pPr>
        <w:rPr>
          <w:rFonts w:ascii="仿宋" w:hAnsi="仿宋" w:eastAsia="仿宋"/>
          <w:w w:val="100"/>
          <w:sz w:val="30"/>
          <w:szCs w:val="30"/>
        </w:rPr>
      </w:pPr>
      <w:r>
        <w:rPr>
          <w:rFonts w:ascii="仿宋" w:hAnsi="仿宋" w:eastAsia="仿宋"/>
          <w:w w:val="100"/>
          <w:sz w:val="30"/>
          <w:szCs w:val="30"/>
        </w:rPr>
        <w:t>二、机构设置及决算单位构成</w:t>
      </w:r>
    </w:p>
    <w:p w14:paraId="593DB8FF">
      <w:pPr>
        <w:rPr>
          <w:w w:val="100"/>
          <w:sz w:val="30"/>
          <w:szCs w:val="30"/>
        </w:rPr>
      </w:pPr>
      <w:r>
        <w:rPr>
          <w:w w:val="100"/>
          <w:sz w:val="30"/>
          <w:szCs w:val="30"/>
        </w:rPr>
        <w:t>第二部分</w:t>
      </w:r>
      <w:r>
        <w:rPr>
          <w:rFonts w:hint="eastAsia"/>
          <w:w w:val="100"/>
          <w:sz w:val="30"/>
          <w:szCs w:val="30"/>
        </w:rPr>
        <w:t xml:space="preserve"> </w:t>
      </w:r>
      <w:r>
        <w:rPr>
          <w:w w:val="100"/>
          <w:sz w:val="30"/>
          <w:szCs w:val="30"/>
        </w:rPr>
        <w:t>部门决算表</w:t>
      </w:r>
    </w:p>
    <w:p w14:paraId="5F2381BC">
      <w:pPr>
        <w:rPr>
          <w:rFonts w:ascii="仿宋" w:hAnsi="仿宋" w:eastAsia="仿宋"/>
          <w:w w:val="100"/>
          <w:sz w:val="30"/>
          <w:szCs w:val="30"/>
        </w:rPr>
      </w:pPr>
      <w:r>
        <w:rPr>
          <w:rFonts w:ascii="仿宋" w:hAnsi="仿宋" w:eastAsia="仿宋"/>
          <w:w w:val="100"/>
          <w:sz w:val="30"/>
          <w:szCs w:val="30"/>
        </w:rPr>
        <w:t>一、收入支出决算总表</w:t>
      </w:r>
      <w:r>
        <w:rPr>
          <w:rFonts w:ascii="仿宋" w:hAnsi="仿宋" w:eastAsia="仿宋"/>
          <w:w w:val="100"/>
          <w:sz w:val="30"/>
          <w:szCs w:val="30"/>
        </w:rPr>
        <w:br w:type="textWrapping"/>
      </w:r>
      <w:r>
        <w:rPr>
          <w:rFonts w:ascii="仿宋" w:hAnsi="仿宋" w:eastAsia="仿宋"/>
          <w:w w:val="100"/>
          <w:sz w:val="30"/>
          <w:szCs w:val="30"/>
        </w:rPr>
        <w:t>二、收入决算表</w:t>
      </w:r>
      <w:r>
        <w:rPr>
          <w:rFonts w:ascii="仿宋" w:hAnsi="仿宋" w:eastAsia="仿宋"/>
          <w:w w:val="100"/>
          <w:sz w:val="30"/>
          <w:szCs w:val="30"/>
        </w:rPr>
        <w:br w:type="textWrapping"/>
      </w:r>
      <w:r>
        <w:rPr>
          <w:rFonts w:ascii="仿宋" w:hAnsi="仿宋" w:eastAsia="仿宋"/>
          <w:w w:val="100"/>
          <w:sz w:val="30"/>
          <w:szCs w:val="30"/>
        </w:rPr>
        <w:t>三、支出决算表</w:t>
      </w:r>
      <w:r>
        <w:rPr>
          <w:rFonts w:ascii="仿宋" w:hAnsi="仿宋" w:eastAsia="仿宋"/>
          <w:w w:val="100"/>
          <w:sz w:val="30"/>
          <w:szCs w:val="30"/>
        </w:rPr>
        <w:br w:type="textWrapping"/>
      </w:r>
      <w:r>
        <w:rPr>
          <w:rFonts w:ascii="仿宋" w:hAnsi="仿宋" w:eastAsia="仿宋"/>
          <w:w w:val="100"/>
          <w:sz w:val="30"/>
          <w:szCs w:val="30"/>
        </w:rPr>
        <w:t>四、财政拨款收入支出决算总表</w:t>
      </w:r>
      <w:r>
        <w:rPr>
          <w:rFonts w:ascii="仿宋" w:hAnsi="仿宋" w:eastAsia="仿宋"/>
          <w:w w:val="100"/>
          <w:sz w:val="30"/>
          <w:szCs w:val="30"/>
        </w:rPr>
        <w:br w:type="textWrapping"/>
      </w:r>
      <w:r>
        <w:rPr>
          <w:rFonts w:ascii="仿宋" w:hAnsi="仿宋" w:eastAsia="仿宋"/>
          <w:w w:val="100"/>
          <w:sz w:val="30"/>
          <w:szCs w:val="30"/>
        </w:rPr>
        <w:t>五、一般公共预算财政拨款支出决算表</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六、一般公共预算财政拨款基本支出决算明细表</w:t>
      </w:r>
      <w:r>
        <w:rPr>
          <w:rFonts w:ascii="仿宋" w:hAnsi="仿宋" w:eastAsia="仿宋"/>
          <w:w w:val="100"/>
          <w:sz w:val="30"/>
          <w:szCs w:val="30"/>
        </w:rPr>
        <w:br w:type="textWrapping"/>
      </w:r>
      <w:r>
        <w:rPr>
          <w:rFonts w:ascii="仿宋" w:hAnsi="仿宋" w:eastAsia="仿宋"/>
          <w:w w:val="100"/>
          <w:sz w:val="30"/>
          <w:szCs w:val="30"/>
        </w:rPr>
        <w:t>七、政府性基金预算财政拨款收入支出决算表</w:t>
      </w:r>
      <w:r>
        <w:rPr>
          <w:rFonts w:ascii="仿宋" w:hAnsi="仿宋" w:eastAsia="仿宋"/>
          <w:w w:val="100"/>
          <w:sz w:val="30"/>
          <w:szCs w:val="30"/>
        </w:rPr>
        <w:br w:type="textWrapping"/>
      </w:r>
      <w:r>
        <w:rPr>
          <w:rFonts w:ascii="仿宋" w:hAnsi="仿宋" w:eastAsia="仿宋"/>
          <w:w w:val="100"/>
          <w:sz w:val="30"/>
          <w:szCs w:val="30"/>
        </w:rPr>
        <w:t>八、国有资本经营预算财政拨款支出决算表</w:t>
      </w:r>
      <w:r>
        <w:rPr>
          <w:rFonts w:ascii="仿宋" w:hAnsi="仿宋" w:eastAsia="仿宋"/>
          <w:w w:val="100"/>
          <w:sz w:val="30"/>
          <w:szCs w:val="30"/>
        </w:rPr>
        <w:br w:type="textWrapping"/>
      </w:r>
      <w:r>
        <w:rPr>
          <w:rFonts w:ascii="仿宋" w:hAnsi="仿宋" w:eastAsia="仿宋"/>
          <w:w w:val="100"/>
          <w:sz w:val="30"/>
          <w:szCs w:val="30"/>
        </w:rPr>
        <w:t>九、财政拨款“三公”经费支出决算表</w:t>
      </w:r>
    </w:p>
    <w:p w14:paraId="4359145C">
      <w:pPr>
        <w:rPr>
          <w:w w:val="100"/>
          <w:sz w:val="30"/>
          <w:szCs w:val="30"/>
        </w:rPr>
      </w:pPr>
      <w:r>
        <w:rPr>
          <w:w w:val="100"/>
          <w:sz w:val="30"/>
          <w:szCs w:val="30"/>
        </w:rPr>
        <w:t>第三部分</w:t>
      </w:r>
      <w:r>
        <w:rPr>
          <w:rFonts w:hint="eastAsia"/>
          <w:w w:val="100"/>
          <w:sz w:val="30"/>
          <w:szCs w:val="30"/>
        </w:rPr>
        <w:t xml:space="preserve"> </w:t>
      </w:r>
      <w:r>
        <w:rPr>
          <w:w w:val="100"/>
          <w:sz w:val="30"/>
          <w:szCs w:val="30"/>
        </w:rPr>
        <w:t>部门决算情况说明</w:t>
      </w:r>
    </w:p>
    <w:p w14:paraId="50110B09">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一、收入支出决算总体情况说明</w:t>
      </w:r>
      <w:r>
        <w:rPr>
          <w:rFonts w:ascii="仿宋" w:hAnsi="仿宋" w:eastAsia="仿宋"/>
          <w:w w:val="100"/>
          <w:sz w:val="30"/>
          <w:szCs w:val="30"/>
        </w:rPr>
        <w:br w:type="textWrapping"/>
      </w:r>
      <w:r>
        <w:rPr>
          <w:rFonts w:ascii="仿宋" w:hAnsi="仿宋" w:eastAsia="仿宋"/>
          <w:w w:val="100"/>
          <w:sz w:val="30"/>
          <w:szCs w:val="30"/>
        </w:rPr>
        <w:t>二、收入决算情况说明</w:t>
      </w:r>
      <w:r>
        <w:rPr>
          <w:rFonts w:ascii="仿宋" w:hAnsi="仿宋" w:eastAsia="仿宋"/>
          <w:w w:val="100"/>
          <w:sz w:val="30"/>
          <w:szCs w:val="30"/>
        </w:rPr>
        <w:br w:type="textWrapping"/>
      </w:r>
      <w:r>
        <w:rPr>
          <w:rFonts w:ascii="仿宋" w:hAnsi="仿宋" w:eastAsia="仿宋"/>
          <w:w w:val="100"/>
          <w:sz w:val="30"/>
          <w:szCs w:val="30"/>
        </w:rPr>
        <w:t>三、支出决算情况说明</w:t>
      </w:r>
      <w:r>
        <w:rPr>
          <w:rFonts w:ascii="仿宋" w:hAnsi="仿宋" w:eastAsia="仿宋"/>
          <w:w w:val="100"/>
          <w:sz w:val="30"/>
          <w:szCs w:val="30"/>
        </w:rPr>
        <w:br w:type="textWrapping"/>
      </w:r>
      <w:r>
        <w:rPr>
          <w:rFonts w:ascii="仿宋" w:hAnsi="仿宋" w:eastAsia="仿宋"/>
          <w:w w:val="100"/>
          <w:sz w:val="30"/>
          <w:szCs w:val="30"/>
        </w:rPr>
        <w:t>四、财政拨款收入支出决算总体情况说明</w:t>
      </w:r>
      <w:r>
        <w:rPr>
          <w:rFonts w:ascii="仿宋" w:hAnsi="仿宋" w:eastAsia="仿宋"/>
          <w:w w:val="100"/>
          <w:sz w:val="30"/>
          <w:szCs w:val="30"/>
        </w:rPr>
        <w:br w:type="textWrapping"/>
      </w:r>
      <w:r>
        <w:rPr>
          <w:rFonts w:ascii="仿宋" w:hAnsi="仿宋" w:eastAsia="仿宋"/>
          <w:w w:val="100"/>
          <w:sz w:val="30"/>
          <w:szCs w:val="30"/>
        </w:rPr>
        <w:t>五、一般公共预算财政拨款支出决算情况说明</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六、一般公共预算财政拨款基本支出决算情况说明</w:t>
      </w:r>
      <w:r>
        <w:rPr>
          <w:rFonts w:ascii="仿宋" w:hAnsi="仿宋" w:eastAsia="仿宋"/>
          <w:w w:val="100"/>
          <w:sz w:val="30"/>
          <w:szCs w:val="30"/>
        </w:rPr>
        <w:br w:type="textWrapping"/>
      </w:r>
      <w:r>
        <w:rPr>
          <w:rFonts w:ascii="仿宋" w:hAnsi="仿宋" w:eastAsia="仿宋"/>
          <w:w w:val="100"/>
          <w:sz w:val="30"/>
          <w:szCs w:val="30"/>
        </w:rPr>
        <w:t>七、财政拨款“三公”经费支出决算情况说明</w:t>
      </w:r>
      <w:r>
        <w:rPr>
          <w:rFonts w:ascii="仿宋" w:hAnsi="仿宋" w:eastAsia="仿宋"/>
          <w:w w:val="100"/>
          <w:sz w:val="30"/>
          <w:szCs w:val="30"/>
        </w:rPr>
        <w:br w:type="textWrapping"/>
      </w:r>
      <w:r>
        <w:rPr>
          <w:rFonts w:ascii="仿宋" w:hAnsi="仿宋" w:eastAsia="仿宋"/>
          <w:w w:val="100"/>
          <w:sz w:val="30"/>
          <w:szCs w:val="30"/>
        </w:rPr>
        <w:t>八、政府性基金预算收入支出决算情况</w:t>
      </w:r>
      <w:r>
        <w:rPr>
          <w:rFonts w:ascii="仿宋" w:hAnsi="仿宋" w:eastAsia="仿宋"/>
          <w:w w:val="100"/>
          <w:sz w:val="30"/>
          <w:szCs w:val="30"/>
        </w:rPr>
        <w:br w:type="textWrapping"/>
      </w:r>
      <w:r>
        <w:rPr>
          <w:rFonts w:ascii="仿宋" w:hAnsi="仿宋" w:eastAsia="仿宋"/>
          <w:w w:val="100"/>
          <w:sz w:val="30"/>
          <w:szCs w:val="30"/>
        </w:rPr>
        <w:t>九、</w:t>
      </w:r>
      <w:r>
        <w:rPr>
          <w:rFonts w:hint="eastAsia" w:ascii="仿宋" w:hAnsi="仿宋" w:eastAsia="仿宋"/>
          <w:w w:val="100"/>
          <w:sz w:val="30"/>
          <w:szCs w:val="30"/>
        </w:rPr>
        <w:t>国有资本经营预算</w:t>
      </w:r>
      <w:r>
        <w:rPr>
          <w:rFonts w:ascii="仿宋" w:hAnsi="仿宋" w:eastAsia="仿宋"/>
          <w:w w:val="100"/>
          <w:sz w:val="30"/>
          <w:szCs w:val="30"/>
        </w:rPr>
        <w:t>收入支出决算情况</w:t>
      </w:r>
    </w:p>
    <w:p w14:paraId="5CFE6BAE">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w:t>
      </w:r>
      <w:r>
        <w:rPr>
          <w:rFonts w:ascii="仿宋" w:hAnsi="仿宋" w:eastAsia="仿宋"/>
          <w:w w:val="100"/>
          <w:sz w:val="30"/>
          <w:szCs w:val="30"/>
        </w:rPr>
        <w:t>关于机关运行经费支出说明</w:t>
      </w:r>
    </w:p>
    <w:p w14:paraId="4337FA4E">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一</w:t>
      </w:r>
      <w:r>
        <w:rPr>
          <w:rFonts w:ascii="仿宋" w:hAnsi="仿宋" w:eastAsia="仿宋"/>
          <w:w w:val="100"/>
          <w:sz w:val="30"/>
          <w:szCs w:val="30"/>
        </w:rPr>
        <w:t>、一般性支出情况说明</w:t>
      </w:r>
    </w:p>
    <w:p w14:paraId="5E4206C6">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二</w:t>
      </w:r>
      <w:r>
        <w:rPr>
          <w:rFonts w:ascii="仿宋" w:hAnsi="仿宋" w:eastAsia="仿宋"/>
          <w:w w:val="100"/>
          <w:sz w:val="30"/>
          <w:szCs w:val="30"/>
        </w:rPr>
        <w:t>、关于政府采购支出说明</w:t>
      </w:r>
    </w:p>
    <w:p w14:paraId="0D509C9C">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三</w:t>
      </w:r>
      <w:r>
        <w:rPr>
          <w:rFonts w:ascii="仿宋" w:hAnsi="仿宋" w:eastAsia="仿宋"/>
          <w:w w:val="100"/>
          <w:sz w:val="30"/>
          <w:szCs w:val="30"/>
        </w:rPr>
        <w:t>、关于国有资产占用情况说明</w:t>
      </w:r>
    </w:p>
    <w:p w14:paraId="5948FC48">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十四、关于202</w:t>
      </w:r>
      <w:r>
        <w:rPr>
          <w:rFonts w:hint="eastAsia" w:ascii="仿宋" w:hAnsi="仿宋" w:eastAsia="仿宋"/>
          <w:w w:val="100"/>
          <w:sz w:val="30"/>
          <w:szCs w:val="30"/>
          <w:lang w:val="en-US" w:eastAsia="zh-CN"/>
        </w:rPr>
        <w:t>5</w:t>
      </w:r>
      <w:bookmarkStart w:id="27" w:name="_GoBack"/>
      <w:bookmarkEnd w:id="27"/>
      <w:r>
        <w:rPr>
          <w:rFonts w:hint="eastAsia" w:ascii="仿宋" w:hAnsi="仿宋" w:eastAsia="仿宋"/>
          <w:w w:val="100"/>
          <w:sz w:val="30"/>
          <w:szCs w:val="30"/>
        </w:rPr>
        <w:t>年度预算绩效管理情况的说明</w:t>
      </w:r>
    </w:p>
    <w:p w14:paraId="20015A31">
      <w:pPr>
        <w:rPr>
          <w:w w:val="100"/>
          <w:sz w:val="30"/>
          <w:szCs w:val="30"/>
        </w:rPr>
      </w:pPr>
      <w:r>
        <w:rPr>
          <w:w w:val="100"/>
          <w:sz w:val="30"/>
          <w:szCs w:val="30"/>
        </w:rPr>
        <w:t>第四部分</w:t>
      </w:r>
      <w:r>
        <w:rPr>
          <w:rFonts w:hint="eastAsia"/>
          <w:w w:val="100"/>
          <w:sz w:val="30"/>
          <w:szCs w:val="30"/>
        </w:rPr>
        <w:t xml:space="preserve"> </w:t>
      </w:r>
      <w:r>
        <w:rPr>
          <w:w w:val="100"/>
          <w:sz w:val="30"/>
          <w:szCs w:val="30"/>
        </w:rPr>
        <w:t>名词解释</w:t>
      </w:r>
    </w:p>
    <w:p w14:paraId="7E656106">
      <w:pPr>
        <w:rPr>
          <w:w w:val="100"/>
          <w:sz w:val="30"/>
          <w:szCs w:val="30"/>
        </w:rPr>
      </w:pPr>
      <w:r>
        <w:rPr>
          <w:w w:val="100"/>
          <w:sz w:val="30"/>
          <w:szCs w:val="30"/>
        </w:rPr>
        <w:t>第五部分</w:t>
      </w:r>
      <w:r>
        <w:rPr>
          <w:rFonts w:hint="eastAsia"/>
          <w:w w:val="100"/>
          <w:sz w:val="30"/>
          <w:szCs w:val="30"/>
        </w:rPr>
        <w:t xml:space="preserve"> </w:t>
      </w:r>
      <w:r>
        <w:rPr>
          <w:w w:val="100"/>
          <w:sz w:val="30"/>
          <w:szCs w:val="30"/>
        </w:rPr>
        <w:t>附件</w:t>
      </w:r>
    </w:p>
    <w:p w14:paraId="2771D787">
      <w:pPr>
        <w:widowControl/>
        <w:jc w:val="left"/>
        <w:rPr>
          <w:w w:val="100"/>
          <w:sz w:val="30"/>
          <w:szCs w:val="30"/>
        </w:rPr>
      </w:pPr>
      <w:r>
        <w:rPr>
          <w:w w:val="100"/>
          <w:sz w:val="30"/>
          <w:szCs w:val="30"/>
        </w:rPr>
        <w:br w:type="page"/>
      </w:r>
    </w:p>
    <w:p w14:paraId="47B2FBF5">
      <w:pPr>
        <w:rPr>
          <w:w w:val="100"/>
          <w:sz w:val="30"/>
          <w:szCs w:val="30"/>
        </w:rPr>
      </w:pPr>
    </w:p>
    <w:p w14:paraId="3F8D4680">
      <w:pPr>
        <w:jc w:val="center"/>
        <w:rPr>
          <w:w w:val="100"/>
          <w:sz w:val="52"/>
          <w:szCs w:val="52"/>
        </w:rPr>
      </w:pPr>
      <w:r>
        <w:rPr>
          <w:w w:val="100"/>
          <w:sz w:val="52"/>
          <w:szCs w:val="52"/>
        </w:rPr>
        <w:t>第一部分</w:t>
      </w:r>
    </w:p>
    <w:p w14:paraId="50BBDCC2">
      <w:pPr>
        <w:jc w:val="center"/>
        <w:rPr>
          <w:w w:val="100"/>
          <w:sz w:val="32"/>
          <w:szCs w:val="30"/>
        </w:rPr>
      </w:pPr>
      <w:r>
        <w:rPr>
          <w:rFonts w:hint="eastAsia"/>
          <w:w w:val="100"/>
          <w:sz w:val="52"/>
          <w:szCs w:val="52"/>
        </w:rPr>
        <w:t>怀化市农村经营事务中心</w:t>
      </w:r>
      <w:r>
        <w:rPr>
          <w:w w:val="100"/>
          <w:sz w:val="52"/>
          <w:szCs w:val="52"/>
        </w:rPr>
        <w:t>概况</w:t>
      </w:r>
    </w:p>
    <w:p w14:paraId="1B0C8F7E">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0" w:name="heading_2"/>
      <w:r>
        <w:rPr>
          <w:rFonts w:hint="eastAsia" w:cs="楷体_GB2312"/>
          <w:b w:val="0"/>
          <w:bCs w:val="0"/>
          <w:sz w:val="30"/>
          <w:szCs w:val="30"/>
          <w:lang w:eastAsia="zh-CN"/>
        </w:rPr>
        <w:t>（一）</w:t>
      </w:r>
      <w:r>
        <w:rPr>
          <w:rFonts w:ascii="Times New Roman" w:hAnsi="Times New Roman" w:eastAsia="楷体_GB2312" w:cs="楷体_GB2312"/>
          <w:b w:val="0"/>
          <w:bCs w:val="0"/>
          <w:sz w:val="30"/>
          <w:szCs w:val="30"/>
        </w:rPr>
        <w:t>部门职责</w:t>
      </w:r>
      <w:bookmarkEnd w:id="0"/>
    </w:p>
    <w:p w14:paraId="33B15FC7">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怀化市农村经营事务中心作为怀化市农业农村局二级部门预算单位，参照公务员法管理，主要职责包括：</w:t>
      </w:r>
    </w:p>
    <w:p w14:paraId="2FC0703C">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承担稳定完善农村土地承包关系、深化农村土地制度改革的事务性工作，落实农村土地所有权、承包权、经营权</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三权分置</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制度，开展第二轮土地承包到期后再延长三十年相关工作，指导农村土地承包合同管理，推进土地经营权流转和农业适度规模经营，承担农村土地承包纠纷调解仲裁事务性工作。</w:t>
      </w:r>
    </w:p>
    <w:p w14:paraId="731AD648">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承担农村宅基地管理和改革相关事务性工作，指导农村宅基地分配、使用、流转、纠纷仲裁，组织开展宅基地现状和需求统计调查，指导闲置宅基地和闲置农房盘活利用。</w:t>
      </w:r>
    </w:p>
    <w:p w14:paraId="2964BAB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指导扶持家庭农场、农民合作社等新型经营主体建设发展，建立健全培育标准规范，开展示范创建，完善名录管理制度，组织实施农业生产托管服务，指导农业社会化服务体系建设。</w:t>
      </w:r>
    </w:p>
    <w:p w14:paraId="48606349">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承担农民权益维护和农民负担监督管理事务性工作，监督</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一事一议</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筹资筹劳审批管理及财政奖补资金使用，参与乡村小微权力监督，参与查处惠农资金发放、集体资产管理领域突出问题，协助推进乡村治理体系建设。</w:t>
      </w:r>
    </w:p>
    <w:p w14:paraId="1A959F91">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指导农村集体经济组织多元化发展，承担农村集体产权制度改革相关事务性工作，配合指导农村集体产权交易市场建设，配合开展农村集体经济组织审计监督服务。</w:t>
      </w:r>
    </w:p>
    <w:p w14:paraId="2034295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6.</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组织开展农村经济收支、农业社会化服务、农民合作社、家庭农场、农村集体经济组织运行情况监测、调查与统计。</w:t>
      </w:r>
    </w:p>
    <w:p w14:paraId="64FD3AB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7.</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完成市农业农村局交办的其他任务。</w:t>
      </w:r>
    </w:p>
    <w:p w14:paraId="72F42003">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 w:name="heading_3"/>
      <w:r>
        <w:rPr>
          <w:rFonts w:hint="eastAsia" w:cs="楷体_GB2312"/>
          <w:b w:val="0"/>
          <w:bCs w:val="0"/>
          <w:sz w:val="30"/>
          <w:szCs w:val="30"/>
          <w:lang w:eastAsia="zh-CN"/>
        </w:rPr>
        <w:t>（二）</w:t>
      </w:r>
      <w:r>
        <w:rPr>
          <w:rFonts w:ascii="Times New Roman" w:hAnsi="Times New Roman" w:eastAsia="楷体_GB2312" w:cs="楷体_GB2312"/>
          <w:b w:val="0"/>
          <w:bCs w:val="0"/>
          <w:sz w:val="30"/>
          <w:szCs w:val="30"/>
        </w:rPr>
        <w:t>机构设置及决算单位构成</w:t>
      </w:r>
      <w:bookmarkEnd w:id="1"/>
    </w:p>
    <w:p w14:paraId="7BD62D70">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2" w:name="heading_4"/>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内设机构设置</w:t>
      </w:r>
      <w:bookmarkEnd w:id="2"/>
    </w:p>
    <w:p w14:paraId="22F83E2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怀化市农村经营事务中心内设4个职能办部：办公室、农村土地部、农村经营体制部、农村集体资产财务部。</w:t>
      </w:r>
    </w:p>
    <w:p w14:paraId="11343CE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3" w:name="heading_5"/>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决算单位构成</w:t>
      </w:r>
      <w:bookmarkEnd w:id="3"/>
    </w:p>
    <w:p w14:paraId="3CF3B9EB">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部门决算汇总公开单位仅包含怀化市农村经营事务中心本级，单位为二级预算单位，经费保障方式为全额拨款，执行《政府会计准则制度》，所有收支、资产及绩效数据均纳入本级决算统一核算与公开，预算级次为市级，财政区划为怀化市本级。</w:t>
      </w:r>
    </w:p>
    <w:p w14:paraId="6752886F">
      <w:pPr>
        <w:widowControl/>
        <w:shd w:val="clear" w:color="auto" w:fill="FFFFFF"/>
        <w:spacing w:line="360" w:lineRule="auto"/>
        <w:ind w:firstLine="640" w:firstLineChars="200"/>
        <w:rPr>
          <w:rFonts w:ascii="仿宋" w:hAnsi="仿宋" w:eastAsia="仿宋"/>
          <w:bCs/>
          <w:color w:val="3D3D3D"/>
          <w:w w:val="100"/>
          <w:kern w:val="0"/>
          <w:sz w:val="32"/>
          <w:szCs w:val="32"/>
        </w:rPr>
        <w:sectPr>
          <w:pgSz w:w="11906" w:h="16838"/>
          <w:pgMar w:top="1440" w:right="1800" w:bottom="1440" w:left="1800" w:header="851" w:footer="992" w:gutter="0"/>
          <w:cols w:space="425" w:num="1"/>
          <w:docGrid w:type="lines" w:linePitch="312" w:charSpace="0"/>
        </w:sectPr>
      </w:pPr>
    </w:p>
    <w:p w14:paraId="01BEF85E">
      <w:pPr>
        <w:ind w:firstLine="680" w:firstLineChars="189"/>
        <w:jc w:val="center"/>
        <w:rPr>
          <w:rFonts w:cs="黑体"/>
          <w:w w:val="100"/>
          <w:sz w:val="36"/>
          <w:szCs w:val="36"/>
        </w:rPr>
      </w:pPr>
      <w:r>
        <w:rPr>
          <w:rFonts w:hint="eastAsia" w:cs="黑体"/>
          <w:w w:val="100"/>
          <w:sz w:val="36"/>
          <w:szCs w:val="36"/>
        </w:rPr>
        <w:t>第二部分 部门决算表</w:t>
      </w:r>
    </w:p>
    <w:p w14:paraId="72B30F87">
      <w:pPr>
        <w:ind w:firstLine="680" w:firstLineChars="189"/>
        <w:jc w:val="right"/>
        <w:rPr>
          <w:rFonts w:ascii="仿宋" w:hAnsi="仿宋" w:eastAsia="仿宋"/>
          <w:w w:val="100"/>
          <w:sz w:val="30"/>
          <w:szCs w:val="30"/>
        </w:rPr>
      </w:pPr>
      <w:r>
        <w:rPr>
          <w:rFonts w:hint="eastAsia" w:cs="黑体"/>
          <w:w w:val="100"/>
          <w:sz w:val="36"/>
          <w:szCs w:val="36"/>
        </w:rPr>
        <w:t>收入支出决算总表</w:t>
      </w:r>
      <w:r>
        <w:rPr>
          <w:rFonts w:hint="eastAsia" w:ascii="仿宋" w:hAnsi="仿宋" w:eastAsia="仿宋"/>
          <w:w w:val="100"/>
          <w:sz w:val="30"/>
          <w:szCs w:val="30"/>
        </w:rPr>
        <w:t xml:space="preserve">                      </w:t>
      </w:r>
      <w:r>
        <w:rPr>
          <w:rFonts w:ascii="仿宋" w:hAnsi="仿宋" w:eastAsia="仿宋"/>
          <w:w w:val="100"/>
          <w:sz w:val="30"/>
          <w:szCs w:val="30"/>
        </w:rPr>
        <w:t>（公开01表）</w:t>
      </w:r>
    </w:p>
    <w:p w14:paraId="678C9506">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174"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14"/>
        <w:gridCol w:w="897"/>
        <w:gridCol w:w="1225"/>
        <w:gridCol w:w="4813"/>
        <w:gridCol w:w="900"/>
        <w:gridCol w:w="1225"/>
      </w:tblGrid>
      <w:tr w14:paraId="462F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1225"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CEE2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收入</w:t>
            </w:r>
          </w:p>
        </w:tc>
        <w:tc>
          <w:tcPr>
            <w:tcW w:w="1225"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5A07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支出</w:t>
            </w:r>
          </w:p>
        </w:tc>
      </w:tr>
      <w:tr w14:paraId="62AD2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2F2A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722C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行次</w:t>
            </w: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EF8E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金额</w:t>
            </w: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72F8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547B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行次</w:t>
            </w: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C552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金额</w:t>
            </w:r>
          </w:p>
        </w:tc>
      </w:tr>
      <w:tr w14:paraId="0B3B2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E935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96394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02F0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B307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31754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D3E6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r>
      <w:tr w14:paraId="1B374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15C6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一、一般公共预算财政拨款收入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C848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2E72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288.66 </w:t>
            </w: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9AF6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一、一般公共服务支出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3654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E6493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r>
      <w:tr w14:paraId="70A42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9462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二、政府性基金预算财政拨款收入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0535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49524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D2F7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二、外交支出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4B84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32</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E5C94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D0C9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617F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三、国有资本经营预算财政拨款收入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C436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AB02C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F6EE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三、国防支出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430C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33</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DCBCE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C6F2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9D27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四、上级补助收入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4469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20CF8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9033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四、公共安全支出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10F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34</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EEEEE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4B10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B85F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五、事业收入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2BD9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170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3693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五、教育支出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AFF4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35</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E6D1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B7FB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F48C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六、经营收入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72C6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681EB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03F9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六、科学技术支出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2C5E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36</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574FF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660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0F1C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七、附属单位上缴收入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8029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7</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97C7D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21ED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七、文化旅游体育与传媒支出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92A5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37</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6BBB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6467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A6E4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八、其他收入</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552B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8</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2B6FC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BF3B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八、社会保障和就业支出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1033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38</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144E3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r>
      <w:tr w14:paraId="7AFDC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CD8F6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8143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9</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A96A4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6D4E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九、卫生健康支出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5E8E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A8121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r>
      <w:tr w14:paraId="5102D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92FB9F">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8E92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10</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2C7C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0716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十、节能环保支出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298E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40</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E30F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CC6A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FA4F85">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B191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11</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A8685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012D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十一、城乡社区支出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E312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41</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23BB8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BF1D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F0DD29">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705D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12</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4A8B5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6054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十二、农林水支出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02C8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42</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BFFAD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220.17 </w:t>
            </w:r>
          </w:p>
        </w:tc>
      </w:tr>
      <w:tr w14:paraId="1B716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E1B50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606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13</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704E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FF0C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十三、交通运输支出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3392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43</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AEB2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72F8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8B079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886A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14</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AF8A5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2408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十四、资源勘探工业信息等支出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CA2B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44</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62A2D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2864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7E32F6">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1142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15</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82DA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BBA7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十五、商业服务业等支出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69B2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45</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EBF6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7704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86296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1A6C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16</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3E465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787C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十六、金融支出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FBFA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46</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6EBE9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9589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6C610E">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48C7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17</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09970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10EA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十七、援助其他地区支出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B17B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47</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8D7D6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C8D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FDEA8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1AEA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18</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6189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181E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十八、自然资源海洋气象等支出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CD19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48</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1A970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3A3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BA8ADF">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904D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19</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E873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E4AB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十九、住房保障支出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7F3D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49</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E38E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r>
      <w:tr w14:paraId="43817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5C857E">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8D66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6893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948C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二十、粮油物资储备支出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B03D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50</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727A7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4DF0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CC7EC9">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DA07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8A6AF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D972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二十一、国有资本经营预算支出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D9B6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51</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03E5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9346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D6795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8E98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82975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0003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二十二、灾害防治及应急管理支出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8659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52</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F51DB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37E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710A3D">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0297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23</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A585D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0205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二十三、其他支出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B98A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53</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6A9E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9549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2A5300">
            <w:pPr>
              <w:snapToGrid w:val="0"/>
              <w:ind w:left="0" w:leftChars="0" w:right="0" w:rightChars="0" w:firstLine="0" w:firstLineChars="0"/>
              <w:jc w:val="left"/>
              <w:rPr>
                <w:rFonts w:hint="eastAsia" w:ascii="宋体" w:hAnsi="宋体" w:eastAsia="宋体" w:cs="宋体"/>
                <w:b/>
                <w:bCs/>
                <w:i w:val="0"/>
                <w:iCs w:val="0"/>
                <w:color w:val="000000"/>
                <w:w w:val="100"/>
                <w:sz w:val="20"/>
                <w:szCs w:val="20"/>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2283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lang w:val="en-US" w:eastAsia="zh-CN" w:bidi="ar"/>
              </w:rPr>
              <w:t>24</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30A8A">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4A73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二十四、债务还本支出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73D5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54</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522F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C69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DC0C69">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C54A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lang w:val="en-US" w:eastAsia="zh-CN" w:bidi="ar"/>
              </w:rPr>
              <w:t>25</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F14E9A">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8945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二十五、债务付息支出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3897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55</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76E9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7129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0007E7">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9A83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lang w:val="en-US" w:eastAsia="zh-CN" w:bidi="ar"/>
              </w:rPr>
              <w:t>26</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E796D4">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E3C2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二十六、抗疫特别国债安排的支出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974A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56</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9BF7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C8F3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BE9E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本年收入合计</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14C5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27</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58B1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F205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本年支出合计</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1261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57</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6ACCA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r>
      <w:tr w14:paraId="49F55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7B78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使用非财政拨款结余（含专用结余）</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333B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28</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13213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76C9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结余分配</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B305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58</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C7649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ADA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C42E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年初结转和结余</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595B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29</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47554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6734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年末结转和结余</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0012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59</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18A94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0.00 </w:t>
            </w:r>
          </w:p>
        </w:tc>
      </w:tr>
      <w:tr w14:paraId="6473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1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246A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总计</w:t>
            </w:r>
          </w:p>
        </w:tc>
        <w:tc>
          <w:tcPr>
            <w:tcW w:w="89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DD50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30</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D4F1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48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A465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总计</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B6D2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60</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B357D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r>
    </w:tbl>
    <w:p w14:paraId="2EE15A73">
      <w:pPr>
        <w:rPr>
          <w:rFonts w:ascii="仿宋" w:hAnsi="仿宋" w:eastAsia="仿宋"/>
          <w:w w:val="100"/>
          <w:sz w:val="21"/>
          <w:szCs w:val="21"/>
        </w:rPr>
      </w:pPr>
    </w:p>
    <w:p w14:paraId="4D1DF54B">
      <w:pPr>
        <w:ind w:firstLine="566" w:firstLineChars="236"/>
        <w:rPr>
          <w:rFonts w:ascii="仿宋" w:hAnsi="仿宋" w:eastAsia="仿宋"/>
          <w:w w:val="100"/>
          <w:sz w:val="24"/>
          <w:szCs w:val="24"/>
        </w:rPr>
      </w:pPr>
      <w:r>
        <w:rPr>
          <w:rFonts w:ascii="仿宋" w:hAnsi="仿宋" w:eastAsia="仿宋"/>
          <w:w w:val="100"/>
          <w:sz w:val="24"/>
          <w:szCs w:val="24"/>
        </w:rPr>
        <w:t>注：1.本表反映部门本年度的总收支和年末结转结余情况。</w:t>
      </w:r>
    </w:p>
    <w:p w14:paraId="7F8BBB50">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2.本套报表金额单位转换时可能存在尾数误差。</w:t>
      </w:r>
    </w:p>
    <w:p w14:paraId="4E06F2C9">
      <w:pPr>
        <w:ind w:firstLine="849" w:firstLineChars="236"/>
        <w:jc w:val="right"/>
        <w:rPr>
          <w:rFonts w:ascii="仿宋" w:hAnsi="仿宋" w:eastAsia="仿宋"/>
          <w:w w:val="100"/>
          <w:sz w:val="30"/>
          <w:szCs w:val="30"/>
        </w:rPr>
      </w:pPr>
      <w:r>
        <w:rPr>
          <w:rFonts w:hint="eastAsia" w:cs="黑体"/>
          <w:w w:val="100"/>
          <w:sz w:val="36"/>
          <w:szCs w:val="36"/>
        </w:rPr>
        <w:t xml:space="preserve">收入决算表        </w:t>
      </w:r>
      <w:r>
        <w:rPr>
          <w:rFonts w:hint="eastAsia" w:ascii="仿宋" w:hAnsi="仿宋" w:eastAsia="仿宋"/>
          <w:w w:val="100"/>
          <w:sz w:val="30"/>
          <w:szCs w:val="30"/>
        </w:rPr>
        <w:t xml:space="preserve">                     </w:t>
      </w:r>
      <w:r>
        <w:rPr>
          <w:rFonts w:ascii="仿宋" w:hAnsi="仿宋" w:eastAsia="仿宋"/>
          <w:w w:val="100"/>
          <w:sz w:val="30"/>
          <w:szCs w:val="30"/>
        </w:rPr>
        <w:t>（公开02表）</w:t>
      </w:r>
    </w:p>
    <w:p w14:paraId="3F2A95EA">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1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9"/>
        <w:gridCol w:w="3765"/>
        <w:gridCol w:w="1477"/>
        <w:gridCol w:w="1477"/>
        <w:gridCol w:w="1432"/>
        <w:gridCol w:w="1032"/>
        <w:gridCol w:w="1032"/>
        <w:gridCol w:w="1829"/>
        <w:gridCol w:w="1032"/>
      </w:tblGrid>
      <w:tr w14:paraId="7E11C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929A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7DD2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本年收入合计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2C6AF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财政拨款收入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7B9EE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上级补助收入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9C3E1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事业收入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67C3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经营收入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0D6B6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附属单位上缴收入</w:t>
            </w:r>
          </w:p>
        </w:tc>
        <w:tc>
          <w:tcPr>
            <w:tcW w:w="103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9295C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其他收入</w:t>
            </w:r>
          </w:p>
        </w:tc>
      </w:tr>
      <w:tr w14:paraId="002AA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6CCC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F32A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590BB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3724F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B66CD4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9C6722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C830F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1C8F8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3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14109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15DE5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CC318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A94FD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1D8EE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92D16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C979A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CDDB7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A0A7F0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277DF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3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E1475F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372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58A4A5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256CB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CCF48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E3B06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6B67B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B6EF0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1DF0D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CADBF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03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7766F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663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7B95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C0FB8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B54A8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E4FDA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CE9E7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4F07D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469CA0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c>
          <w:tcPr>
            <w:tcW w:w="103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0B2B4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7</w:t>
            </w:r>
          </w:p>
        </w:tc>
      </w:tr>
      <w:tr w14:paraId="6487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0431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C333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288.66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7BC2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288.66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A729F4">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7344E0">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71DB5A">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087FE3">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4E4A73">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1560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AD72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3874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DAA4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DF84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437BB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857E6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73A22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DF496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81896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4998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987C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CF81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A839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1955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611E5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727FE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5CECA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E7047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1BABE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0B9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B075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7AFE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72C7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705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E2D37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F7C35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C60A3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C8797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54EB65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F467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0075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A44B3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3781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ACA7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F029C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16354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60A28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66A5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7D08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1D8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FB98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6A12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1462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2CCA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F8DF3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1395C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DACA2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D22AB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395E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306D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B1E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E1FF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A8D6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18.94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E2D9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18.94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4688C0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043E5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87389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F3DB88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735FB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D0C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3E9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E21B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5FE2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19.10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604F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19.10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8D0C2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61032E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0B5499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1179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EA1C2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658E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30E4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7E721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C344D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51FB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45D203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3A4B2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321D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53E1D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70A8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A4C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9966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0FBF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38B6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D2A6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BDC6A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2E5CE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AB18B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2C372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E9BE1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A68F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D0E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FAC4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3D02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7.66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6A7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7.66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3731B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E5E1C8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53228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E227F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4AB50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92DB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A5D9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7DA5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84A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0.80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4357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0.80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765B5E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592B4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2E67D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05A90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FA21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D617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CFF4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C3201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1207F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220.17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89F6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220.17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D4AB6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811FC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7F37D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44ED5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8BCA9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BB54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90EB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6E9F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农业农村</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2243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3D96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2E547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CC3F9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051D75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CBD02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B867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66EE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8F90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DB62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9C8F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167.19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FB9A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167.19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40A2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61831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1EB53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EFA7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440A2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0DD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D00B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58C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事业运行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CEA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11.30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C081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11.30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C27F3B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5950C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0D876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46F4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E0FE4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0BD1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CB9E3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50BB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55B3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A0B4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30681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5C62D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E4E557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EEEF5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6A7CF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157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31FF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92E5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1B4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33EF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C3666E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0DCA4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A6678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586A5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09A64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88C8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4EB8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0690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E8852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1657F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AA12E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83DE1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5907F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E3D67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5E69A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DF31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F796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AB09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3D13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F7E9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A3E9A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D860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5A5DD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33108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DF9CF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9F4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08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A84B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2210201</w:t>
            </w:r>
          </w:p>
        </w:tc>
        <w:tc>
          <w:tcPr>
            <w:tcW w:w="37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ABCC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住房公积金</w:t>
            </w:r>
          </w:p>
        </w:tc>
        <w:tc>
          <w:tcPr>
            <w:tcW w:w="147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3A8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47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AA11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4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E5BEC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26E4E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05341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82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7447D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0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6E2EC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3EF7998F">
      <w:pPr>
        <w:ind w:firstLine="566" w:firstLineChars="236"/>
        <w:rPr>
          <w:rFonts w:ascii="仿宋" w:hAnsi="仿宋" w:eastAsia="仿宋"/>
          <w:w w:val="100"/>
          <w:sz w:val="24"/>
          <w:szCs w:val="24"/>
        </w:rPr>
      </w:pPr>
      <w:r>
        <w:rPr>
          <w:rFonts w:ascii="仿宋" w:hAnsi="仿宋" w:eastAsia="仿宋"/>
          <w:w w:val="100"/>
          <w:sz w:val="24"/>
          <w:szCs w:val="24"/>
        </w:rPr>
        <w:t>注：本表反映部门本年度取得的各项收入情况。</w:t>
      </w:r>
    </w:p>
    <w:p w14:paraId="1E0CB087">
      <w:pPr>
        <w:widowControl/>
        <w:jc w:val="left"/>
        <w:rPr>
          <w:rFonts w:ascii="仿宋" w:hAnsi="仿宋" w:eastAsia="仿宋"/>
          <w:w w:val="100"/>
          <w:sz w:val="30"/>
          <w:szCs w:val="30"/>
        </w:rPr>
      </w:pPr>
      <w:r>
        <w:rPr>
          <w:rFonts w:ascii="仿宋" w:hAnsi="仿宋" w:eastAsia="仿宋"/>
          <w:w w:val="100"/>
          <w:sz w:val="30"/>
          <w:szCs w:val="30"/>
        </w:rPr>
        <w:br w:type="page"/>
      </w:r>
    </w:p>
    <w:p w14:paraId="6A3AC2FB">
      <w:pPr>
        <w:ind w:firstLine="849" w:firstLineChars="236"/>
        <w:jc w:val="right"/>
        <w:rPr>
          <w:rFonts w:ascii="仿宋" w:hAnsi="仿宋" w:eastAsia="仿宋"/>
          <w:w w:val="100"/>
          <w:sz w:val="30"/>
          <w:szCs w:val="30"/>
        </w:rPr>
      </w:pPr>
      <w:r>
        <w:rPr>
          <w:rFonts w:hint="eastAsia" w:cs="黑体"/>
          <w:w w:val="100"/>
          <w:sz w:val="36"/>
          <w:szCs w:val="36"/>
        </w:rPr>
        <w:t xml:space="preserve">支出决算表                      </w:t>
      </w:r>
      <w:r>
        <w:rPr>
          <w:rFonts w:ascii="仿宋" w:hAnsi="仿宋" w:eastAsia="仿宋"/>
          <w:w w:val="100"/>
          <w:sz w:val="30"/>
          <w:szCs w:val="30"/>
        </w:rPr>
        <w:t>（公开03表）</w:t>
      </w:r>
    </w:p>
    <w:p w14:paraId="0F494D4C">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174"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9"/>
        <w:gridCol w:w="3900"/>
        <w:gridCol w:w="1624"/>
        <w:gridCol w:w="1225"/>
        <w:gridCol w:w="1159"/>
        <w:gridCol w:w="1624"/>
        <w:gridCol w:w="1160"/>
        <w:gridCol w:w="2323"/>
      </w:tblGrid>
      <w:tr w14:paraId="717EE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39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E593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3DE06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本年支出合计</w:t>
            </w:r>
          </w:p>
        </w:tc>
        <w:tc>
          <w:tcPr>
            <w:tcW w:w="122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449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基本支出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9C7AC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105E9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上缴上级支出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155E7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经营支出</w:t>
            </w:r>
          </w:p>
        </w:tc>
        <w:tc>
          <w:tcPr>
            <w:tcW w:w="232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AB7A6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对附属单位补助支出</w:t>
            </w:r>
          </w:p>
        </w:tc>
      </w:tr>
      <w:tr w14:paraId="0905F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922F2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3900"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F1C5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95C9A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C6FED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BFFED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BA609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07EB8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E2460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14822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BEDDC3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900"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D2A03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5280C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2E0631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9E7CCD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5FA67D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A801D3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83EC1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F74C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83D40D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900"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2731B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5BD06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8B444A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5A9A6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387B46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E07B9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AA3FC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179E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9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09FA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BE169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122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B6F8B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20D1F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4A4853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F5C9C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232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6E2D2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r>
      <w:tr w14:paraId="01ABD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rPr>
        <w:tc>
          <w:tcPr>
            <w:tcW w:w="39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1A81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4819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288.66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5D40A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246.98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90E9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5A496D">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A85F82">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7B87C0">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20432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D1816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FFA5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D9CBC7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578C3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A142A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7B839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2818A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37DF41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CCD5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1D53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20199</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15AD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FC100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B14F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6E5EB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A1882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1A9EF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C1B80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2A6F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0A39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2019999</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436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57112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8F166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69E81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B024E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89E5D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4B4FB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36B1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1B76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71907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7A4931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38978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F6ED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1A10E4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E85A40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9F98C0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04B6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907E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D12C6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D8E6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B5F4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534C4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FB231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712C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8E309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2F8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7085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2080505</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200E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51801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18.94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20A0A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18.94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7BC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B8C6C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C9B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F39F4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37B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E4C6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2080599</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B250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9724A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19.10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A115B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19.10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79974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4BD1D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2309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0C55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163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12E4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B9B7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C7AA7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655C5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9014B9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07F05F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B07B1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7AF4F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2912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AE82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827A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BEF0E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6C2B3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B77CC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63FFD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FC706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BB3E2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FCF7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E136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2101101</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A1E7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B8582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7.66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F824A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7.66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542B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9609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BDBC2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A39B6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A504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95E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2101199</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E4E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93E0D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0.80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BEA6F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0.80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580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CB5CA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F50E1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F7A58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F45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C007E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E9654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213755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220.17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7AFEA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ED32F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C5DB4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EBFC1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74743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8FC5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3885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1D85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农业农村</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F79CC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C1BAA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B42A9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7E187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84A1C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DA401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378D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B1E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2130101</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C95D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D309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167.19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44F19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167.19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402A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52E7B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F788B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60685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A88B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9BD0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2130104</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AF7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事业运行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F1303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11.30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39B7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11.30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9A765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1815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FC946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1030B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336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352A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21399</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6BD5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0674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FF4BE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B09FE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CC09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D5A6B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8B604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5EC1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A330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2139999</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76C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08E0F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9F959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00025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9C3D4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F167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FC94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1EA6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3C10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w:t>
            </w:r>
          </w:p>
        </w:tc>
        <w:tc>
          <w:tcPr>
            <w:tcW w:w="39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9254D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3E8B8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5818FF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6FA2F3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3B9D09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998DC6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1270B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E316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0B1B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22102</w:t>
            </w:r>
          </w:p>
        </w:tc>
        <w:tc>
          <w:tcPr>
            <w:tcW w:w="39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AE86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AE959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1B3B1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F51CB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17266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1C192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6083E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03D2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1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2B1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2210201</w:t>
            </w:r>
          </w:p>
        </w:tc>
        <w:tc>
          <w:tcPr>
            <w:tcW w:w="39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0BD6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住房公积金</w:t>
            </w:r>
          </w:p>
        </w:tc>
        <w:tc>
          <w:tcPr>
            <w:tcW w:w="162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97A38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2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9886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1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2750D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62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5E030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2A077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5EFD3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206CCFC4">
      <w:pPr>
        <w:ind w:firstLine="566" w:firstLineChars="236"/>
        <w:rPr>
          <w:rFonts w:ascii="仿宋" w:hAnsi="仿宋" w:eastAsia="仿宋"/>
          <w:w w:val="100"/>
          <w:sz w:val="24"/>
          <w:szCs w:val="24"/>
        </w:rPr>
      </w:pPr>
      <w:r>
        <w:rPr>
          <w:rFonts w:ascii="仿宋" w:hAnsi="仿宋" w:eastAsia="仿宋"/>
          <w:w w:val="100"/>
          <w:sz w:val="24"/>
          <w:szCs w:val="24"/>
        </w:rPr>
        <w:t>注：本表反映部门本年度各项支出情况。</w:t>
      </w:r>
    </w:p>
    <w:p w14:paraId="6E273E19">
      <w:pPr>
        <w:widowControl/>
        <w:jc w:val="left"/>
        <w:rPr>
          <w:rFonts w:ascii="仿宋" w:hAnsi="仿宋" w:eastAsia="仿宋"/>
          <w:w w:val="100"/>
          <w:sz w:val="30"/>
          <w:szCs w:val="30"/>
        </w:rPr>
      </w:pPr>
      <w:r>
        <w:rPr>
          <w:rFonts w:ascii="仿宋" w:hAnsi="仿宋" w:eastAsia="仿宋"/>
          <w:w w:val="100"/>
          <w:sz w:val="30"/>
          <w:szCs w:val="30"/>
        </w:rPr>
        <w:br w:type="page"/>
      </w:r>
    </w:p>
    <w:p w14:paraId="3FC3977F">
      <w:pPr>
        <w:ind w:firstLine="849" w:firstLineChars="236"/>
        <w:jc w:val="right"/>
        <w:rPr>
          <w:rFonts w:ascii="仿宋" w:hAnsi="仿宋" w:eastAsia="仿宋"/>
          <w:w w:val="100"/>
          <w:sz w:val="30"/>
          <w:szCs w:val="30"/>
        </w:rPr>
      </w:pPr>
      <w:r>
        <w:rPr>
          <w:rFonts w:hint="eastAsia" w:cs="黑体"/>
          <w:w w:val="100"/>
          <w:sz w:val="36"/>
          <w:szCs w:val="36"/>
        </w:rPr>
        <w:t xml:space="preserve">财政拨款收入支出决算总表               </w:t>
      </w:r>
      <w:r>
        <w:rPr>
          <w:rFonts w:ascii="仿宋" w:hAnsi="仿宋" w:eastAsia="仿宋"/>
          <w:w w:val="100"/>
          <w:sz w:val="30"/>
          <w:szCs w:val="30"/>
        </w:rPr>
        <w:t>（公开04表）</w:t>
      </w:r>
    </w:p>
    <w:p w14:paraId="0EF6A854">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7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532"/>
        <w:gridCol w:w="1111"/>
        <w:gridCol w:w="3216"/>
        <w:gridCol w:w="676"/>
        <w:gridCol w:w="1111"/>
        <w:gridCol w:w="1559"/>
        <w:gridCol w:w="1606"/>
        <w:gridCol w:w="1716"/>
      </w:tblGrid>
      <w:tr w14:paraId="3615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111"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0E00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收入</w:t>
            </w:r>
          </w:p>
        </w:tc>
        <w:tc>
          <w:tcPr>
            <w:tcW w:w="1559"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135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支出</w:t>
            </w:r>
          </w:p>
        </w:tc>
      </w:tr>
      <w:tr w14:paraId="133A1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C5DC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87EE6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行次</w:t>
            </w:r>
          </w:p>
        </w:tc>
        <w:tc>
          <w:tcPr>
            <w:tcW w:w="111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98595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金额</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D77C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AAA2C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行次</w:t>
            </w:r>
          </w:p>
        </w:tc>
        <w:tc>
          <w:tcPr>
            <w:tcW w:w="1111"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749A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合计</w:t>
            </w:r>
          </w:p>
        </w:tc>
        <w:tc>
          <w:tcPr>
            <w:tcW w:w="15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DFE58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一般公共预算财政拨款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CC1D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政府性基金预算财政拨款</w:t>
            </w:r>
          </w:p>
        </w:tc>
        <w:tc>
          <w:tcPr>
            <w:tcW w:w="17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2D89A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国有资本经营预算财政拨款</w:t>
            </w:r>
          </w:p>
        </w:tc>
      </w:tr>
      <w:tr w14:paraId="50855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AE945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6BC59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1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B605A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6BCD1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30BD4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11"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031B89">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5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96A12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E14AF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D28ED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0FC17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A892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0247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E95F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6EF1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4A14F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B75B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155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C083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B28B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17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A2ED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r>
      <w:tr w14:paraId="74F4F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2657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F3BD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03CE3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288.66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8EAA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4936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33</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6065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988E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18EEB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9CB37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685E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DD6E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A153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4700A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C153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3BC9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34</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CEC27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13C99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53507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24D0F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1376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BC14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EAB5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F35A1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0F27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3CDF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35</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2980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EB72D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A7977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15706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1E00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06F75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E2C6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A3779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6BA2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DB33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36</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1BD5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C0C6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CBE96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730C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380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477D0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0AED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2A05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635C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9D75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37</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C47D1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A1B65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0303D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37008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39C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835D1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9122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F763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3F0E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BFCF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38</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341B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2809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60730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A976E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F852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DDA31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46C4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7</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E9A47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AB6F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63EE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8ED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9B43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47B92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64397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DCC8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C9B09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E32D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8</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6814C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0DBD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FA16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40</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6626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0A41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6B8D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C7404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30FA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310CB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65FF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9</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A4175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DAE7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DD41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41</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1EC89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281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B85EC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E2DDE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25B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33823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DE02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10</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02FE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F851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D14E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42</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FC6C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86CC0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2FC12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8C02B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12CC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B1CFC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A9A4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11</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9BAF1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4CDC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22FD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43</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F359B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26F85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3CB5D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9E4B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664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D6043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C92B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12</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90274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E539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A34D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44</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8117E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220.17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5C6A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220.17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6F40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AAA53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436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7AD49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E979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13</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D5007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E0C0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B1F2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45</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AD4C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B555E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384E1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2283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EF69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150A9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218A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14</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CE694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1F93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F48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46</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962B6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A8944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5AF8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84400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1A4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662F0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E589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15</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C558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681A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4701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47</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644D1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76E9E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293F6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41A1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3595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0B515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1CD0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16</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F5037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B954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60D6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48</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781D7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F6380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81CAA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AB4A5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0268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ABF18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4CC0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17</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93F4B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3CB0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C420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49</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02803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696D9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D4DF8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27142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55CA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50F4E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B803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18</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61D7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8C87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5972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50</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B149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DD9D9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D9A75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46B6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751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563D7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8081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19</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97A73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8311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15AA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51</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4FEEF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52FA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A66D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64E2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CDBD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3B224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D359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71F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00D0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2102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52</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4B470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CC68B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C9D5E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C9F74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5090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F9FC0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5633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E268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9400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B76B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53</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BB982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07AC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EB609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66AE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A4B7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FD7EF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AA6A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B0A7D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4018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C93C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54</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9F7FF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AB0B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15AA2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72489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8C2A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B893E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90EA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23</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B9477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65AF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095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55</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EF737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0BEA8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0B049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38743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B5F2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A5552A">
            <w:pPr>
              <w:snapToGrid w:val="0"/>
              <w:ind w:left="0" w:leftChars="0" w:right="0" w:rightChars="0" w:firstLine="0" w:firstLineChars="0"/>
              <w:jc w:val="center"/>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69D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24</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51BC7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8ACE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9D2F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56</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D36CC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9ED2F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12938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997F4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3666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DAE84B">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395D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25</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36BA9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BAB6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0BD3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57</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751F1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D3E24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F6C4F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38E7C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6F23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5B1A85">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5929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26</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2B8D9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D46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EEB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58</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CF5B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4EA0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15EA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AEB32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C91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B0CD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F102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27</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022ED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904C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61C4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59</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78D6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871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40A1F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0E0CE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5092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11F4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F550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28</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EB78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7653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F819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60</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10C45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0.00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890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B636D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BED6F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F91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F520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3C3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29</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4064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277DF5">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826C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61</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230B6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28416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6C350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70C49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265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9B27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E9F3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430C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45F9C1">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0A76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62</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39EB2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8D8AA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EB43F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FD2D0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79E9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18C5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75A4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DC655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B7680E">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A371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63</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CC0B0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72EFB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99B53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E85BD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C63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C10E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总计</w:t>
            </w:r>
          </w:p>
        </w:tc>
        <w:tc>
          <w:tcPr>
            <w:tcW w:w="53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7B82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32</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4153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ED0A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总计</w:t>
            </w:r>
          </w:p>
        </w:tc>
        <w:tc>
          <w:tcPr>
            <w:tcW w:w="67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8214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64</w:t>
            </w:r>
          </w:p>
        </w:tc>
        <w:tc>
          <w:tcPr>
            <w:tcW w:w="111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B6697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155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D2DF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288.66 </w:t>
            </w:r>
          </w:p>
        </w:tc>
        <w:tc>
          <w:tcPr>
            <w:tcW w:w="160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72E7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6A60A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bl>
    <w:p w14:paraId="52CDE983">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注：本表反映部门本年度一般公共预算财政拨款、政府性基金预算财政拨款和国有资本经营预算财政拨款的总收支和年末结转结余情况。</w:t>
      </w:r>
    </w:p>
    <w:p w14:paraId="5FB44977">
      <w:pPr>
        <w:widowControl/>
        <w:jc w:val="left"/>
        <w:rPr>
          <w:rFonts w:ascii="仿宋" w:hAnsi="仿宋" w:eastAsia="仿宋"/>
          <w:w w:val="100"/>
          <w:sz w:val="30"/>
          <w:szCs w:val="30"/>
        </w:rPr>
      </w:pPr>
      <w:r>
        <w:rPr>
          <w:rFonts w:ascii="仿宋" w:hAnsi="仿宋" w:eastAsia="仿宋"/>
          <w:w w:val="100"/>
          <w:sz w:val="30"/>
          <w:szCs w:val="30"/>
        </w:rPr>
        <w:br w:type="page"/>
      </w:r>
    </w:p>
    <w:p w14:paraId="4721ACE3">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一般公共预算财政拨款支出决算表 </w:t>
      </w:r>
      <w:r>
        <w:rPr>
          <w:rFonts w:hint="eastAsia" w:ascii="仿宋" w:hAnsi="仿宋" w:eastAsia="仿宋"/>
          <w:w w:val="100"/>
          <w:sz w:val="30"/>
          <w:szCs w:val="30"/>
        </w:rPr>
        <w:t xml:space="preserve">          </w:t>
      </w:r>
      <w:r>
        <w:rPr>
          <w:rFonts w:ascii="仿宋" w:hAnsi="仿宋" w:eastAsia="仿宋"/>
          <w:w w:val="100"/>
          <w:sz w:val="30"/>
          <w:szCs w:val="30"/>
        </w:rPr>
        <w:t>（公开05表）</w:t>
      </w:r>
    </w:p>
    <w:p w14:paraId="00F954C1">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58"/>
        <w:gridCol w:w="6700"/>
        <w:gridCol w:w="1579"/>
        <w:gridCol w:w="1961"/>
        <w:gridCol w:w="1970"/>
      </w:tblGrid>
      <w:tr w14:paraId="1D149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6230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551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7FC2AE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本年支出</w:t>
            </w:r>
          </w:p>
        </w:tc>
      </w:tr>
      <w:tr w14:paraId="01FA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D0A15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38A0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7E55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小计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C005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基本支出</w:t>
            </w:r>
          </w:p>
        </w:tc>
        <w:tc>
          <w:tcPr>
            <w:tcW w:w="19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8A1F0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项目支出</w:t>
            </w:r>
          </w:p>
        </w:tc>
      </w:tr>
      <w:tr w14:paraId="17E6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80EB1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EB726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3067E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CDF84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C9C057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F661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D855F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B2D7F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5F0CA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58EF1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72A7E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54DF8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FDDB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4D3C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8E09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19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CC90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r>
      <w:tr w14:paraId="20329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E49D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830B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288.66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46A6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246.98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6B96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 xml:space="preserve">41.68 </w:t>
            </w:r>
          </w:p>
        </w:tc>
      </w:tr>
      <w:tr w14:paraId="0D7A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ED24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50C5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4D34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1E5CF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B4938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63C3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1ABD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6E18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489C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89AD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B6E07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1AE0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0A4D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0256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4E45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B1E7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19.56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99C81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2C1C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E8156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5CA42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2C11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90130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D5D72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B93F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F099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FEEB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6578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B42D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38.05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65A53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0E91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A49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55D2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912B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18.94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EEA8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18.94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B7ADC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A87E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BC2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2080599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B04A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C8C1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19.10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8AB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19.10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E3F7F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F12F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3E4F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1FFF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625C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29576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3594BD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8FFC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18E9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AFED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11182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59F1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8.46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E529E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B8F3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5830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207A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061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7.66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7CEA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7.66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AE5B3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DA7B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566C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2101199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1D4F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8E2E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0.80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1DE6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0.80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EB34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838E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6294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A3CF6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2C025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220.17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E98A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0C4B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r>
      <w:tr w14:paraId="27359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507F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62B6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农业农村</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B45B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77DB7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178.49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C174D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7CF1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731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06F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A224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167.19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DE93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167.19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F27F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D11B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233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2130104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7411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事业运行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27EA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11.30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4D93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11.30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DB8C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E17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7E6F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82C4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5C48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F1FC4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490D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r>
      <w:tr w14:paraId="2BE26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DDDB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2139999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855D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014E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01CD6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6B55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41.68 </w:t>
            </w:r>
          </w:p>
        </w:tc>
      </w:tr>
      <w:tr w14:paraId="5AD2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7343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EFE52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014FC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88D3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CF474C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B9A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B1C6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B806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D6C1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8DD8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3240E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074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5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D0E0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2210201</w:t>
            </w:r>
          </w:p>
        </w:tc>
        <w:tc>
          <w:tcPr>
            <w:tcW w:w="67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72CE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住房公积金</w:t>
            </w:r>
          </w:p>
        </w:tc>
        <w:tc>
          <w:tcPr>
            <w:tcW w:w="157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9730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96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FB58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2.43 </w:t>
            </w:r>
          </w:p>
        </w:tc>
        <w:tc>
          <w:tcPr>
            <w:tcW w:w="19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8895F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bl>
    <w:p w14:paraId="16D30D08">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注：本表反映部门本年度一般公共预算财政拨款支出情况。</w:t>
      </w:r>
    </w:p>
    <w:p w14:paraId="3F664E50">
      <w:pPr>
        <w:widowControl/>
        <w:jc w:val="left"/>
        <w:rPr>
          <w:rFonts w:ascii="仿宋" w:hAnsi="仿宋" w:eastAsia="仿宋"/>
          <w:w w:val="100"/>
          <w:sz w:val="30"/>
          <w:szCs w:val="30"/>
        </w:rPr>
      </w:pPr>
      <w:r>
        <w:rPr>
          <w:rFonts w:ascii="仿宋" w:hAnsi="仿宋" w:eastAsia="仿宋"/>
          <w:w w:val="100"/>
          <w:sz w:val="30"/>
          <w:szCs w:val="30"/>
        </w:rPr>
        <w:br w:type="page"/>
      </w:r>
    </w:p>
    <w:p w14:paraId="103DBE09">
      <w:pPr>
        <w:ind w:firstLine="849" w:firstLineChars="236"/>
        <w:jc w:val="right"/>
        <w:rPr>
          <w:rFonts w:ascii="仿宋" w:hAnsi="仿宋" w:eastAsia="仿宋"/>
          <w:w w:val="100"/>
          <w:sz w:val="30"/>
          <w:szCs w:val="30"/>
        </w:rPr>
      </w:pPr>
      <w:r>
        <w:rPr>
          <w:rFonts w:hint="eastAsia" w:cs="黑体"/>
          <w:w w:val="100"/>
          <w:sz w:val="36"/>
          <w:szCs w:val="36"/>
        </w:rPr>
        <w:t xml:space="preserve">一般公共预算财政拨款基本支出决算明细表       </w:t>
      </w:r>
      <w:r>
        <w:rPr>
          <w:rFonts w:ascii="仿宋" w:hAnsi="仿宋" w:eastAsia="仿宋"/>
          <w:w w:val="100"/>
          <w:sz w:val="30"/>
          <w:szCs w:val="30"/>
        </w:rPr>
        <w:t>（公开06表）</w:t>
      </w:r>
    </w:p>
    <w:p w14:paraId="58B418B1">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174"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6"/>
        <w:gridCol w:w="3222"/>
        <w:gridCol w:w="1121"/>
        <w:gridCol w:w="906"/>
        <w:gridCol w:w="2196"/>
        <w:gridCol w:w="1109"/>
        <w:gridCol w:w="881"/>
        <w:gridCol w:w="2869"/>
        <w:gridCol w:w="964"/>
      </w:tblGrid>
      <w:tr w14:paraId="689C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5249"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CB8B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人员经费</w:t>
            </w:r>
          </w:p>
        </w:tc>
        <w:tc>
          <w:tcPr>
            <w:tcW w:w="8925"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B8C8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公用经费</w:t>
            </w:r>
          </w:p>
        </w:tc>
      </w:tr>
      <w:tr w14:paraId="707A0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90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A446B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322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7335A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112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6FD5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决算数</w:t>
            </w:r>
          </w:p>
        </w:tc>
        <w:tc>
          <w:tcPr>
            <w:tcW w:w="90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3D1B2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219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53B9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110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423F2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决算数</w:t>
            </w:r>
          </w:p>
        </w:tc>
        <w:tc>
          <w:tcPr>
            <w:tcW w:w="8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5AF2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286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F316C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96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DE047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决算数</w:t>
            </w:r>
          </w:p>
        </w:tc>
      </w:tr>
      <w:tr w14:paraId="78757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90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6D3D2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2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7A990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2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0F0E3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90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1A8AF1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19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3D1D9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10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943E8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6EDA0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86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8D1C4B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96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C6B35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536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62C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FB0F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工资福利支出</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E3B20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214.25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74D4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B243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商品和服务支出</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4859D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13.54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669D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307</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45EB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债务利息及费用支出</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C30CC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CDEA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B90E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C645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基本工资</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DBFBE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91.19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4E84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30201</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E78A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办公费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53134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0.30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3381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30701</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37BC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国内债务付息</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0C4EC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C2E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3A1F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30102</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CF2C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津贴补贴</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3CFE2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31.77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F83F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30202</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B25D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印刷费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73F11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EF27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30702</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33B1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国外债务付息</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22E24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3B6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D9D6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2166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奖金</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6267A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45.14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28AE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30204</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8DF6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手续费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50B38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DE03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AE87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资本性支出</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B8BF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890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0C1F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30106</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596D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伙食补助费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72D60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2.21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5516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30205</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57AD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水费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7A67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8ED2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31001</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FD41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房屋建筑物购建</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2C815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E88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7104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30107</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1D09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绩效工资</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A43F3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F2ED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30206</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8E2C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电费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723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B3E6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31002</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B19F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办公设备购置</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25B0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F22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1F28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30108</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BF93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机关事业单位基本养老保险缴费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42D05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18.94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99BB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30207</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681A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邮电费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62E3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0.02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7772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31003</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3EFA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专用设备购置</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53C2A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2BD9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F8EF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9D93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职业年金缴费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4CB66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1F54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30208</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44F9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取暖费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DFAD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B300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31005</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6985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基础设施建设</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25C0A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7C3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E65C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30110</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FE41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职工基本医疗保险缴费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79FF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7.66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3C14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30209</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C64D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物业管理费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CAD08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63CE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31006</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1954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大型修缮</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14830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4AF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3C4E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1CDE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公务员医疗补助缴费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FD95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8CDF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30211</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68AC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差旅费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B5E00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1.72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2347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31007</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3597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信息网络及软件购置更新</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14BE8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1403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2C05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30112</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6DF3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其他社会保障缴费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5FA1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0.08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DC18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30212</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EB60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因公出国（境）费用</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838D5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F0E4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31008</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5E90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物资储备</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4C248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81A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5DDA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93C2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住房公积金</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77885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17.26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7120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30213</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CC6B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维修（护）费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71B2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0.05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AAD6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31009</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2D2E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土地补偿</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DAAED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025D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5008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30114</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A8F6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医疗费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EFB86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CB10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30214</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D6F1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租赁费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C148C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B0E0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31010</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2661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安置补助</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F4EBD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002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ED2C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30199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090C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其他工资福利支出</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C27D3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441A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30215</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67E9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会议费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F52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4752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31011</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B67E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地上附着物和青苗补偿</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F259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60FC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D229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AACF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对个人和家庭的补助</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A3DBA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19.19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7521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30216</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3052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培训费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A41B3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1.79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1713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31012</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5BEA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拆迁补偿</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0FDE7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EF6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7605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E078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离休费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B0272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E253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30217</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27B0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公务接待费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5B10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0.55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E34F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31013</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AC77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7D53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1F2A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5F12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30302</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5DCE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退休费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A088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11E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30218</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1856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专用材料费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9009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A833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31019</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859A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其他交通工具购置</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08508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F1E9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45B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30303</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B7A4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退职（役）费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7985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D8C7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30224</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DF74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被装购置费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E1D4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907E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31021</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A36E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文物和陈列品购置</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76840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480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DF7E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30304</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61EB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抚恤金</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33527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0.70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79C9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30225</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BF71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专用燃料费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60563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8B8E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31022</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D098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无形资产购置</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8236B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D676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BD24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30305</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658B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生活补助</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5ADA9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17.65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5EDC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30226</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E7CB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劳务费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682D5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0.03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4237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31099</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B10D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其他资本性支出</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2264B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80A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C18F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30306</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5F44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救济费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97FCD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6E57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30227</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B129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委托业务费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38181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4742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BE3D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其他支出</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8C9BB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706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A9FA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30307</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A645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医疗费补助</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1ECA1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0.60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B58A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30228</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892E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工会经费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733B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7.00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B63D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39907</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E15E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国家赔偿费用支出</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6CD9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049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3F23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30308</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D79E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助学金</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B980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E2A8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30229</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88C1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福利费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8E0B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1.81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61AA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39908</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FFD8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对民间非营利组织和群众性自治组织补贴</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6E90D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5DCE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0103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D2C5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奖励金</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E72F7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29B5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30231</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9A98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公务用车运行维护费</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8A0E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C2BD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39909</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5A40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经常性赠与</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518B7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50EE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4BDA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30310</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DDB9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个人农业生产补贴</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240A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0EBF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30239</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39EF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其他交通费用</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F314A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0.08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D3AC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39910</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775F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资本性赠与</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73CE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BB1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8170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30311</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31E9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代缴社会保险费</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27DC5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FE68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30240</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FC80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税金及附加费用</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92A61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478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39999</w:t>
            </w: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DD98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其他支出</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7885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565A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8F17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30399</w:t>
            </w:r>
          </w:p>
        </w:tc>
        <w:tc>
          <w:tcPr>
            <w:tcW w:w="322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A124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其他对个人和家庭的补助</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9BD17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0.24 </w:t>
            </w:r>
          </w:p>
        </w:tc>
        <w:tc>
          <w:tcPr>
            <w:tcW w:w="9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955D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30299</w:t>
            </w:r>
          </w:p>
        </w:tc>
        <w:tc>
          <w:tcPr>
            <w:tcW w:w="21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4D6D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其他商品和服务支出</w:t>
            </w:r>
          </w:p>
        </w:tc>
        <w:tc>
          <w:tcPr>
            <w:tcW w:w="110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73F0C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0.20 </w:t>
            </w:r>
          </w:p>
        </w:tc>
        <w:tc>
          <w:tcPr>
            <w:tcW w:w="8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764EB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286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B6C5C5">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6EF4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6DB2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128"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2E0E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人员经费合计</w:t>
            </w:r>
          </w:p>
        </w:tc>
        <w:tc>
          <w:tcPr>
            <w:tcW w:w="11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67D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233.43 </w:t>
            </w:r>
          </w:p>
        </w:tc>
        <w:tc>
          <w:tcPr>
            <w:tcW w:w="7961" w:type="dxa"/>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318C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公用经费合计</w:t>
            </w:r>
          </w:p>
        </w:tc>
        <w:tc>
          <w:tcPr>
            <w:tcW w:w="96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C63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 xml:space="preserve">13.54 </w:t>
            </w:r>
          </w:p>
        </w:tc>
      </w:tr>
    </w:tbl>
    <w:p w14:paraId="39BF0E5E">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注：本表反映部门本年度一般公共预算财政拨款基本支出明细情况。</w:t>
      </w:r>
    </w:p>
    <w:p w14:paraId="0EF22DBC">
      <w:pPr>
        <w:widowControl/>
        <w:jc w:val="left"/>
        <w:rPr>
          <w:rFonts w:ascii="仿宋" w:hAnsi="仿宋" w:eastAsia="仿宋"/>
          <w:w w:val="100"/>
          <w:sz w:val="30"/>
          <w:szCs w:val="30"/>
        </w:rPr>
      </w:pPr>
      <w:r>
        <w:rPr>
          <w:rFonts w:ascii="仿宋" w:hAnsi="仿宋" w:eastAsia="仿宋"/>
          <w:w w:val="100"/>
          <w:sz w:val="30"/>
          <w:szCs w:val="30"/>
        </w:rPr>
        <w:br w:type="page"/>
      </w:r>
    </w:p>
    <w:p w14:paraId="41661FC4">
      <w:pPr>
        <w:ind w:firstLine="849" w:firstLineChars="236"/>
        <w:jc w:val="right"/>
        <w:rPr>
          <w:rFonts w:ascii="仿宋" w:hAnsi="仿宋" w:eastAsia="仿宋"/>
          <w:w w:val="100"/>
          <w:sz w:val="30"/>
          <w:szCs w:val="30"/>
        </w:rPr>
      </w:pPr>
      <w:r>
        <w:rPr>
          <w:rFonts w:hint="eastAsia" w:cs="黑体"/>
          <w:w w:val="100"/>
          <w:sz w:val="36"/>
          <w:szCs w:val="36"/>
        </w:rPr>
        <w:t xml:space="preserve">政府性基金预算财政拨款收入支出决算表         </w:t>
      </w:r>
      <w:r>
        <w:rPr>
          <w:rFonts w:ascii="仿宋" w:hAnsi="仿宋" w:eastAsia="仿宋"/>
          <w:w w:val="100"/>
          <w:sz w:val="30"/>
          <w:szCs w:val="30"/>
        </w:rPr>
        <w:t>（公开07表）</w:t>
      </w:r>
    </w:p>
    <w:p w14:paraId="3769641C">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100" w:type="dxa"/>
        <w:tblInd w:w="3" w:type="dxa"/>
        <w:tblLayout w:type="fixed"/>
        <w:tblCellMar>
          <w:top w:w="56" w:type="dxa"/>
          <w:left w:w="96" w:type="dxa"/>
          <w:bottom w:w="56" w:type="dxa"/>
          <w:right w:w="96" w:type="dxa"/>
        </w:tblCellMar>
      </w:tblPr>
      <w:tblGrid>
        <w:gridCol w:w="1602"/>
        <w:gridCol w:w="1598"/>
        <w:gridCol w:w="2577"/>
        <w:gridCol w:w="1595"/>
        <w:gridCol w:w="943"/>
        <w:gridCol w:w="1602"/>
        <w:gridCol w:w="1605"/>
        <w:gridCol w:w="2578"/>
      </w:tblGrid>
      <w:tr w14:paraId="29E35BEA">
        <w:tblPrEx>
          <w:tblCellMar>
            <w:top w:w="56" w:type="dxa"/>
            <w:left w:w="96" w:type="dxa"/>
            <w:bottom w:w="56" w:type="dxa"/>
            <w:right w:w="96" w:type="dxa"/>
          </w:tblCellMar>
        </w:tblPrEx>
        <w:trPr>
          <w:tblHeader/>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F604F9">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25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700DA61">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年初结转和结余</w:t>
            </w:r>
          </w:p>
        </w:tc>
        <w:tc>
          <w:tcPr>
            <w:tcW w:w="15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32F7D70">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本年收入</w:t>
            </w:r>
          </w:p>
        </w:tc>
        <w:tc>
          <w:tcPr>
            <w:tcW w:w="415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6D15B84F">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c>
          <w:tcPr>
            <w:tcW w:w="257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46531B2">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年末结转和结余</w:t>
            </w:r>
          </w:p>
        </w:tc>
      </w:tr>
      <w:tr w14:paraId="208E1B0B">
        <w:tblPrEx>
          <w:tblCellMar>
            <w:top w:w="56" w:type="dxa"/>
            <w:left w:w="96" w:type="dxa"/>
            <w:bottom w:w="56" w:type="dxa"/>
            <w:right w:w="96" w:type="dxa"/>
          </w:tblCellMar>
        </w:tblPrEx>
        <w:trPr>
          <w:trHeight w:val="312" w:hRule="atLeast"/>
          <w:tblHeader/>
        </w:trPr>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2C50FD">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159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CE724F">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AF2BE8">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F0812C6">
            <w:pPr>
              <w:snapToGrid w:val="0"/>
              <w:jc w:val="center"/>
              <w:rPr>
                <w:rFonts w:ascii="宋体" w:hAnsi="宋体" w:eastAsia="宋体" w:cs="宋体"/>
                <w:b/>
                <w:color w:val="000000"/>
                <w:w w:val="100"/>
                <w:sz w:val="22"/>
              </w:rPr>
            </w:pPr>
          </w:p>
        </w:tc>
        <w:tc>
          <w:tcPr>
            <w:tcW w:w="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FB49A0E">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小计</w:t>
            </w:r>
          </w:p>
        </w:tc>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F32C4F9">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16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1093C50">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A9820B">
            <w:pPr>
              <w:snapToGrid w:val="0"/>
              <w:jc w:val="center"/>
              <w:rPr>
                <w:rFonts w:ascii="宋体" w:hAnsi="宋体" w:eastAsia="宋体" w:cs="宋体"/>
                <w:b/>
                <w:color w:val="000000"/>
                <w:w w:val="100"/>
                <w:sz w:val="22"/>
              </w:rPr>
            </w:pPr>
          </w:p>
        </w:tc>
      </w:tr>
      <w:tr w14:paraId="0AA9B6FB">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160150">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D4F3BC">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0D5F574">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D2C95D">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1CFC805">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600D32">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1A17EF">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ED73C7F">
            <w:pPr>
              <w:snapToGrid w:val="0"/>
              <w:jc w:val="center"/>
              <w:rPr>
                <w:rFonts w:ascii="宋体" w:hAnsi="宋体" w:eastAsia="宋体" w:cs="宋体"/>
                <w:b/>
                <w:color w:val="000000"/>
                <w:w w:val="100"/>
                <w:sz w:val="22"/>
              </w:rPr>
            </w:pPr>
          </w:p>
        </w:tc>
      </w:tr>
      <w:tr w14:paraId="33ECCD2C">
        <w:tblPrEx>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91001E">
            <w:pPr>
              <w:snapToGrid w:val="0"/>
              <w:jc w:val="center"/>
              <w:rPr>
                <w:rFonts w:ascii="宋体" w:hAnsi="宋体" w:eastAsia="宋体" w:cs="宋体"/>
                <w:b/>
                <w:color w:val="000000"/>
                <w:w w:val="100"/>
                <w:sz w:val="22"/>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09630E">
            <w:pPr>
              <w:snapToGrid w:val="0"/>
              <w:jc w:val="center"/>
              <w:rPr>
                <w:rFonts w:ascii="宋体" w:hAnsi="宋体" w:eastAsia="宋体" w:cs="宋体"/>
                <w:b/>
                <w:color w:val="000000"/>
                <w:w w:val="100"/>
                <w:sz w:val="22"/>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4AB1871">
            <w:pPr>
              <w:snapToGrid w:val="0"/>
              <w:jc w:val="center"/>
              <w:rPr>
                <w:rFonts w:ascii="宋体" w:hAnsi="宋体" w:eastAsia="宋体" w:cs="宋体"/>
                <w:b/>
                <w:color w:val="000000"/>
                <w:w w:val="100"/>
                <w:sz w:val="22"/>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737B8F">
            <w:pPr>
              <w:snapToGrid w:val="0"/>
              <w:jc w:val="center"/>
              <w:rPr>
                <w:rFonts w:ascii="宋体" w:hAnsi="宋体" w:eastAsia="宋体" w:cs="宋体"/>
                <w:b/>
                <w:color w:val="000000"/>
                <w:w w:val="100"/>
                <w:sz w:val="22"/>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EDE0F0">
            <w:pPr>
              <w:snapToGrid w:val="0"/>
              <w:jc w:val="center"/>
              <w:rPr>
                <w:rFonts w:ascii="宋体" w:hAnsi="宋体" w:eastAsia="宋体" w:cs="宋体"/>
                <w:b/>
                <w:color w:val="000000"/>
                <w:w w:val="100"/>
                <w:sz w:val="22"/>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FC7E10">
            <w:pPr>
              <w:snapToGrid w:val="0"/>
              <w:jc w:val="center"/>
              <w:rPr>
                <w:rFonts w:ascii="宋体" w:hAnsi="宋体" w:eastAsia="宋体" w:cs="宋体"/>
                <w:b/>
                <w:color w:val="000000"/>
                <w:w w:val="100"/>
                <w:sz w:val="22"/>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BAB9C9">
            <w:pPr>
              <w:snapToGrid w:val="0"/>
              <w:jc w:val="center"/>
              <w:rPr>
                <w:rFonts w:ascii="宋体" w:hAnsi="宋体" w:eastAsia="宋体" w:cs="宋体"/>
                <w:b/>
                <w:color w:val="000000"/>
                <w:w w:val="100"/>
                <w:sz w:val="22"/>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CD549E">
            <w:pPr>
              <w:snapToGrid w:val="0"/>
              <w:jc w:val="center"/>
              <w:rPr>
                <w:rFonts w:ascii="宋体" w:hAnsi="宋体" w:eastAsia="宋体" w:cs="宋体"/>
                <w:b/>
                <w:color w:val="000000"/>
                <w:w w:val="100"/>
                <w:sz w:val="22"/>
              </w:rPr>
            </w:pPr>
          </w:p>
        </w:tc>
      </w:tr>
      <w:tr w14:paraId="65E2BC00">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09A14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257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4AE99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159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DE32C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94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7DF3E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c>
          <w:tcPr>
            <w:tcW w:w="16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4F6297">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4</w:t>
            </w:r>
          </w:p>
        </w:tc>
        <w:tc>
          <w:tcPr>
            <w:tcW w:w="160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651ABE">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5</w:t>
            </w:r>
          </w:p>
        </w:tc>
        <w:tc>
          <w:tcPr>
            <w:tcW w:w="25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B886FE">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6</w:t>
            </w:r>
          </w:p>
        </w:tc>
      </w:tr>
      <w:tr w14:paraId="1EB6858E">
        <w:tblPrEx>
          <w:tblCellMar>
            <w:top w:w="56" w:type="dxa"/>
            <w:left w:w="96" w:type="dxa"/>
            <w:bottom w:w="56" w:type="dxa"/>
            <w:right w:w="96" w:type="dxa"/>
          </w:tblCellMar>
        </w:tblPrEx>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359921">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257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5B5ECE">
            <w:pPr>
              <w:snapToGrid w:val="0"/>
              <w:jc w:val="center"/>
              <w:rPr>
                <w:rFonts w:ascii="宋体" w:hAnsi="宋体" w:eastAsia="宋体" w:cs="宋体"/>
                <w:b/>
                <w:bCs/>
                <w:color w:val="000000"/>
                <w:w w:val="100"/>
                <w:sz w:val="22"/>
              </w:rPr>
            </w:pPr>
          </w:p>
        </w:tc>
        <w:tc>
          <w:tcPr>
            <w:tcW w:w="159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DDB086">
            <w:pPr>
              <w:snapToGrid w:val="0"/>
              <w:jc w:val="center"/>
              <w:rPr>
                <w:rFonts w:ascii="宋体" w:hAnsi="宋体" w:eastAsia="宋体" w:cs="宋体"/>
                <w:b/>
                <w:bCs/>
                <w:color w:val="000000"/>
                <w:w w:val="100"/>
                <w:sz w:val="22"/>
              </w:rPr>
            </w:pPr>
          </w:p>
        </w:tc>
        <w:tc>
          <w:tcPr>
            <w:tcW w:w="94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F2D9D5">
            <w:pPr>
              <w:snapToGrid w:val="0"/>
              <w:jc w:val="center"/>
              <w:rPr>
                <w:rFonts w:ascii="宋体" w:hAnsi="宋体" w:eastAsia="宋体" w:cs="宋体"/>
                <w:b/>
                <w:bCs/>
                <w:color w:val="000000"/>
                <w:w w:val="100"/>
                <w:sz w:val="22"/>
              </w:rPr>
            </w:pPr>
          </w:p>
        </w:tc>
        <w:tc>
          <w:tcPr>
            <w:tcW w:w="160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9DDBB4">
            <w:pPr>
              <w:snapToGrid w:val="0"/>
              <w:jc w:val="center"/>
              <w:rPr>
                <w:rFonts w:ascii="宋体" w:hAnsi="宋体" w:eastAsia="宋体" w:cs="宋体"/>
                <w:b/>
                <w:bCs/>
                <w:color w:val="000000"/>
                <w:w w:val="100"/>
                <w:sz w:val="22"/>
              </w:rPr>
            </w:pPr>
          </w:p>
        </w:tc>
        <w:tc>
          <w:tcPr>
            <w:tcW w:w="16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C6AD340">
            <w:pPr>
              <w:snapToGrid w:val="0"/>
              <w:jc w:val="center"/>
              <w:rPr>
                <w:rFonts w:ascii="宋体" w:hAnsi="宋体" w:eastAsia="宋体" w:cs="宋体"/>
                <w:b/>
                <w:bCs/>
                <w:color w:val="000000"/>
                <w:w w:val="100"/>
                <w:sz w:val="22"/>
              </w:rPr>
            </w:pPr>
          </w:p>
        </w:tc>
        <w:tc>
          <w:tcPr>
            <w:tcW w:w="25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9A42CB">
            <w:pPr>
              <w:snapToGrid w:val="0"/>
              <w:jc w:val="center"/>
              <w:rPr>
                <w:rFonts w:ascii="宋体" w:hAnsi="宋体" w:eastAsia="宋体" w:cs="宋体"/>
                <w:b/>
                <w:bCs/>
                <w:color w:val="000000"/>
                <w:w w:val="100"/>
                <w:sz w:val="22"/>
              </w:rPr>
            </w:pPr>
          </w:p>
        </w:tc>
      </w:tr>
    </w:tbl>
    <w:p w14:paraId="0AF5DD4B">
      <w:pPr>
        <w:ind w:firstLine="708" w:firstLineChars="236"/>
        <w:rPr>
          <w:rFonts w:ascii="仿宋" w:hAnsi="仿宋" w:eastAsia="仿宋"/>
          <w:w w:val="100"/>
          <w:sz w:val="30"/>
          <w:szCs w:val="30"/>
        </w:rPr>
      </w:pPr>
      <w:r>
        <w:rPr>
          <w:rFonts w:ascii="仿宋" w:hAnsi="仿宋" w:eastAsia="仿宋"/>
          <w:w w:val="100"/>
          <w:sz w:val="30"/>
          <w:szCs w:val="30"/>
        </w:rPr>
        <w:t>说明：我单位没有政府性基金收入，也没有使用政府性基金安排的支出，故本表无数据。</w:t>
      </w:r>
    </w:p>
    <w:p w14:paraId="0788EF71">
      <w:pPr>
        <w:ind w:firstLine="566" w:firstLineChars="236"/>
        <w:rPr>
          <w:rFonts w:ascii="仿宋" w:hAnsi="仿宋" w:eastAsia="仿宋"/>
          <w:w w:val="100"/>
          <w:sz w:val="24"/>
          <w:szCs w:val="24"/>
        </w:rPr>
      </w:pPr>
      <w:r>
        <w:rPr>
          <w:rFonts w:ascii="仿宋" w:hAnsi="仿宋" w:eastAsia="仿宋"/>
          <w:w w:val="100"/>
          <w:sz w:val="24"/>
          <w:szCs w:val="24"/>
        </w:rPr>
        <w:t>注：本表反映部门本年度政府性基金预算财政拨款收入、支出及结转和结余情况。</w:t>
      </w:r>
    </w:p>
    <w:p w14:paraId="3D7D588A">
      <w:pPr>
        <w:widowControl/>
        <w:jc w:val="left"/>
        <w:rPr>
          <w:rFonts w:ascii="仿宋" w:hAnsi="仿宋" w:eastAsia="仿宋"/>
          <w:w w:val="100"/>
          <w:sz w:val="30"/>
          <w:szCs w:val="30"/>
        </w:rPr>
      </w:pPr>
      <w:r>
        <w:rPr>
          <w:rFonts w:ascii="仿宋" w:hAnsi="仿宋" w:eastAsia="仿宋"/>
          <w:w w:val="100"/>
          <w:sz w:val="30"/>
          <w:szCs w:val="30"/>
        </w:rPr>
        <w:br w:type="page"/>
      </w:r>
    </w:p>
    <w:p w14:paraId="325E0052">
      <w:pPr>
        <w:ind w:firstLine="849" w:firstLineChars="236"/>
        <w:jc w:val="right"/>
        <w:rPr>
          <w:rFonts w:ascii="仿宋" w:hAnsi="仿宋" w:eastAsia="仿宋"/>
          <w:w w:val="100"/>
          <w:sz w:val="30"/>
          <w:szCs w:val="30"/>
        </w:rPr>
      </w:pPr>
      <w:r>
        <w:rPr>
          <w:rFonts w:hint="eastAsia" w:cs="黑体"/>
          <w:w w:val="100"/>
          <w:sz w:val="36"/>
          <w:szCs w:val="36"/>
        </w:rPr>
        <w:t xml:space="preserve">国有资本经营预算财政拨款支出决算表            </w:t>
      </w:r>
      <w:r>
        <w:rPr>
          <w:rFonts w:ascii="仿宋" w:hAnsi="仿宋" w:eastAsia="仿宋"/>
          <w:w w:val="100"/>
          <w:sz w:val="30"/>
          <w:szCs w:val="30"/>
        </w:rPr>
        <w:t>（公开08表）</w:t>
      </w:r>
    </w:p>
    <w:p w14:paraId="70F30CF3">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14119" w:type="dxa"/>
        <w:tblInd w:w="3" w:type="dxa"/>
        <w:tblLayout w:type="fixed"/>
        <w:tblCellMar>
          <w:top w:w="56" w:type="dxa"/>
          <w:left w:w="96" w:type="dxa"/>
          <w:bottom w:w="56" w:type="dxa"/>
          <w:right w:w="96" w:type="dxa"/>
        </w:tblCellMar>
      </w:tblPr>
      <w:tblGrid>
        <w:gridCol w:w="3081"/>
        <w:gridCol w:w="3068"/>
        <w:gridCol w:w="1817"/>
        <w:gridCol w:w="3082"/>
        <w:gridCol w:w="3071"/>
      </w:tblGrid>
      <w:tr w14:paraId="1CF72B2A">
        <w:tblPrEx>
          <w:tblCellMar>
            <w:top w:w="56" w:type="dxa"/>
            <w:left w:w="96" w:type="dxa"/>
            <w:bottom w:w="56" w:type="dxa"/>
            <w:right w:w="96" w:type="dxa"/>
          </w:tblCellMar>
        </w:tblPrEx>
        <w:trPr>
          <w:tblHeader/>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E1C712">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w:t>
            </w:r>
          </w:p>
        </w:tc>
        <w:tc>
          <w:tcPr>
            <w:tcW w:w="797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452035B9">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本年支出</w:t>
            </w:r>
          </w:p>
        </w:tc>
      </w:tr>
      <w:tr w14:paraId="1DA7D60C">
        <w:tblPrEx>
          <w:tblCellMar>
            <w:top w:w="56" w:type="dxa"/>
            <w:left w:w="96" w:type="dxa"/>
            <w:bottom w:w="56" w:type="dxa"/>
            <w:right w:w="96" w:type="dxa"/>
          </w:tblCellMar>
        </w:tblPrEx>
        <w:trPr>
          <w:trHeight w:val="312" w:hRule="atLeast"/>
          <w:tblHeader/>
        </w:trPr>
        <w:tc>
          <w:tcPr>
            <w:tcW w:w="30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135E79B">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科目代码</w:t>
            </w:r>
          </w:p>
        </w:tc>
        <w:tc>
          <w:tcPr>
            <w:tcW w:w="306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47443F">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科目名称</w:t>
            </w:r>
          </w:p>
        </w:tc>
        <w:tc>
          <w:tcPr>
            <w:tcW w:w="181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99EF713">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合计</w:t>
            </w:r>
          </w:p>
        </w:tc>
        <w:tc>
          <w:tcPr>
            <w:tcW w:w="30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DA5EF7">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基本支出</w:t>
            </w:r>
          </w:p>
        </w:tc>
        <w:tc>
          <w:tcPr>
            <w:tcW w:w="307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180241">
            <w:pPr>
              <w:widowControl/>
              <w:snapToGrid w:val="0"/>
              <w:jc w:val="center"/>
              <w:textAlignment w:val="center"/>
              <w:rPr>
                <w:rFonts w:ascii="宋体" w:hAnsi="宋体" w:eastAsia="宋体" w:cs="宋体"/>
                <w:b/>
                <w:color w:val="000000"/>
                <w:w w:val="100"/>
                <w:sz w:val="22"/>
              </w:rPr>
            </w:pPr>
            <w:r>
              <w:rPr>
                <w:rFonts w:hint="eastAsia" w:ascii="宋体" w:hAnsi="宋体" w:eastAsia="宋体" w:cs="宋体"/>
                <w:b/>
                <w:color w:val="000000"/>
                <w:w w:val="100"/>
                <w:kern w:val="0"/>
                <w:sz w:val="22"/>
              </w:rPr>
              <w:t>项目支出</w:t>
            </w:r>
          </w:p>
        </w:tc>
      </w:tr>
      <w:tr w14:paraId="38910221">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1E477A">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DDF607">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D610FD">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370473">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B482854">
            <w:pPr>
              <w:snapToGrid w:val="0"/>
              <w:jc w:val="center"/>
              <w:rPr>
                <w:rFonts w:ascii="宋体" w:hAnsi="宋体" w:eastAsia="宋体" w:cs="宋体"/>
                <w:b/>
                <w:color w:val="000000"/>
                <w:w w:val="100"/>
                <w:sz w:val="22"/>
              </w:rPr>
            </w:pPr>
          </w:p>
        </w:tc>
      </w:tr>
      <w:tr w14:paraId="2CC067DB">
        <w:tblPrEx>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D8F28E">
            <w:pPr>
              <w:snapToGrid w:val="0"/>
              <w:jc w:val="center"/>
              <w:rPr>
                <w:rFonts w:ascii="宋体" w:hAnsi="宋体" w:eastAsia="宋体" w:cs="宋体"/>
                <w:b/>
                <w:color w:val="000000"/>
                <w:w w:val="100"/>
                <w:sz w:val="22"/>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2231F2">
            <w:pPr>
              <w:snapToGrid w:val="0"/>
              <w:jc w:val="center"/>
              <w:rPr>
                <w:rFonts w:ascii="宋体" w:hAnsi="宋体" w:eastAsia="宋体" w:cs="宋体"/>
                <w:b/>
                <w:color w:val="000000"/>
                <w:w w:val="100"/>
                <w:sz w:val="22"/>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9B18A5">
            <w:pPr>
              <w:snapToGrid w:val="0"/>
              <w:jc w:val="right"/>
              <w:rPr>
                <w:rFonts w:ascii="宋体" w:hAnsi="宋体" w:eastAsia="宋体" w:cs="宋体"/>
                <w:b/>
                <w:color w:val="000000"/>
                <w:w w:val="100"/>
                <w:sz w:val="22"/>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8B0112">
            <w:pPr>
              <w:snapToGrid w:val="0"/>
              <w:jc w:val="right"/>
              <w:rPr>
                <w:rFonts w:ascii="宋体" w:hAnsi="宋体" w:eastAsia="宋体" w:cs="宋体"/>
                <w:b/>
                <w:color w:val="000000"/>
                <w:w w:val="100"/>
                <w:sz w:val="22"/>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2ECFB1">
            <w:pPr>
              <w:snapToGrid w:val="0"/>
              <w:jc w:val="center"/>
              <w:rPr>
                <w:rFonts w:ascii="宋体" w:hAnsi="宋体" w:eastAsia="宋体" w:cs="宋体"/>
                <w:b/>
                <w:color w:val="000000"/>
                <w:w w:val="100"/>
                <w:sz w:val="22"/>
              </w:rPr>
            </w:pPr>
          </w:p>
        </w:tc>
      </w:tr>
      <w:tr w14:paraId="6C9F8AB6">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8FBFEA">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栏次</w:t>
            </w:r>
          </w:p>
        </w:tc>
        <w:tc>
          <w:tcPr>
            <w:tcW w:w="18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8F1E8A">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30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42E5CB">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307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78A376">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r>
      <w:tr w14:paraId="10F6F699">
        <w:tblPrEx>
          <w:tblCellMar>
            <w:top w:w="56" w:type="dxa"/>
            <w:left w:w="96" w:type="dxa"/>
            <w:bottom w:w="56" w:type="dxa"/>
            <w:right w:w="96" w:type="dxa"/>
          </w:tblCellMar>
        </w:tblPrEx>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99F8A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181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10CD17">
            <w:pPr>
              <w:snapToGrid w:val="0"/>
              <w:jc w:val="center"/>
              <w:rPr>
                <w:rFonts w:ascii="宋体" w:hAnsi="宋体" w:eastAsia="宋体" w:cs="宋体"/>
                <w:b/>
                <w:bCs/>
                <w:color w:val="000000"/>
                <w:w w:val="100"/>
                <w:sz w:val="22"/>
              </w:rPr>
            </w:pPr>
          </w:p>
        </w:tc>
        <w:tc>
          <w:tcPr>
            <w:tcW w:w="30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FB56EA">
            <w:pPr>
              <w:widowControl/>
              <w:snapToGrid w:val="0"/>
              <w:jc w:val="center"/>
              <w:textAlignment w:val="center"/>
              <w:rPr>
                <w:rFonts w:ascii="宋体" w:hAnsi="宋体" w:eastAsia="宋体" w:cs="宋体"/>
                <w:b/>
                <w:bCs/>
                <w:color w:val="000000"/>
                <w:w w:val="100"/>
                <w:sz w:val="22"/>
              </w:rPr>
            </w:pPr>
            <w:r>
              <w:rPr>
                <w:rFonts w:hint="eastAsia" w:ascii="宋体" w:hAnsi="宋体" w:eastAsia="宋体" w:cs="宋体"/>
                <w:b/>
                <w:bCs/>
                <w:color w:val="000000"/>
                <w:w w:val="100"/>
                <w:kern w:val="0"/>
                <w:sz w:val="22"/>
              </w:rPr>
              <w:t>0.00</w:t>
            </w:r>
          </w:p>
        </w:tc>
        <w:tc>
          <w:tcPr>
            <w:tcW w:w="307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E26066">
            <w:pPr>
              <w:snapToGrid w:val="0"/>
              <w:jc w:val="center"/>
              <w:rPr>
                <w:rFonts w:ascii="宋体" w:hAnsi="宋体" w:eastAsia="宋体" w:cs="宋体"/>
                <w:b/>
                <w:bCs/>
                <w:color w:val="000000"/>
                <w:w w:val="100"/>
                <w:sz w:val="22"/>
              </w:rPr>
            </w:pPr>
          </w:p>
        </w:tc>
      </w:tr>
    </w:tbl>
    <w:p w14:paraId="36FC2918">
      <w:pPr>
        <w:ind w:firstLine="708" w:firstLineChars="236"/>
        <w:rPr>
          <w:rFonts w:ascii="仿宋" w:hAnsi="仿宋" w:eastAsia="仿宋"/>
          <w:w w:val="100"/>
          <w:sz w:val="30"/>
          <w:szCs w:val="30"/>
        </w:rPr>
      </w:pPr>
      <w:r>
        <w:rPr>
          <w:rFonts w:ascii="仿宋" w:hAnsi="仿宋" w:eastAsia="仿宋"/>
          <w:w w:val="100"/>
          <w:sz w:val="30"/>
          <w:szCs w:val="30"/>
        </w:rPr>
        <w:t>说明：我单位没有使用国有资本经营预算安排的支出，故本表无数据。</w:t>
      </w:r>
    </w:p>
    <w:p w14:paraId="1DFA982A">
      <w:pPr>
        <w:ind w:firstLine="566" w:firstLineChars="236"/>
        <w:rPr>
          <w:rFonts w:ascii="仿宋" w:hAnsi="仿宋" w:eastAsia="仿宋"/>
          <w:w w:val="100"/>
          <w:sz w:val="24"/>
          <w:szCs w:val="24"/>
        </w:rPr>
      </w:pPr>
      <w:r>
        <w:rPr>
          <w:rFonts w:ascii="仿宋" w:hAnsi="仿宋" w:eastAsia="仿宋"/>
          <w:w w:val="100"/>
          <w:sz w:val="24"/>
          <w:szCs w:val="24"/>
        </w:rPr>
        <w:t>注：本表反映部门本年度国有资本经营预算财政拨款支出情况。</w:t>
      </w:r>
    </w:p>
    <w:p w14:paraId="274CE3CF">
      <w:pPr>
        <w:widowControl/>
        <w:jc w:val="left"/>
        <w:rPr>
          <w:rFonts w:ascii="仿宋" w:hAnsi="仿宋" w:eastAsia="仿宋"/>
          <w:w w:val="100"/>
          <w:sz w:val="30"/>
          <w:szCs w:val="30"/>
        </w:rPr>
      </w:pPr>
      <w:r>
        <w:rPr>
          <w:rFonts w:ascii="仿宋" w:hAnsi="仿宋" w:eastAsia="仿宋"/>
          <w:w w:val="100"/>
          <w:sz w:val="30"/>
          <w:szCs w:val="30"/>
        </w:rPr>
        <w:br w:type="page"/>
      </w:r>
    </w:p>
    <w:p w14:paraId="32F601CC">
      <w:pPr>
        <w:ind w:firstLine="849" w:firstLineChars="236"/>
        <w:jc w:val="right"/>
        <w:rPr>
          <w:rFonts w:ascii="仿宋" w:hAnsi="仿宋" w:eastAsia="仿宋"/>
          <w:w w:val="100"/>
          <w:sz w:val="30"/>
          <w:szCs w:val="30"/>
        </w:rPr>
      </w:pPr>
      <w:r>
        <w:rPr>
          <w:rFonts w:hint="eastAsia" w:cs="黑体"/>
          <w:w w:val="100"/>
          <w:sz w:val="36"/>
          <w:szCs w:val="36"/>
        </w:rPr>
        <w:t xml:space="preserve">财政拨款“三公”经费支出决算表              </w:t>
      </w:r>
      <w:r>
        <w:rPr>
          <w:rFonts w:ascii="仿宋" w:hAnsi="仿宋" w:eastAsia="仿宋"/>
          <w:w w:val="100"/>
          <w:sz w:val="30"/>
          <w:szCs w:val="30"/>
        </w:rPr>
        <w:t>（公开09表）</w:t>
      </w:r>
    </w:p>
    <w:p w14:paraId="5C254603">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rPr>
        <w:t xml:space="preserve">怀化市农村经营事务中心                                                </w:t>
      </w:r>
      <w:r>
        <w:rPr>
          <w:rFonts w:ascii="仿宋" w:hAnsi="仿宋" w:eastAsia="仿宋"/>
          <w:w w:val="100"/>
          <w:sz w:val="30"/>
          <w:szCs w:val="30"/>
        </w:rPr>
        <w:t>单位：万元</w:t>
      </w:r>
    </w:p>
    <w:tbl>
      <w:tblPr>
        <w:tblStyle w:val="13"/>
        <w:tblW w:w="4998" w:type="pct"/>
        <w:jc w:val="center"/>
        <w:tblLayout w:type="autofit"/>
        <w:tblCellMar>
          <w:top w:w="56" w:type="dxa"/>
          <w:left w:w="77" w:type="dxa"/>
          <w:bottom w:w="56" w:type="dxa"/>
          <w:right w:w="77" w:type="dxa"/>
        </w:tblCellMar>
      </w:tblPr>
      <w:tblGrid>
        <w:gridCol w:w="592"/>
        <w:gridCol w:w="1665"/>
        <w:gridCol w:w="545"/>
        <w:gridCol w:w="1397"/>
        <w:gridCol w:w="1735"/>
        <w:gridCol w:w="1117"/>
        <w:gridCol w:w="595"/>
        <w:gridCol w:w="1668"/>
        <w:gridCol w:w="545"/>
        <w:gridCol w:w="1397"/>
        <w:gridCol w:w="1735"/>
        <w:gridCol w:w="1115"/>
      </w:tblGrid>
      <w:tr w14:paraId="367ABF7C">
        <w:tblPrEx>
          <w:tblCellMar>
            <w:top w:w="56" w:type="dxa"/>
            <w:left w:w="77" w:type="dxa"/>
            <w:bottom w:w="56" w:type="dxa"/>
            <w:right w:w="77" w:type="dxa"/>
          </w:tblCellMar>
        </w:tblPrEx>
        <w:trPr>
          <w:jc w:val="center"/>
        </w:trPr>
        <w:tc>
          <w:tcPr>
            <w:tcW w:w="2499" w:type="pct"/>
            <w:gridSpan w:val="6"/>
            <w:tcBorders>
              <w:top w:val="single" w:color="D4D4D4" w:sz="4" w:space="0"/>
              <w:left w:val="single" w:color="D4D4D4" w:sz="4" w:space="0"/>
              <w:bottom w:val="single" w:color="D4D4D4" w:sz="4" w:space="0"/>
              <w:right w:val="single" w:color="D4D4D4" w:sz="4" w:space="0"/>
            </w:tcBorders>
            <w:shd w:val="clear" w:color="000000" w:fill="F1F1F1"/>
            <w:vAlign w:val="center"/>
          </w:tcPr>
          <w:p w14:paraId="11ACF91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预算数</w:t>
            </w:r>
          </w:p>
        </w:tc>
        <w:tc>
          <w:tcPr>
            <w:tcW w:w="2500" w:type="pct"/>
            <w:gridSpan w:val="6"/>
            <w:tcBorders>
              <w:top w:val="single" w:color="D4D4D4" w:sz="4" w:space="0"/>
              <w:left w:val="nil"/>
              <w:bottom w:val="single" w:color="D4D4D4" w:sz="4" w:space="0"/>
              <w:right w:val="single" w:color="D4D4D4" w:sz="4" w:space="0"/>
            </w:tcBorders>
            <w:shd w:val="clear" w:color="000000" w:fill="F1F1F1"/>
            <w:vAlign w:val="center"/>
          </w:tcPr>
          <w:p w14:paraId="0A402320">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决算数</w:t>
            </w:r>
          </w:p>
        </w:tc>
      </w:tr>
      <w:tr w14:paraId="13BE100B">
        <w:tblPrEx>
          <w:tblCellMar>
            <w:top w:w="56" w:type="dxa"/>
            <w:left w:w="77" w:type="dxa"/>
            <w:bottom w:w="56" w:type="dxa"/>
            <w:right w:w="77" w:type="dxa"/>
          </w:tblCellMar>
        </w:tblPrEx>
        <w:trPr>
          <w:jc w:val="center"/>
        </w:trPr>
        <w:tc>
          <w:tcPr>
            <w:tcW w:w="210" w:type="pct"/>
            <w:vMerge w:val="restart"/>
            <w:tcBorders>
              <w:top w:val="nil"/>
              <w:left w:val="single" w:color="D4D4D4" w:sz="4" w:space="0"/>
              <w:bottom w:val="single" w:color="D4D4D4" w:sz="4" w:space="0"/>
              <w:right w:val="single" w:color="D4D4D4" w:sz="4" w:space="0"/>
            </w:tcBorders>
            <w:shd w:val="clear" w:color="000000" w:fill="F1F1F1"/>
            <w:vAlign w:val="center"/>
          </w:tcPr>
          <w:p w14:paraId="559BBE52">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590" w:type="pct"/>
            <w:vMerge w:val="restart"/>
            <w:tcBorders>
              <w:top w:val="nil"/>
              <w:left w:val="single" w:color="D4D4D4" w:sz="4" w:space="0"/>
              <w:bottom w:val="single" w:color="D4D4D4" w:sz="4" w:space="0"/>
              <w:right w:val="single" w:color="D4D4D4" w:sz="4" w:space="0"/>
            </w:tcBorders>
            <w:shd w:val="clear" w:color="000000" w:fill="F1F1F1"/>
            <w:vAlign w:val="center"/>
          </w:tcPr>
          <w:p w14:paraId="42CEBD0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因公出国（境）费</w:t>
            </w:r>
          </w:p>
        </w:tc>
        <w:tc>
          <w:tcPr>
            <w:tcW w:w="1303" w:type="pct"/>
            <w:gridSpan w:val="3"/>
            <w:tcBorders>
              <w:top w:val="single" w:color="D4D4D4" w:sz="4" w:space="0"/>
              <w:left w:val="nil"/>
              <w:bottom w:val="single" w:color="D4D4D4" w:sz="4" w:space="0"/>
              <w:right w:val="single" w:color="D4D4D4" w:sz="4" w:space="0"/>
            </w:tcBorders>
            <w:shd w:val="clear" w:color="000000" w:fill="F1F1F1"/>
            <w:vAlign w:val="center"/>
          </w:tcPr>
          <w:p w14:paraId="5DCB57C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公务用车购置及运行维护费</w:t>
            </w:r>
          </w:p>
        </w:tc>
        <w:tc>
          <w:tcPr>
            <w:tcW w:w="394" w:type="pct"/>
            <w:vMerge w:val="restart"/>
            <w:tcBorders>
              <w:top w:val="nil"/>
              <w:left w:val="single" w:color="D4D4D4" w:sz="4" w:space="0"/>
              <w:bottom w:val="single" w:color="D4D4D4" w:sz="4" w:space="0"/>
              <w:right w:val="single" w:color="D4D4D4" w:sz="4" w:space="0"/>
            </w:tcBorders>
            <w:shd w:val="clear" w:color="000000" w:fill="F1F1F1"/>
            <w:vAlign w:val="center"/>
          </w:tcPr>
          <w:p w14:paraId="247AA1F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公务接待费</w:t>
            </w:r>
          </w:p>
        </w:tc>
        <w:tc>
          <w:tcPr>
            <w:tcW w:w="211" w:type="pct"/>
            <w:vMerge w:val="restart"/>
            <w:tcBorders>
              <w:top w:val="nil"/>
              <w:left w:val="single" w:color="D4D4D4" w:sz="4" w:space="0"/>
              <w:bottom w:val="single" w:color="D4D4D4" w:sz="4" w:space="0"/>
              <w:right w:val="single" w:color="D4D4D4" w:sz="4" w:space="0"/>
            </w:tcBorders>
            <w:shd w:val="clear" w:color="000000" w:fill="F1F1F1"/>
            <w:vAlign w:val="center"/>
          </w:tcPr>
          <w:p w14:paraId="1364B45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合计</w:t>
            </w:r>
          </w:p>
        </w:tc>
        <w:tc>
          <w:tcPr>
            <w:tcW w:w="591" w:type="pct"/>
            <w:vMerge w:val="restart"/>
            <w:tcBorders>
              <w:top w:val="nil"/>
              <w:left w:val="single" w:color="D4D4D4" w:sz="4" w:space="0"/>
              <w:bottom w:val="single" w:color="D4D4D4" w:sz="4" w:space="0"/>
              <w:right w:val="single" w:color="D4D4D4" w:sz="4" w:space="0"/>
            </w:tcBorders>
            <w:shd w:val="clear" w:color="000000" w:fill="F1F1F1"/>
            <w:vAlign w:val="center"/>
          </w:tcPr>
          <w:p w14:paraId="0928E89B">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因公出国（境）费</w:t>
            </w:r>
          </w:p>
        </w:tc>
        <w:tc>
          <w:tcPr>
            <w:tcW w:w="1303" w:type="pct"/>
            <w:gridSpan w:val="3"/>
            <w:tcBorders>
              <w:top w:val="single" w:color="D4D4D4" w:sz="4" w:space="0"/>
              <w:left w:val="nil"/>
              <w:bottom w:val="single" w:color="D4D4D4" w:sz="4" w:space="0"/>
              <w:right w:val="single" w:color="D4D4D4" w:sz="4" w:space="0"/>
            </w:tcBorders>
            <w:shd w:val="clear" w:color="000000" w:fill="F1F1F1"/>
            <w:vAlign w:val="center"/>
          </w:tcPr>
          <w:p w14:paraId="59E8889F">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公务用车购置及运行维护费</w:t>
            </w:r>
          </w:p>
        </w:tc>
        <w:tc>
          <w:tcPr>
            <w:tcW w:w="395" w:type="pct"/>
            <w:vMerge w:val="restart"/>
            <w:tcBorders>
              <w:top w:val="nil"/>
              <w:left w:val="single" w:color="D4D4D4" w:sz="4" w:space="0"/>
              <w:bottom w:val="single" w:color="D4D4D4" w:sz="4" w:space="0"/>
              <w:right w:val="single" w:color="D4D4D4" w:sz="4" w:space="0"/>
            </w:tcBorders>
            <w:shd w:val="clear" w:color="000000" w:fill="F1F1F1"/>
            <w:vAlign w:val="center"/>
          </w:tcPr>
          <w:p w14:paraId="2ACDAC6E">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公务接待费</w:t>
            </w:r>
          </w:p>
        </w:tc>
      </w:tr>
      <w:tr w14:paraId="527E22FF">
        <w:tblPrEx>
          <w:tblCellMar>
            <w:top w:w="56" w:type="dxa"/>
            <w:left w:w="77" w:type="dxa"/>
            <w:bottom w:w="56" w:type="dxa"/>
            <w:right w:w="77" w:type="dxa"/>
          </w:tblCellMar>
        </w:tblPrEx>
        <w:trPr>
          <w:jc w:val="center"/>
        </w:trPr>
        <w:tc>
          <w:tcPr>
            <w:tcW w:w="210" w:type="pct"/>
            <w:vMerge w:val="continue"/>
            <w:tcBorders>
              <w:top w:val="nil"/>
              <w:left w:val="single" w:color="D4D4D4" w:sz="4" w:space="0"/>
              <w:bottom w:val="single" w:color="D4D4D4" w:sz="4" w:space="0"/>
              <w:right w:val="single" w:color="D4D4D4" w:sz="4" w:space="0"/>
            </w:tcBorders>
            <w:shd w:val="clear" w:color="000000" w:fill="F1F1F1"/>
            <w:vAlign w:val="center"/>
          </w:tcPr>
          <w:p w14:paraId="54190F82">
            <w:pPr>
              <w:snapToGrid w:val="0"/>
              <w:jc w:val="center"/>
              <w:rPr>
                <w:rFonts w:ascii="宋体" w:hAnsi="宋体" w:eastAsia="宋体" w:cs="宋体"/>
                <w:color w:val="000000"/>
                <w:w w:val="100"/>
                <w:sz w:val="22"/>
              </w:rPr>
            </w:pPr>
          </w:p>
        </w:tc>
        <w:tc>
          <w:tcPr>
            <w:tcW w:w="590" w:type="pct"/>
            <w:vMerge w:val="continue"/>
            <w:tcBorders>
              <w:top w:val="nil"/>
              <w:left w:val="single" w:color="D4D4D4" w:sz="4" w:space="0"/>
              <w:bottom w:val="single" w:color="D4D4D4" w:sz="4" w:space="0"/>
              <w:right w:val="single" w:color="D4D4D4" w:sz="4" w:space="0"/>
            </w:tcBorders>
            <w:shd w:val="clear" w:color="000000" w:fill="F1F1F1"/>
            <w:vAlign w:val="center"/>
          </w:tcPr>
          <w:p w14:paraId="0CB456C6">
            <w:pPr>
              <w:snapToGrid w:val="0"/>
              <w:jc w:val="center"/>
              <w:rPr>
                <w:rFonts w:ascii="宋体" w:hAnsi="宋体" w:eastAsia="宋体" w:cs="宋体"/>
                <w:color w:val="000000"/>
                <w:w w:val="100"/>
                <w:sz w:val="22"/>
              </w:rPr>
            </w:pPr>
          </w:p>
        </w:tc>
        <w:tc>
          <w:tcPr>
            <w:tcW w:w="193" w:type="pct"/>
            <w:tcBorders>
              <w:top w:val="nil"/>
              <w:left w:val="nil"/>
              <w:bottom w:val="single" w:color="D4D4D4" w:sz="4" w:space="0"/>
              <w:right w:val="single" w:color="D4D4D4" w:sz="4" w:space="0"/>
            </w:tcBorders>
            <w:shd w:val="clear" w:color="000000" w:fill="F1F1F1"/>
            <w:vAlign w:val="center"/>
          </w:tcPr>
          <w:p w14:paraId="2A8E4FC9">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小计</w:t>
            </w:r>
          </w:p>
        </w:tc>
        <w:tc>
          <w:tcPr>
            <w:tcW w:w="495" w:type="pct"/>
            <w:tcBorders>
              <w:top w:val="nil"/>
              <w:left w:val="nil"/>
              <w:bottom w:val="single" w:color="D4D4D4" w:sz="4" w:space="0"/>
              <w:right w:val="single" w:color="D4D4D4" w:sz="4" w:space="0"/>
            </w:tcBorders>
            <w:shd w:val="clear" w:color="000000" w:fill="F1F1F1"/>
            <w:vAlign w:val="center"/>
          </w:tcPr>
          <w:p w14:paraId="67B8DCE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公务用车购置费</w:t>
            </w:r>
          </w:p>
        </w:tc>
        <w:tc>
          <w:tcPr>
            <w:tcW w:w="615" w:type="pct"/>
            <w:tcBorders>
              <w:top w:val="nil"/>
              <w:left w:val="nil"/>
              <w:bottom w:val="single" w:color="D4D4D4" w:sz="4" w:space="0"/>
              <w:right w:val="single" w:color="D4D4D4" w:sz="4" w:space="0"/>
            </w:tcBorders>
            <w:shd w:val="clear" w:color="000000" w:fill="F1F1F1"/>
            <w:vAlign w:val="center"/>
          </w:tcPr>
          <w:p w14:paraId="7182E9B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公务用车运行维护费</w:t>
            </w:r>
          </w:p>
        </w:tc>
        <w:tc>
          <w:tcPr>
            <w:tcW w:w="394" w:type="pct"/>
            <w:vMerge w:val="continue"/>
            <w:tcBorders>
              <w:top w:val="nil"/>
              <w:left w:val="single" w:color="D4D4D4" w:sz="4" w:space="0"/>
              <w:bottom w:val="single" w:color="D4D4D4" w:sz="4" w:space="0"/>
              <w:right w:val="single" w:color="D4D4D4" w:sz="4" w:space="0"/>
            </w:tcBorders>
            <w:shd w:val="clear" w:color="000000" w:fill="F1F1F1"/>
            <w:vAlign w:val="center"/>
          </w:tcPr>
          <w:p w14:paraId="591F339D">
            <w:pPr>
              <w:snapToGrid w:val="0"/>
              <w:jc w:val="center"/>
              <w:rPr>
                <w:rFonts w:ascii="宋体" w:hAnsi="宋体" w:eastAsia="宋体" w:cs="宋体"/>
                <w:color w:val="000000"/>
                <w:w w:val="100"/>
                <w:sz w:val="22"/>
              </w:rPr>
            </w:pPr>
          </w:p>
        </w:tc>
        <w:tc>
          <w:tcPr>
            <w:tcW w:w="211" w:type="pct"/>
            <w:vMerge w:val="continue"/>
            <w:tcBorders>
              <w:top w:val="nil"/>
              <w:left w:val="single" w:color="D4D4D4" w:sz="4" w:space="0"/>
              <w:bottom w:val="single" w:color="D4D4D4" w:sz="4" w:space="0"/>
              <w:right w:val="single" w:color="D4D4D4" w:sz="4" w:space="0"/>
            </w:tcBorders>
            <w:shd w:val="clear" w:color="000000" w:fill="F1F1F1"/>
            <w:vAlign w:val="center"/>
          </w:tcPr>
          <w:p w14:paraId="427C5A5C">
            <w:pPr>
              <w:snapToGrid w:val="0"/>
              <w:jc w:val="center"/>
              <w:rPr>
                <w:rFonts w:ascii="宋体" w:hAnsi="宋体" w:eastAsia="宋体" w:cs="宋体"/>
                <w:color w:val="000000"/>
                <w:w w:val="100"/>
                <w:sz w:val="22"/>
              </w:rPr>
            </w:pPr>
          </w:p>
        </w:tc>
        <w:tc>
          <w:tcPr>
            <w:tcW w:w="591" w:type="pct"/>
            <w:vMerge w:val="continue"/>
            <w:tcBorders>
              <w:top w:val="nil"/>
              <w:left w:val="single" w:color="D4D4D4" w:sz="4" w:space="0"/>
              <w:bottom w:val="single" w:color="D4D4D4" w:sz="4" w:space="0"/>
              <w:right w:val="single" w:color="D4D4D4" w:sz="4" w:space="0"/>
            </w:tcBorders>
            <w:shd w:val="clear" w:color="000000" w:fill="F1F1F1"/>
            <w:vAlign w:val="center"/>
          </w:tcPr>
          <w:p w14:paraId="6D3CA40D">
            <w:pPr>
              <w:snapToGrid w:val="0"/>
              <w:jc w:val="center"/>
              <w:rPr>
                <w:rFonts w:ascii="宋体" w:hAnsi="宋体" w:eastAsia="宋体" w:cs="宋体"/>
                <w:color w:val="000000"/>
                <w:w w:val="100"/>
                <w:sz w:val="22"/>
              </w:rPr>
            </w:pPr>
          </w:p>
        </w:tc>
        <w:tc>
          <w:tcPr>
            <w:tcW w:w="193" w:type="pct"/>
            <w:tcBorders>
              <w:top w:val="nil"/>
              <w:left w:val="nil"/>
              <w:bottom w:val="single" w:color="D4D4D4" w:sz="4" w:space="0"/>
              <w:right w:val="single" w:color="D4D4D4" w:sz="4" w:space="0"/>
            </w:tcBorders>
            <w:shd w:val="clear" w:color="000000" w:fill="F1F1F1"/>
            <w:vAlign w:val="center"/>
          </w:tcPr>
          <w:p w14:paraId="12370EE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小计</w:t>
            </w:r>
          </w:p>
        </w:tc>
        <w:tc>
          <w:tcPr>
            <w:tcW w:w="495" w:type="pct"/>
            <w:tcBorders>
              <w:top w:val="nil"/>
              <w:left w:val="nil"/>
              <w:bottom w:val="single" w:color="D4D4D4" w:sz="4" w:space="0"/>
              <w:right w:val="single" w:color="D4D4D4" w:sz="4" w:space="0"/>
            </w:tcBorders>
            <w:shd w:val="clear" w:color="000000" w:fill="F1F1F1"/>
            <w:vAlign w:val="center"/>
          </w:tcPr>
          <w:p w14:paraId="1FD3AE00">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公务用车购置费</w:t>
            </w:r>
          </w:p>
        </w:tc>
        <w:tc>
          <w:tcPr>
            <w:tcW w:w="615" w:type="pct"/>
            <w:tcBorders>
              <w:top w:val="nil"/>
              <w:left w:val="nil"/>
              <w:bottom w:val="single" w:color="D4D4D4" w:sz="4" w:space="0"/>
              <w:right w:val="single" w:color="D4D4D4" w:sz="4" w:space="0"/>
            </w:tcBorders>
            <w:shd w:val="clear" w:color="000000" w:fill="F1F1F1"/>
            <w:vAlign w:val="center"/>
          </w:tcPr>
          <w:p w14:paraId="38DF2F58">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公务用车运行维护费</w:t>
            </w:r>
          </w:p>
        </w:tc>
        <w:tc>
          <w:tcPr>
            <w:tcW w:w="395" w:type="pct"/>
            <w:vMerge w:val="continue"/>
            <w:tcBorders>
              <w:top w:val="nil"/>
              <w:left w:val="single" w:color="D4D4D4" w:sz="4" w:space="0"/>
              <w:bottom w:val="single" w:color="D4D4D4" w:sz="4" w:space="0"/>
              <w:right w:val="single" w:color="D4D4D4" w:sz="4" w:space="0"/>
            </w:tcBorders>
            <w:shd w:val="clear" w:color="000000" w:fill="F1F1F1"/>
            <w:vAlign w:val="center"/>
          </w:tcPr>
          <w:p w14:paraId="2EEC8319">
            <w:pPr>
              <w:snapToGrid w:val="0"/>
              <w:jc w:val="center"/>
              <w:rPr>
                <w:rFonts w:ascii="宋体" w:hAnsi="宋体" w:eastAsia="宋体" w:cs="宋体"/>
                <w:color w:val="000000"/>
                <w:w w:val="100"/>
                <w:sz w:val="22"/>
              </w:rPr>
            </w:pPr>
          </w:p>
        </w:tc>
      </w:tr>
      <w:tr w14:paraId="046A1FB5">
        <w:trPr>
          <w:jc w:val="center"/>
        </w:trPr>
        <w:tc>
          <w:tcPr>
            <w:tcW w:w="210" w:type="pct"/>
            <w:tcBorders>
              <w:top w:val="nil"/>
              <w:left w:val="single" w:color="D4D4D4" w:sz="4" w:space="0"/>
              <w:bottom w:val="single" w:color="D4D4D4" w:sz="4" w:space="0"/>
              <w:right w:val="single" w:color="D4D4D4" w:sz="4" w:space="0"/>
            </w:tcBorders>
            <w:shd w:val="clear" w:color="000000" w:fill="F1F1F1"/>
            <w:vAlign w:val="center"/>
          </w:tcPr>
          <w:p w14:paraId="0FF76A4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w:t>
            </w:r>
          </w:p>
        </w:tc>
        <w:tc>
          <w:tcPr>
            <w:tcW w:w="590" w:type="pct"/>
            <w:tcBorders>
              <w:top w:val="nil"/>
              <w:left w:val="nil"/>
              <w:bottom w:val="single" w:color="D4D4D4" w:sz="4" w:space="0"/>
              <w:right w:val="single" w:color="D4D4D4" w:sz="4" w:space="0"/>
            </w:tcBorders>
            <w:shd w:val="clear" w:color="000000" w:fill="F1F1F1"/>
            <w:vAlign w:val="center"/>
          </w:tcPr>
          <w:p w14:paraId="7DA828DD">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2</w:t>
            </w:r>
          </w:p>
        </w:tc>
        <w:tc>
          <w:tcPr>
            <w:tcW w:w="193" w:type="pct"/>
            <w:tcBorders>
              <w:top w:val="nil"/>
              <w:left w:val="nil"/>
              <w:bottom w:val="single" w:color="D4D4D4" w:sz="4" w:space="0"/>
              <w:right w:val="single" w:color="D4D4D4" w:sz="4" w:space="0"/>
            </w:tcBorders>
            <w:shd w:val="clear" w:color="000000" w:fill="F1F1F1"/>
            <w:vAlign w:val="center"/>
          </w:tcPr>
          <w:p w14:paraId="5D6AAED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3</w:t>
            </w:r>
          </w:p>
        </w:tc>
        <w:tc>
          <w:tcPr>
            <w:tcW w:w="495" w:type="pct"/>
            <w:tcBorders>
              <w:top w:val="nil"/>
              <w:left w:val="nil"/>
              <w:bottom w:val="single" w:color="D4D4D4" w:sz="4" w:space="0"/>
              <w:right w:val="single" w:color="D4D4D4" w:sz="4" w:space="0"/>
            </w:tcBorders>
            <w:shd w:val="clear" w:color="000000" w:fill="F1F1F1"/>
            <w:vAlign w:val="center"/>
          </w:tcPr>
          <w:p w14:paraId="3437790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4</w:t>
            </w:r>
          </w:p>
        </w:tc>
        <w:tc>
          <w:tcPr>
            <w:tcW w:w="615" w:type="pct"/>
            <w:tcBorders>
              <w:top w:val="nil"/>
              <w:left w:val="nil"/>
              <w:bottom w:val="single" w:color="D4D4D4" w:sz="4" w:space="0"/>
              <w:right w:val="single" w:color="D4D4D4" w:sz="4" w:space="0"/>
            </w:tcBorders>
            <w:shd w:val="clear" w:color="000000" w:fill="F1F1F1"/>
            <w:vAlign w:val="center"/>
          </w:tcPr>
          <w:p w14:paraId="163F3225">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5</w:t>
            </w:r>
          </w:p>
        </w:tc>
        <w:tc>
          <w:tcPr>
            <w:tcW w:w="394" w:type="pct"/>
            <w:tcBorders>
              <w:top w:val="nil"/>
              <w:left w:val="nil"/>
              <w:bottom w:val="single" w:color="D4D4D4" w:sz="4" w:space="0"/>
              <w:right w:val="single" w:color="D4D4D4" w:sz="4" w:space="0"/>
            </w:tcBorders>
            <w:shd w:val="clear" w:color="000000" w:fill="F1F1F1"/>
            <w:vAlign w:val="center"/>
          </w:tcPr>
          <w:p w14:paraId="4CB33AD1">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6</w:t>
            </w:r>
          </w:p>
        </w:tc>
        <w:tc>
          <w:tcPr>
            <w:tcW w:w="211" w:type="pct"/>
            <w:tcBorders>
              <w:top w:val="nil"/>
              <w:left w:val="nil"/>
              <w:bottom w:val="single" w:color="D4D4D4" w:sz="4" w:space="0"/>
              <w:right w:val="single" w:color="D4D4D4" w:sz="4" w:space="0"/>
            </w:tcBorders>
            <w:shd w:val="clear" w:color="000000" w:fill="F1F1F1"/>
            <w:vAlign w:val="center"/>
          </w:tcPr>
          <w:p w14:paraId="6E0EE9AE">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7</w:t>
            </w:r>
          </w:p>
        </w:tc>
        <w:tc>
          <w:tcPr>
            <w:tcW w:w="591" w:type="pct"/>
            <w:tcBorders>
              <w:top w:val="nil"/>
              <w:left w:val="nil"/>
              <w:bottom w:val="single" w:color="D4D4D4" w:sz="4" w:space="0"/>
              <w:right w:val="single" w:color="D4D4D4" w:sz="4" w:space="0"/>
            </w:tcBorders>
            <w:shd w:val="clear" w:color="000000" w:fill="F1F1F1"/>
            <w:vAlign w:val="center"/>
          </w:tcPr>
          <w:p w14:paraId="3234BE5F">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8</w:t>
            </w:r>
          </w:p>
        </w:tc>
        <w:tc>
          <w:tcPr>
            <w:tcW w:w="193" w:type="pct"/>
            <w:tcBorders>
              <w:top w:val="nil"/>
              <w:left w:val="nil"/>
              <w:bottom w:val="single" w:color="D4D4D4" w:sz="4" w:space="0"/>
              <w:right w:val="single" w:color="D4D4D4" w:sz="4" w:space="0"/>
            </w:tcBorders>
            <w:shd w:val="clear" w:color="000000" w:fill="F1F1F1"/>
            <w:vAlign w:val="center"/>
          </w:tcPr>
          <w:p w14:paraId="13C1893A">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9</w:t>
            </w:r>
          </w:p>
        </w:tc>
        <w:tc>
          <w:tcPr>
            <w:tcW w:w="495" w:type="pct"/>
            <w:tcBorders>
              <w:top w:val="nil"/>
              <w:left w:val="nil"/>
              <w:bottom w:val="single" w:color="D4D4D4" w:sz="4" w:space="0"/>
              <w:right w:val="single" w:color="D4D4D4" w:sz="4" w:space="0"/>
            </w:tcBorders>
            <w:shd w:val="clear" w:color="000000" w:fill="F1F1F1"/>
            <w:vAlign w:val="center"/>
          </w:tcPr>
          <w:p w14:paraId="1EBFD9D3">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10</w:t>
            </w:r>
          </w:p>
        </w:tc>
        <w:tc>
          <w:tcPr>
            <w:tcW w:w="615" w:type="pct"/>
            <w:tcBorders>
              <w:top w:val="nil"/>
              <w:left w:val="nil"/>
              <w:bottom w:val="single" w:color="D4D4D4" w:sz="4" w:space="0"/>
              <w:right w:val="single" w:color="D4D4D4" w:sz="4" w:space="0"/>
            </w:tcBorders>
            <w:shd w:val="clear" w:color="000000" w:fill="F1F1F1"/>
            <w:vAlign w:val="center"/>
          </w:tcPr>
          <w:p w14:paraId="1AC04F8C">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11</w:t>
            </w:r>
          </w:p>
        </w:tc>
        <w:tc>
          <w:tcPr>
            <w:tcW w:w="395" w:type="pct"/>
            <w:tcBorders>
              <w:top w:val="nil"/>
              <w:left w:val="nil"/>
              <w:bottom w:val="single" w:color="D4D4D4" w:sz="4" w:space="0"/>
              <w:right w:val="single" w:color="D4D4D4" w:sz="4" w:space="0"/>
            </w:tcBorders>
            <w:shd w:val="clear" w:color="000000" w:fill="F1F1F1"/>
            <w:vAlign w:val="center"/>
          </w:tcPr>
          <w:p w14:paraId="7E78DFE2">
            <w:pPr>
              <w:widowControl/>
              <w:snapToGrid w:val="0"/>
              <w:jc w:val="center"/>
              <w:textAlignment w:val="center"/>
              <w:rPr>
                <w:rFonts w:ascii="宋体" w:hAnsi="宋体" w:eastAsia="宋体" w:cs="宋体"/>
                <w:color w:val="000000"/>
                <w:w w:val="100"/>
                <w:sz w:val="22"/>
              </w:rPr>
            </w:pPr>
            <w:r>
              <w:rPr>
                <w:rFonts w:hint="eastAsia" w:ascii="宋体" w:hAnsi="宋体" w:eastAsia="宋体" w:cs="宋体"/>
                <w:color w:val="000000"/>
                <w:w w:val="100"/>
                <w:kern w:val="0"/>
                <w:sz w:val="22"/>
              </w:rPr>
              <w:t>12</w:t>
            </w:r>
          </w:p>
        </w:tc>
      </w:tr>
      <w:tr w14:paraId="3B6BF420">
        <w:tblPrEx>
          <w:tblCellMar>
            <w:top w:w="56" w:type="dxa"/>
            <w:left w:w="77" w:type="dxa"/>
            <w:bottom w:w="56" w:type="dxa"/>
            <w:right w:w="77" w:type="dxa"/>
          </w:tblCellMar>
        </w:tblPrEx>
        <w:trPr>
          <w:jc w:val="center"/>
        </w:trPr>
        <w:tc>
          <w:tcPr>
            <w:tcW w:w="592" w:type="dxa"/>
            <w:tcBorders>
              <w:top w:val="nil"/>
              <w:left w:val="single" w:color="D4D4D4" w:sz="4" w:space="0"/>
              <w:bottom w:val="single" w:color="D4D4D4" w:sz="4" w:space="0"/>
              <w:right w:val="single" w:color="D4D4D4" w:sz="4" w:space="0"/>
            </w:tcBorders>
            <w:shd w:val="clear" w:color="000000" w:fill="FFFFFF"/>
            <w:noWrap/>
            <w:vAlign w:val="center"/>
          </w:tcPr>
          <w:p w14:paraId="25872B19">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1.40 </w:t>
            </w:r>
          </w:p>
        </w:tc>
        <w:tc>
          <w:tcPr>
            <w:tcW w:w="1665" w:type="dxa"/>
            <w:tcBorders>
              <w:top w:val="nil"/>
              <w:left w:val="nil"/>
              <w:bottom w:val="single" w:color="D4D4D4" w:sz="4" w:space="0"/>
              <w:right w:val="single" w:color="D4D4D4" w:sz="4" w:space="0"/>
            </w:tcBorders>
            <w:shd w:val="clear" w:color="000000" w:fill="FFFFFF"/>
            <w:noWrap/>
            <w:vAlign w:val="center"/>
          </w:tcPr>
          <w:p w14:paraId="7E38D046">
            <w:pPr>
              <w:jc w:val="right"/>
              <w:rPr>
                <w:rFonts w:ascii="宋体" w:hAnsi="宋体" w:eastAsia="宋体" w:cs="宋体"/>
                <w:color w:val="000000"/>
                <w:w w:val="100"/>
                <w:sz w:val="22"/>
              </w:rPr>
            </w:pPr>
          </w:p>
        </w:tc>
        <w:tc>
          <w:tcPr>
            <w:tcW w:w="545" w:type="dxa"/>
            <w:tcBorders>
              <w:top w:val="nil"/>
              <w:left w:val="nil"/>
              <w:bottom w:val="single" w:color="D4D4D4" w:sz="4" w:space="0"/>
              <w:right w:val="single" w:color="D4D4D4" w:sz="4" w:space="0"/>
            </w:tcBorders>
            <w:shd w:val="clear" w:color="000000" w:fill="FFFFFF"/>
            <w:noWrap/>
            <w:vAlign w:val="center"/>
          </w:tcPr>
          <w:p w14:paraId="05C5DDD9">
            <w:pPr>
              <w:jc w:val="right"/>
              <w:rPr>
                <w:rFonts w:ascii="宋体" w:hAnsi="宋体" w:eastAsia="宋体" w:cs="宋体"/>
                <w:color w:val="000000"/>
                <w:w w:val="100"/>
                <w:sz w:val="22"/>
              </w:rPr>
            </w:pPr>
          </w:p>
        </w:tc>
        <w:tc>
          <w:tcPr>
            <w:tcW w:w="1397" w:type="dxa"/>
            <w:tcBorders>
              <w:top w:val="nil"/>
              <w:left w:val="nil"/>
              <w:bottom w:val="single" w:color="D4D4D4" w:sz="4" w:space="0"/>
              <w:right w:val="single" w:color="D4D4D4" w:sz="4" w:space="0"/>
            </w:tcBorders>
            <w:shd w:val="clear" w:color="000000" w:fill="FFFFFF"/>
            <w:noWrap/>
            <w:vAlign w:val="center"/>
          </w:tcPr>
          <w:p w14:paraId="39333221">
            <w:pPr>
              <w:jc w:val="right"/>
              <w:rPr>
                <w:rFonts w:ascii="宋体" w:hAnsi="宋体" w:eastAsia="宋体" w:cs="宋体"/>
                <w:color w:val="000000"/>
                <w:w w:val="100"/>
                <w:sz w:val="22"/>
              </w:rPr>
            </w:pPr>
          </w:p>
        </w:tc>
        <w:tc>
          <w:tcPr>
            <w:tcW w:w="1735" w:type="dxa"/>
            <w:tcBorders>
              <w:top w:val="nil"/>
              <w:left w:val="nil"/>
              <w:bottom w:val="single" w:color="D4D4D4" w:sz="4" w:space="0"/>
              <w:right w:val="single" w:color="D4D4D4" w:sz="4" w:space="0"/>
            </w:tcBorders>
            <w:shd w:val="clear" w:color="000000" w:fill="FFFFFF"/>
            <w:noWrap/>
            <w:vAlign w:val="center"/>
          </w:tcPr>
          <w:p w14:paraId="090E83DE">
            <w:pPr>
              <w:jc w:val="right"/>
              <w:rPr>
                <w:rFonts w:ascii="宋体" w:hAnsi="宋体" w:eastAsia="宋体" w:cs="宋体"/>
                <w:color w:val="000000"/>
                <w:w w:val="100"/>
                <w:sz w:val="22"/>
              </w:rPr>
            </w:pPr>
          </w:p>
        </w:tc>
        <w:tc>
          <w:tcPr>
            <w:tcW w:w="1117" w:type="dxa"/>
            <w:tcBorders>
              <w:top w:val="nil"/>
              <w:left w:val="nil"/>
              <w:bottom w:val="single" w:color="D4D4D4" w:sz="4" w:space="0"/>
              <w:right w:val="single" w:color="D4D4D4" w:sz="4" w:space="0"/>
            </w:tcBorders>
            <w:shd w:val="clear" w:color="000000" w:fill="FFFFFF"/>
            <w:noWrap/>
            <w:vAlign w:val="center"/>
          </w:tcPr>
          <w:p w14:paraId="52B031CB">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1.40 </w:t>
            </w:r>
          </w:p>
        </w:tc>
        <w:tc>
          <w:tcPr>
            <w:tcW w:w="595" w:type="dxa"/>
            <w:tcBorders>
              <w:top w:val="nil"/>
              <w:left w:val="nil"/>
              <w:bottom w:val="single" w:color="D4D4D4" w:sz="4" w:space="0"/>
              <w:right w:val="single" w:color="D4D4D4" w:sz="4" w:space="0"/>
            </w:tcBorders>
            <w:shd w:val="clear" w:color="000000" w:fill="FFFFFF"/>
            <w:noWrap/>
            <w:vAlign w:val="center"/>
          </w:tcPr>
          <w:p w14:paraId="061AFDD3">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0.55 </w:t>
            </w:r>
          </w:p>
        </w:tc>
        <w:tc>
          <w:tcPr>
            <w:tcW w:w="1668" w:type="dxa"/>
            <w:tcBorders>
              <w:top w:val="nil"/>
              <w:left w:val="nil"/>
              <w:bottom w:val="single" w:color="D4D4D4" w:sz="4" w:space="0"/>
              <w:right w:val="single" w:color="D4D4D4" w:sz="4" w:space="0"/>
            </w:tcBorders>
            <w:shd w:val="clear" w:color="000000" w:fill="FFFFFF"/>
            <w:noWrap/>
            <w:vAlign w:val="center"/>
          </w:tcPr>
          <w:p w14:paraId="196923CB">
            <w:pPr>
              <w:jc w:val="right"/>
              <w:rPr>
                <w:rFonts w:ascii="宋体" w:hAnsi="宋体" w:eastAsia="宋体" w:cs="宋体"/>
                <w:color w:val="000000"/>
                <w:w w:val="100"/>
                <w:sz w:val="22"/>
              </w:rPr>
            </w:pPr>
          </w:p>
        </w:tc>
        <w:tc>
          <w:tcPr>
            <w:tcW w:w="545" w:type="dxa"/>
            <w:tcBorders>
              <w:top w:val="nil"/>
              <w:left w:val="nil"/>
              <w:bottom w:val="single" w:color="D4D4D4" w:sz="4" w:space="0"/>
              <w:right w:val="single" w:color="D4D4D4" w:sz="4" w:space="0"/>
            </w:tcBorders>
            <w:shd w:val="clear" w:color="000000" w:fill="FFFFFF"/>
            <w:noWrap/>
            <w:vAlign w:val="center"/>
          </w:tcPr>
          <w:p w14:paraId="5F3323FE">
            <w:pPr>
              <w:jc w:val="right"/>
              <w:rPr>
                <w:rFonts w:ascii="宋体" w:hAnsi="宋体" w:eastAsia="宋体" w:cs="宋体"/>
                <w:color w:val="000000"/>
                <w:w w:val="100"/>
                <w:sz w:val="22"/>
              </w:rPr>
            </w:pPr>
          </w:p>
        </w:tc>
        <w:tc>
          <w:tcPr>
            <w:tcW w:w="1397" w:type="dxa"/>
            <w:tcBorders>
              <w:top w:val="nil"/>
              <w:left w:val="nil"/>
              <w:bottom w:val="single" w:color="D4D4D4" w:sz="4" w:space="0"/>
              <w:right w:val="single" w:color="D4D4D4" w:sz="4" w:space="0"/>
            </w:tcBorders>
            <w:shd w:val="clear" w:color="000000" w:fill="FFFFFF"/>
            <w:noWrap/>
            <w:vAlign w:val="center"/>
          </w:tcPr>
          <w:p w14:paraId="79A7643C">
            <w:pPr>
              <w:jc w:val="right"/>
              <w:rPr>
                <w:rFonts w:ascii="宋体" w:hAnsi="宋体" w:eastAsia="宋体" w:cs="宋体"/>
                <w:color w:val="000000"/>
                <w:w w:val="100"/>
                <w:sz w:val="22"/>
              </w:rPr>
            </w:pPr>
          </w:p>
        </w:tc>
        <w:tc>
          <w:tcPr>
            <w:tcW w:w="1735" w:type="dxa"/>
            <w:tcBorders>
              <w:top w:val="nil"/>
              <w:left w:val="nil"/>
              <w:bottom w:val="single" w:color="D4D4D4" w:sz="4" w:space="0"/>
              <w:right w:val="single" w:color="D4D4D4" w:sz="4" w:space="0"/>
            </w:tcBorders>
            <w:shd w:val="clear" w:color="000000" w:fill="FFFFFF"/>
            <w:noWrap/>
            <w:vAlign w:val="center"/>
          </w:tcPr>
          <w:p w14:paraId="5E3A3FA2">
            <w:pPr>
              <w:jc w:val="right"/>
              <w:rPr>
                <w:rFonts w:ascii="宋体" w:hAnsi="宋体" w:eastAsia="宋体" w:cs="宋体"/>
                <w:color w:val="000000"/>
                <w:w w:val="100"/>
                <w:sz w:val="22"/>
              </w:rPr>
            </w:pPr>
          </w:p>
        </w:tc>
        <w:tc>
          <w:tcPr>
            <w:tcW w:w="1115" w:type="dxa"/>
            <w:tcBorders>
              <w:top w:val="nil"/>
              <w:left w:val="nil"/>
              <w:bottom w:val="single" w:color="D4D4D4" w:sz="4" w:space="0"/>
              <w:right w:val="single" w:color="D4D4D4" w:sz="4" w:space="0"/>
            </w:tcBorders>
            <w:shd w:val="clear" w:color="000000" w:fill="FFFFFF"/>
            <w:noWrap/>
            <w:vAlign w:val="center"/>
          </w:tcPr>
          <w:p w14:paraId="62C2B6D0">
            <w:pPr>
              <w:keepNext w:val="0"/>
              <w:keepLines w:val="0"/>
              <w:widowControl/>
              <w:suppressLineNumbers w:val="0"/>
              <w:jc w:val="right"/>
              <w:textAlignment w:val="center"/>
              <w:rPr>
                <w:rFonts w:ascii="宋体" w:hAnsi="宋体" w:eastAsia="宋体" w:cs="宋体"/>
                <w:color w:val="000000"/>
                <w:w w:val="100"/>
                <w:sz w:val="22"/>
              </w:rPr>
            </w:pPr>
            <w:r>
              <w:rPr>
                <w:rFonts w:hint="eastAsia" w:ascii="宋体" w:hAnsi="宋体" w:eastAsia="宋体" w:cs="宋体"/>
                <w:i w:val="0"/>
                <w:iCs w:val="0"/>
                <w:color w:val="000000"/>
                <w:w w:val="100"/>
                <w:kern w:val="0"/>
                <w:sz w:val="22"/>
                <w:szCs w:val="22"/>
                <w:u w:val="none"/>
                <w:lang w:val="en-US" w:eastAsia="zh-CN" w:bidi="ar"/>
              </w:rPr>
              <w:t xml:space="preserve">0.55 </w:t>
            </w:r>
          </w:p>
        </w:tc>
      </w:tr>
    </w:tbl>
    <w:p w14:paraId="54D7455F">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6EC9C53">
      <w:pPr>
        <w:ind w:firstLine="604" w:firstLineChars="189"/>
        <w:jc w:val="center"/>
        <w:rPr>
          <w:rFonts w:cs="黑体"/>
          <w:w w:val="100"/>
          <w:sz w:val="32"/>
          <w:szCs w:val="32"/>
        </w:rPr>
      </w:pPr>
    </w:p>
    <w:p w14:paraId="0A094A20">
      <w:pPr>
        <w:ind w:firstLine="604" w:firstLineChars="189"/>
        <w:jc w:val="center"/>
        <w:rPr>
          <w:rFonts w:cs="黑体"/>
          <w:w w:val="100"/>
          <w:sz w:val="32"/>
          <w:szCs w:val="32"/>
        </w:rPr>
      </w:pPr>
    </w:p>
    <w:p w14:paraId="6E23525C">
      <w:pPr>
        <w:ind w:firstLine="604" w:firstLineChars="189"/>
        <w:jc w:val="center"/>
        <w:rPr>
          <w:rFonts w:cs="黑体"/>
          <w:w w:val="100"/>
          <w:sz w:val="32"/>
          <w:szCs w:val="32"/>
        </w:rPr>
      </w:pPr>
    </w:p>
    <w:p w14:paraId="73FE7EAD">
      <w:pPr>
        <w:ind w:firstLine="604" w:firstLineChars="189"/>
        <w:jc w:val="center"/>
        <w:rPr>
          <w:rFonts w:cs="黑体"/>
          <w:w w:val="100"/>
          <w:sz w:val="32"/>
          <w:szCs w:val="32"/>
        </w:rPr>
      </w:pPr>
    </w:p>
    <w:p w14:paraId="3C80AF09">
      <w:pPr>
        <w:ind w:firstLine="604" w:firstLineChars="189"/>
        <w:jc w:val="center"/>
        <w:rPr>
          <w:rFonts w:cs="黑体"/>
          <w:w w:val="100"/>
          <w:sz w:val="32"/>
          <w:szCs w:val="32"/>
        </w:rPr>
      </w:pPr>
    </w:p>
    <w:p w14:paraId="7CEA2E16">
      <w:pPr>
        <w:ind w:firstLine="604" w:firstLineChars="189"/>
        <w:jc w:val="center"/>
        <w:rPr>
          <w:rFonts w:cs="黑体"/>
          <w:w w:val="100"/>
          <w:sz w:val="32"/>
          <w:szCs w:val="32"/>
        </w:rPr>
      </w:pPr>
    </w:p>
    <w:p w14:paraId="3BBF2C6E">
      <w:pPr>
        <w:ind w:firstLine="604" w:firstLineChars="189"/>
        <w:jc w:val="center"/>
        <w:rPr>
          <w:rFonts w:cs="黑体"/>
          <w:w w:val="100"/>
          <w:sz w:val="32"/>
          <w:szCs w:val="32"/>
        </w:rPr>
      </w:pPr>
    </w:p>
    <w:p w14:paraId="66B7AE24">
      <w:pPr>
        <w:ind w:firstLine="604" w:firstLineChars="189"/>
        <w:jc w:val="center"/>
        <w:rPr>
          <w:rFonts w:cs="黑体"/>
          <w:w w:val="100"/>
          <w:sz w:val="32"/>
          <w:szCs w:val="32"/>
        </w:rPr>
      </w:pPr>
    </w:p>
    <w:p w14:paraId="706A3914">
      <w:pPr>
        <w:pStyle w:val="20"/>
        <w:spacing w:line="360" w:lineRule="auto"/>
        <w:jc w:val="center"/>
        <w:rPr>
          <w:rFonts w:hAnsi="黑体" w:cs="黑体"/>
          <w:sz w:val="52"/>
          <w:szCs w:val="52"/>
        </w:rPr>
      </w:pPr>
      <w:r>
        <w:rPr>
          <w:rFonts w:hint="eastAsia" w:hAnsi="黑体" w:cs="黑体"/>
          <w:sz w:val="52"/>
          <w:szCs w:val="52"/>
        </w:rPr>
        <w:t>第三部分</w:t>
      </w:r>
    </w:p>
    <w:p w14:paraId="66AF35FD">
      <w:pPr>
        <w:jc w:val="center"/>
        <w:rPr>
          <w:rFonts w:cs="黑体"/>
          <w:w w:val="100"/>
          <w:sz w:val="32"/>
          <w:szCs w:val="32"/>
        </w:rPr>
      </w:pPr>
      <w:r>
        <w:rPr>
          <w:rFonts w:hint="eastAsia" w:cs="黑体"/>
          <w:w w:val="100"/>
          <w:sz w:val="52"/>
          <w:szCs w:val="52"/>
        </w:rPr>
        <w:t>202</w:t>
      </w:r>
      <w:r>
        <w:rPr>
          <w:rFonts w:hint="eastAsia" w:cs="黑体"/>
          <w:w w:val="100"/>
          <w:sz w:val="52"/>
          <w:szCs w:val="52"/>
          <w:lang w:val="en-US" w:eastAsia="zh-CN"/>
        </w:rPr>
        <w:t>5</w:t>
      </w:r>
      <w:r>
        <w:rPr>
          <w:rFonts w:hint="eastAsia" w:cs="黑体"/>
          <w:w w:val="100"/>
          <w:sz w:val="52"/>
          <w:szCs w:val="52"/>
        </w:rPr>
        <w:t>年度部门决算情况说明</w:t>
      </w:r>
      <w:r>
        <w:rPr>
          <w:rFonts w:hint="eastAsia" w:cs="黑体"/>
          <w:w w:val="100"/>
          <w:sz w:val="32"/>
          <w:szCs w:val="32"/>
        </w:rPr>
        <w:br w:type="page"/>
      </w:r>
    </w:p>
    <w:p w14:paraId="01E1E723">
      <w:pPr>
        <w:ind w:firstLine="604" w:firstLineChars="189"/>
        <w:jc w:val="center"/>
        <w:rPr>
          <w:rFonts w:cs="黑体"/>
          <w:w w:val="100"/>
          <w:sz w:val="32"/>
          <w:szCs w:val="32"/>
        </w:rPr>
      </w:pPr>
    </w:p>
    <w:p w14:paraId="464B360D">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eastAsia="黑体"/>
          <w:b w:val="0"/>
          <w:bCs w:val="0"/>
          <w:sz w:val="30"/>
          <w:szCs w:val="30"/>
        </w:rPr>
      </w:pPr>
      <w:bookmarkStart w:id="4" w:name="heading_7"/>
      <w:r>
        <w:rPr>
          <w:rFonts w:hint="eastAsia" w:cs="黑体"/>
          <w:b w:val="0"/>
          <w:bCs w:val="0"/>
          <w:sz w:val="30"/>
          <w:szCs w:val="30"/>
          <w:lang w:eastAsia="zh-CN"/>
        </w:rPr>
        <w:t>三、</w:t>
      </w:r>
      <w:r>
        <w:rPr>
          <w:rFonts w:ascii="黑体" w:hAnsi="黑体" w:eastAsia="黑体" w:cs="黑体"/>
          <w:b w:val="0"/>
          <w:bCs w:val="0"/>
          <w:sz w:val="30"/>
          <w:szCs w:val="30"/>
        </w:rPr>
        <w:t>部门决算情况说明</w:t>
      </w:r>
      <w:bookmarkEnd w:id="4"/>
    </w:p>
    <w:p w14:paraId="6F8E2711">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5" w:name="heading_8"/>
      <w:r>
        <w:rPr>
          <w:rFonts w:hint="eastAsia" w:cs="楷体_GB2312"/>
          <w:b w:val="0"/>
          <w:bCs w:val="0"/>
          <w:sz w:val="30"/>
          <w:szCs w:val="30"/>
          <w:lang w:eastAsia="zh-CN"/>
        </w:rPr>
        <w:t>（一）</w:t>
      </w:r>
      <w:r>
        <w:rPr>
          <w:rFonts w:ascii="Times New Roman" w:hAnsi="Times New Roman" w:eastAsia="楷体_GB2312" w:cs="楷体_GB2312"/>
          <w:b w:val="0"/>
          <w:bCs w:val="0"/>
          <w:sz w:val="30"/>
          <w:szCs w:val="30"/>
        </w:rPr>
        <w:t>收入支出决算总体情况说明</w:t>
      </w:r>
      <w:bookmarkEnd w:id="5"/>
    </w:p>
    <w:p w14:paraId="2090ABE1">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2025年度收、支总计</w:t>
      </w:r>
      <w:r>
        <w:rPr>
          <w:rFonts w:ascii="Times New Roman" w:hAnsi="Times New Roman" w:eastAsia="仿宋_GB2312" w:cs="仿宋_GB2312"/>
          <w:b/>
          <w:sz w:val="30"/>
          <w:szCs w:val="30"/>
        </w:rPr>
        <w:t>288.66万元</w:t>
      </w:r>
      <w:r>
        <w:rPr>
          <w:rFonts w:ascii="Times New Roman" w:hAnsi="Times New Roman" w:eastAsia="仿宋_GB2312" w:cs="仿宋_GB2312"/>
          <w:sz w:val="30"/>
          <w:szCs w:val="30"/>
        </w:rPr>
        <w:t>。与2024年相比，增加31.29万元，增长12.16％，主要原因是：本年度调入参公人员2名，人员经费相应增加；农村产权交易、土地制度改革等重点工作任务量增加，项目支出适度增长；同时严格落实党政机关过紧日子要求，厉行节约办一切事业，严控一般性支出，压减办公经费、会议培训等行政开支，部分抵消总增长幅度。</w:t>
      </w:r>
    </w:p>
    <w:p w14:paraId="4E43D18E">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6" w:name="heading_9"/>
      <w:r>
        <w:rPr>
          <w:rFonts w:hint="eastAsia" w:cs="楷体_GB2312"/>
          <w:b w:val="0"/>
          <w:bCs w:val="0"/>
          <w:sz w:val="30"/>
          <w:szCs w:val="30"/>
          <w:lang w:eastAsia="zh-CN"/>
        </w:rPr>
        <w:t>（二）</w:t>
      </w:r>
      <w:r>
        <w:rPr>
          <w:rFonts w:ascii="Times New Roman" w:hAnsi="Times New Roman" w:eastAsia="楷体_GB2312" w:cs="楷体_GB2312"/>
          <w:b w:val="0"/>
          <w:bCs w:val="0"/>
          <w:sz w:val="30"/>
          <w:szCs w:val="30"/>
        </w:rPr>
        <w:t>收入决算情况说明</w:t>
      </w:r>
      <w:bookmarkEnd w:id="6"/>
    </w:p>
    <w:p w14:paraId="4092126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2025年度收入合计</w:t>
      </w:r>
      <w:r>
        <w:rPr>
          <w:rFonts w:ascii="Times New Roman" w:hAnsi="Times New Roman" w:eastAsia="仿宋_GB2312" w:cs="仿宋_GB2312"/>
          <w:b/>
          <w:sz w:val="30"/>
          <w:szCs w:val="30"/>
        </w:rPr>
        <w:t>288.66万元</w:t>
      </w:r>
      <w:r>
        <w:rPr>
          <w:rFonts w:ascii="Times New Roman" w:hAnsi="Times New Roman" w:eastAsia="仿宋_GB2312" w:cs="仿宋_GB2312"/>
          <w:sz w:val="30"/>
          <w:szCs w:val="30"/>
        </w:rPr>
        <w:t>，全部为财政拨款收入，占100％，为唯一资金来源，全部为一般公共预算财政拨款，无政府性基金、国有资本经营预算拨款。</w:t>
      </w:r>
      <w:r>
        <w:rPr>
          <w:rFonts w:ascii="Times New Roman" w:hAnsi="Times New Roman" w:eastAsia="仿宋_GB2312" w:cs="仿宋_GB2312"/>
          <w:sz w:val="30"/>
          <w:szCs w:val="30"/>
        </w:rPr>
        <w:br w:type="textWrapping"/>
      </w:r>
      <w:r>
        <w:rPr>
          <w:rFonts w:ascii="Times New Roman" w:hAnsi="Times New Roman" w:eastAsia="仿宋_GB2312" w:cs="仿宋_GB2312"/>
          <w:sz w:val="30"/>
          <w:szCs w:val="30"/>
        </w:rPr>
        <w:t>按功能分类划分：</w:t>
      </w:r>
    </w:p>
    <w:p w14:paraId="45E1C3AE">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一般公共服务支出收入19.56万元，占6.78％，全部为财政拨款，用于综合管理事务；</w:t>
      </w:r>
    </w:p>
    <w:p w14:paraId="70C40A64">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社会保障和就业支出收入38.05万元，占13.18％，全部为财政拨款，含机关事业单位基本养老保险缴费18.94万元、其他行政事业单位养老支出19.10万元，保障在职人员社保权益；</w:t>
      </w:r>
    </w:p>
    <w:p w14:paraId="3DDFFB98">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卫生健康支出收入8.46万元，占2.93％，全部为财政拨款，含行政单位医疗7.66万元、其他行政事业单位医疗支出0.80万元，落实职工医疗保障；</w:t>
      </w:r>
    </w:p>
    <w:p w14:paraId="01784065">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农林水支出收入220.17万元，占76.27％，全部为财政拨款，含行政运行167.19万元、事业运行11.30万元、其他农林水支出41.68万元，为支出主体，支撑农村经营管理核心业务；</w:t>
      </w:r>
    </w:p>
    <w:p w14:paraId="55FECA50">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住房保障支出收入2.43万元，占0.84％，全部为财政拨款，为住房公积金支出，保障职工住房待遇。</w:t>
      </w:r>
    </w:p>
    <w:p w14:paraId="21506FD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无上级补助收入、事业收入、经营收入、附属单位上缴收入及其他收入，收入结构聚焦主责主业，财政拨款占比100％，资金来源稳定，可有效支撑农村土地管理、集体产权改革等核心业务开展。</w:t>
      </w:r>
    </w:p>
    <w:p w14:paraId="29078D3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7" w:name="heading_10"/>
      <w:r>
        <w:rPr>
          <w:rFonts w:hint="eastAsia" w:cs="楷体_GB2312"/>
          <w:b w:val="0"/>
          <w:bCs w:val="0"/>
          <w:sz w:val="30"/>
          <w:szCs w:val="30"/>
          <w:lang w:eastAsia="zh-CN"/>
        </w:rPr>
        <w:t>（三）</w:t>
      </w:r>
      <w:r>
        <w:rPr>
          <w:rFonts w:ascii="Times New Roman" w:hAnsi="Times New Roman" w:eastAsia="楷体_GB2312" w:cs="楷体_GB2312"/>
          <w:b w:val="0"/>
          <w:bCs w:val="0"/>
          <w:sz w:val="30"/>
          <w:szCs w:val="30"/>
        </w:rPr>
        <w:t>支出决算情况说明</w:t>
      </w:r>
      <w:bookmarkEnd w:id="7"/>
    </w:p>
    <w:p w14:paraId="29C4874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2025年度支出合计</w:t>
      </w:r>
      <w:r>
        <w:rPr>
          <w:rFonts w:ascii="Times New Roman" w:hAnsi="Times New Roman" w:eastAsia="仿宋_GB2312" w:cs="仿宋_GB2312"/>
          <w:b/>
          <w:sz w:val="30"/>
          <w:szCs w:val="30"/>
        </w:rPr>
        <w:t>288.66万元</w:t>
      </w:r>
      <w:r>
        <w:rPr>
          <w:rFonts w:ascii="Times New Roman" w:hAnsi="Times New Roman" w:eastAsia="仿宋_GB2312" w:cs="仿宋_GB2312"/>
          <w:sz w:val="30"/>
          <w:szCs w:val="30"/>
        </w:rPr>
        <w:t>，按支出性质分为基本支出和项目支出，具体构成如下：</w:t>
      </w:r>
    </w:p>
    <w:p w14:paraId="7E47F113">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基本支出246.98万元</w:t>
      </w:r>
      <w:r>
        <w:rPr>
          <w:rFonts w:ascii="Times New Roman" w:hAnsi="Times New Roman" w:eastAsia="仿宋_GB2312" w:cs="仿宋_GB2312"/>
          <w:sz w:val="30"/>
          <w:szCs w:val="30"/>
        </w:rPr>
        <w:t>，占85.56％，用于保障单位正常运转：</w:t>
      </w:r>
    </w:p>
    <w:p w14:paraId="5CAE6B2C">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3370FF"/>
          <w:sz w:val="30"/>
          <w:szCs w:val="30"/>
        </w:rPr>
      </w:pPr>
      <w:r>
        <w:rPr>
          <w:rFonts w:hint="eastAsia" w:cs="仿宋_GB2312"/>
          <w:b/>
          <w:sz w:val="30"/>
          <w:szCs w:val="30"/>
          <w:lang w:val="en-US" w:eastAsia="zh-CN"/>
        </w:rPr>
        <w:t>1.</w:t>
      </w:r>
      <w:r>
        <w:rPr>
          <w:rFonts w:ascii="Times New Roman" w:hAnsi="Times New Roman" w:eastAsia="仿宋_GB2312" w:cs="仿宋_GB2312"/>
          <w:b/>
          <w:sz w:val="30"/>
          <w:szCs w:val="30"/>
        </w:rPr>
        <w:t>人员经费233.43万元</w:t>
      </w:r>
      <w:r>
        <w:rPr>
          <w:rFonts w:ascii="Times New Roman" w:hAnsi="Times New Roman" w:eastAsia="仿宋_GB2312" w:cs="仿宋_GB2312"/>
          <w:sz w:val="30"/>
          <w:szCs w:val="30"/>
        </w:rPr>
        <w:t>（占94.51％）：工资福利支出214.25万元（基本工资91.19万元、津贴补贴31.77万元、奖金45.14万元、伙食补助费2.21万元、机关事业单位基本养老保险缴费18.94万元、职工基本医疗保险缴费7.66万元、其他社会保障缴费0.08万元、住房公积金17.26万元）；对个人和家庭的补助19.19万元（抚恤金0.70万元、生活补助17.65万元、医疗费补助0.60万元、其他对个人和家庭的补助0.24万元）。</w:t>
      </w:r>
    </w:p>
    <w:p w14:paraId="7101D9FF">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3370FF"/>
          <w:sz w:val="30"/>
          <w:szCs w:val="30"/>
        </w:rPr>
      </w:pPr>
      <w:r>
        <w:rPr>
          <w:rFonts w:hint="eastAsia" w:cs="仿宋_GB2312"/>
          <w:b/>
          <w:sz w:val="30"/>
          <w:szCs w:val="30"/>
          <w:lang w:val="en-US" w:eastAsia="zh-CN"/>
        </w:rPr>
        <w:t>2.</w:t>
      </w:r>
      <w:r>
        <w:rPr>
          <w:rFonts w:hint="eastAsia" w:ascii="仿宋" w:hAnsi="仿宋" w:eastAsia="仿宋" w:cs="仿宋"/>
          <w:b/>
          <w:spacing w:val="-6"/>
          <w:sz w:val="30"/>
          <w:szCs w:val="30"/>
          <w:lang w:eastAsia="zh-CN"/>
        </w:rPr>
        <w:t xml:space="preserve"> </w:t>
      </w:r>
      <w:r>
        <w:rPr>
          <w:rFonts w:ascii="Times New Roman" w:hAnsi="Times New Roman" w:eastAsia="仿宋_GB2312" w:cs="仿宋_GB2312"/>
          <w:b/>
          <w:sz w:val="30"/>
          <w:szCs w:val="30"/>
        </w:rPr>
        <w:t>公用经费13.54万元</w:t>
      </w:r>
      <w:r>
        <w:rPr>
          <w:rFonts w:ascii="Times New Roman" w:hAnsi="Times New Roman" w:eastAsia="仿宋_GB2312" w:cs="仿宋_GB2312"/>
          <w:sz w:val="30"/>
          <w:szCs w:val="30"/>
        </w:rPr>
        <w:t>（占5.49％）：商品和服务支出13.54万元（办公费0.30万元、邮电费0.02万元、差旅费1.72万元、维修费0.05万元、培训费1.79万元、公务接待费0.55万元、劳务费0.03万元、工会经费7.00万元、福利费1.81万元、其他交通费用0.08万元、其他商品和服务支出0.20万元）。</w:t>
      </w:r>
    </w:p>
    <w:p w14:paraId="4D073C31">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项目支出41.68万元</w:t>
      </w:r>
      <w:r>
        <w:rPr>
          <w:rFonts w:ascii="Times New Roman" w:hAnsi="Times New Roman" w:eastAsia="仿宋_GB2312" w:cs="仿宋_GB2312"/>
          <w:sz w:val="30"/>
          <w:szCs w:val="30"/>
        </w:rPr>
        <w:t>，占14.44％，用于农村经营管理专项任务，全部为其他农林水支出，涵盖农村产权交易工作专项、平安建设（土地仲裁）工作经费、农民合作社扶持（引导）资金、农村土地制度改革工作经费4个专项项目。</w:t>
      </w:r>
    </w:p>
    <w:p w14:paraId="0A51A0A3">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无上缴上级支出、经营支出及对附属单位补助支出。支出结构合理，基本支出保障日常运转，项目支出聚焦</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农村改革＋权益维护</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，与单位核心职能高度匹配，资金使用方向精准。</w:t>
      </w:r>
    </w:p>
    <w:p w14:paraId="70880C7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8" w:name="heading_11"/>
      <w:r>
        <w:rPr>
          <w:rFonts w:hint="eastAsia" w:cs="楷体_GB2312"/>
          <w:b w:val="0"/>
          <w:bCs w:val="0"/>
          <w:sz w:val="30"/>
          <w:szCs w:val="30"/>
          <w:lang w:eastAsia="zh-CN"/>
        </w:rPr>
        <w:t>（四）</w:t>
      </w:r>
      <w:r>
        <w:rPr>
          <w:rFonts w:ascii="Times New Roman" w:hAnsi="Times New Roman" w:eastAsia="楷体_GB2312" w:cs="楷体_GB2312"/>
          <w:b w:val="0"/>
          <w:bCs w:val="0"/>
          <w:sz w:val="30"/>
          <w:szCs w:val="30"/>
        </w:rPr>
        <w:t>财政拨款收入支出决算总体情况说明</w:t>
      </w:r>
      <w:bookmarkEnd w:id="8"/>
    </w:p>
    <w:p w14:paraId="3B5426D9">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2025年度财政拨款收、支总计</w:t>
      </w:r>
      <w:r>
        <w:rPr>
          <w:rFonts w:ascii="Times New Roman" w:hAnsi="Times New Roman" w:eastAsia="仿宋_GB2312" w:cs="仿宋_GB2312"/>
          <w:b/>
          <w:sz w:val="30"/>
          <w:szCs w:val="30"/>
        </w:rPr>
        <w:t>288.66万元</w:t>
      </w:r>
      <w:r>
        <w:rPr>
          <w:rFonts w:ascii="Times New Roman" w:hAnsi="Times New Roman" w:eastAsia="仿宋_GB2312" w:cs="仿宋_GB2312"/>
          <w:sz w:val="30"/>
          <w:szCs w:val="30"/>
        </w:rPr>
        <w:t>，与2024年相比，增加31.29万元，增长12.16％，主要原因是：人员经费随调入人员相应增长；重点改革专项工作经费优化调整，保障农村土地制度改革、集体产权监管等任务推进；同时压减非刚性公用支出，优化支出结构。</w:t>
      </w:r>
    </w:p>
    <w:p w14:paraId="5092F47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9" w:name="heading_12"/>
      <w:r>
        <w:rPr>
          <w:rFonts w:hint="eastAsia" w:cs="楷体_GB2312"/>
          <w:b w:val="0"/>
          <w:bCs w:val="0"/>
          <w:sz w:val="30"/>
          <w:szCs w:val="30"/>
          <w:lang w:eastAsia="zh-CN"/>
        </w:rPr>
        <w:t>（五）</w:t>
      </w:r>
      <w:r>
        <w:rPr>
          <w:rFonts w:ascii="Times New Roman" w:hAnsi="Times New Roman" w:eastAsia="楷体_GB2312" w:cs="楷体_GB2312"/>
          <w:b w:val="0"/>
          <w:bCs w:val="0"/>
          <w:sz w:val="30"/>
          <w:szCs w:val="30"/>
        </w:rPr>
        <w:t>一般公共预算财政拨款支出决算情况说明</w:t>
      </w:r>
      <w:bookmarkEnd w:id="9"/>
    </w:p>
    <w:p w14:paraId="7DF4585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10" w:name="heading_13"/>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一般公共预算财政拨款支出决算总体情况</w:t>
      </w:r>
      <w:bookmarkEnd w:id="10"/>
    </w:p>
    <w:p w14:paraId="01C431E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2025年度一般公共预算财政拨款支出</w:t>
      </w:r>
      <w:r>
        <w:rPr>
          <w:rFonts w:ascii="Times New Roman" w:hAnsi="Times New Roman" w:eastAsia="仿宋_GB2312" w:cs="仿宋_GB2312"/>
          <w:b/>
          <w:sz w:val="30"/>
          <w:szCs w:val="30"/>
        </w:rPr>
        <w:t>288.66万元</w:t>
      </w:r>
      <w:r>
        <w:rPr>
          <w:rFonts w:ascii="Times New Roman" w:hAnsi="Times New Roman" w:eastAsia="仿宋_GB2312" w:cs="仿宋_GB2312"/>
          <w:sz w:val="30"/>
          <w:szCs w:val="30"/>
        </w:rPr>
        <w:t>，占本年支出合计的100％，与2024年相比增加31.29万元，增长12.16％，主要原因是严格执行</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保人员、保重点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预算管理要求，在保障人员经费足额发放的同时，优化项目经费结构，确保重点改革工作顺利推进，支出规模随任务量合理增长。</w:t>
      </w:r>
    </w:p>
    <w:p w14:paraId="79CB8C5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11" w:name="heading_14"/>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一般公共预算财政拨款支出决算结构情况</w:t>
      </w:r>
      <w:bookmarkEnd w:id="11"/>
    </w:p>
    <w:p w14:paraId="52F329C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2025年度一般公共预算财政拨款支出288.66万元，主要用于以下方面：</w:t>
      </w:r>
    </w:p>
    <w:p w14:paraId="3FC8DB2E">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val="en-US" w:eastAsia="zh-CN"/>
        </w:rPr>
        <w:t>⑴</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一般公共服务（类）支出19.56万元，占6.78％；</w:t>
      </w:r>
    </w:p>
    <w:p w14:paraId="294D03BA">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⑵</w:t>
      </w:r>
      <w:r>
        <w:rPr>
          <w:rFonts w:ascii="Times New Roman" w:hAnsi="Times New Roman" w:eastAsia="仿宋_GB2312" w:cs="仿宋_GB2312"/>
          <w:b w:val="0"/>
          <w:bCs w:val="0"/>
          <w:sz w:val="30"/>
          <w:szCs w:val="30"/>
        </w:rPr>
        <w:t>社会保障和就业（类）支出38.05万元，占13.18％；</w:t>
      </w:r>
    </w:p>
    <w:p w14:paraId="35C2542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⑶</w:t>
      </w:r>
      <w:r>
        <w:rPr>
          <w:rFonts w:ascii="Times New Roman" w:hAnsi="Times New Roman" w:eastAsia="仿宋_GB2312" w:cs="仿宋_GB2312"/>
          <w:b w:val="0"/>
          <w:bCs w:val="0"/>
          <w:sz w:val="30"/>
          <w:szCs w:val="30"/>
        </w:rPr>
        <w:t>卫生健康（类）支出8.46万元，占2.93％；</w:t>
      </w:r>
    </w:p>
    <w:p w14:paraId="49153EA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⑷</w:t>
      </w:r>
      <w:r>
        <w:rPr>
          <w:rFonts w:ascii="Times New Roman" w:hAnsi="Times New Roman" w:eastAsia="仿宋_GB2312" w:cs="仿宋_GB2312"/>
          <w:b w:val="0"/>
          <w:bCs w:val="0"/>
          <w:sz w:val="30"/>
          <w:szCs w:val="30"/>
        </w:rPr>
        <w:t>农林水（类）支出220.17万元，占76.27％，为支出主体；</w:t>
      </w:r>
    </w:p>
    <w:p w14:paraId="42B0CFB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⑸</w:t>
      </w:r>
      <w:r>
        <w:rPr>
          <w:rFonts w:ascii="Times New Roman" w:hAnsi="Times New Roman" w:eastAsia="仿宋_GB2312" w:cs="仿宋_GB2312"/>
          <w:b w:val="0"/>
          <w:bCs w:val="0"/>
          <w:sz w:val="30"/>
          <w:szCs w:val="30"/>
        </w:rPr>
        <w:t>住房保障（类）支出2.43万元，占0.84％。</w:t>
      </w:r>
    </w:p>
    <w:p w14:paraId="77E04983">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支出结构与单位</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农村经营管理</w:t>
      </w:r>
      <w:r>
        <w:rPr>
          <w:rFonts w:hint="eastAsia" w:ascii="仿宋_GB2312" w:hAnsi="仿宋_GB2312" w:eastAsia="仿宋_GB2312" w:cs="仿宋_GB2312"/>
          <w:b w:val="0"/>
          <w:bCs w:val="0"/>
          <w:spacing w:val="-6"/>
          <w:sz w:val="30"/>
          <w:szCs w:val="30"/>
        </w:rPr>
        <w:t>”</w:t>
      </w:r>
      <w:r>
        <w:rPr>
          <w:rFonts w:ascii="Times New Roman" w:hAnsi="Times New Roman" w:eastAsia="仿宋_GB2312" w:cs="仿宋_GB2312"/>
          <w:b w:val="0"/>
          <w:bCs w:val="0"/>
          <w:sz w:val="30"/>
          <w:szCs w:val="30"/>
        </w:rPr>
        <w:t>职能定位高度契合，农林水支出占比超75％，确保财政资金向主责主业集中。</w:t>
      </w:r>
    </w:p>
    <w:p w14:paraId="7641206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12" w:name="heading_15"/>
      <w:r>
        <w:rPr>
          <w:rFonts w:hint="eastAsia" w:cs="仿宋_GB2312"/>
          <w:b w:val="0"/>
          <w:bCs w:val="0"/>
          <w:sz w:val="30"/>
          <w:szCs w:val="30"/>
          <w:lang w:eastAsia="zh-CN"/>
        </w:rPr>
        <w:t>3.</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一般公共预算财政拨款支出决算具体情况</w:t>
      </w:r>
      <w:bookmarkEnd w:id="12"/>
    </w:p>
    <w:p w14:paraId="60DA1F3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2025年度一般公共预算财政拨款支出年初预算数为261.80万元，支出决算数为288.66万元，完成年初预算的110.26％，主要因年中人员调入增加人员经费及专项工作任务调整，具体项目情况如下：</w:t>
      </w:r>
    </w:p>
    <w:p w14:paraId="04462ADB">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（1）</w:t>
      </w:r>
      <w:r>
        <w:rPr>
          <w:rFonts w:ascii="Times New Roman" w:hAnsi="Times New Roman" w:eastAsia="仿宋_GB2312" w:cs="仿宋_GB2312"/>
          <w:b w:val="0"/>
          <w:bCs w:val="0"/>
          <w:sz w:val="30"/>
          <w:szCs w:val="30"/>
        </w:rPr>
        <w:t>一般公共服务（类）其他一般公共服务支出（款）其他一般公共服务支出（项）</w:t>
      </w:r>
    </w:p>
    <w:p w14:paraId="74944AE6">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年初预算为0万元，支出决算为19.56万元，完成年初预算的100％（年中追加），主要原因是根据机构运行保障需求，追加一般公共服务类经费，用于单位综合管理、党建事务、后勤保障等支出。</w:t>
      </w:r>
    </w:p>
    <w:p w14:paraId="7CE178E0">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（2）</w:t>
      </w:r>
      <w:r>
        <w:rPr>
          <w:rFonts w:ascii="Times New Roman" w:hAnsi="Times New Roman" w:eastAsia="仿宋_GB2312" w:cs="仿宋_GB2312"/>
          <w:b w:val="0"/>
          <w:bCs w:val="0"/>
          <w:sz w:val="30"/>
          <w:szCs w:val="30"/>
        </w:rPr>
        <w:t>农林水（类）农业农村（款）行政运行（项）</w:t>
      </w:r>
    </w:p>
    <w:p w14:paraId="124E494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年初预算为167.19万元，支出决算为167.19万元，完成年初预算的100％，资金主要用于在职人员工资福利及机关日常办公运转，保障农村经营管理职能正常履行。</w:t>
      </w:r>
    </w:p>
    <w:p w14:paraId="717EC2AB">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（3）</w:t>
      </w:r>
      <w:r>
        <w:rPr>
          <w:rFonts w:ascii="Times New Roman" w:hAnsi="Times New Roman" w:eastAsia="仿宋_GB2312" w:cs="仿宋_GB2312"/>
          <w:b w:val="0"/>
          <w:bCs w:val="0"/>
          <w:sz w:val="30"/>
          <w:szCs w:val="30"/>
        </w:rPr>
        <w:t>农林水（类）农业农村（款）事业运行（项）</w:t>
      </w:r>
    </w:p>
    <w:p w14:paraId="1D563663">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年初预算为11.30万元，支出决算为11.30万元，完成年初预算的100％，资金主要用于事业岗位人员薪酬及相关业务运转支出。</w:t>
      </w:r>
    </w:p>
    <w:p w14:paraId="154E1EC0">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（4）</w:t>
      </w:r>
      <w:r>
        <w:rPr>
          <w:rFonts w:ascii="Times New Roman" w:hAnsi="Times New Roman" w:eastAsia="仿宋_GB2312" w:cs="仿宋_GB2312"/>
          <w:b w:val="0"/>
          <w:bCs w:val="0"/>
          <w:sz w:val="30"/>
          <w:szCs w:val="30"/>
        </w:rPr>
        <w:t>农林水（类）其他农林水支出（款）其他农林水支出（项）</w:t>
      </w:r>
    </w:p>
    <w:p w14:paraId="24B5C085">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年初预算为50.00万元，支出决算为41.68万元，完成年初预算的83.36％，决算数小于年初预算数的主要原因是财政部门统筹优化涉农专项支出结构，压减非刚性支出，调整程序合规，资金全部用于4个专项业务项目。</w:t>
      </w:r>
    </w:p>
    <w:p w14:paraId="16CE528D">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（5）</w:t>
      </w:r>
      <w:r>
        <w:rPr>
          <w:rFonts w:ascii="Times New Roman" w:hAnsi="Times New Roman" w:eastAsia="仿宋_GB2312" w:cs="仿宋_GB2312"/>
          <w:b w:val="0"/>
          <w:bCs w:val="0"/>
          <w:sz w:val="30"/>
          <w:szCs w:val="30"/>
        </w:rPr>
        <w:t>社会保障和就业（类）行政事业单位养老支出（款）机关事业单位基本养老保险缴费支出（项）</w:t>
      </w:r>
    </w:p>
    <w:p w14:paraId="5027FEA5">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年初预算为18.94万元，支出决算为18.94万元，完成年初预算的100％，按规定标准足额缴纳在职人员基本养老保险。</w:t>
      </w:r>
    </w:p>
    <w:p w14:paraId="1AD26F79">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（6）</w:t>
      </w:r>
      <w:r>
        <w:rPr>
          <w:rFonts w:ascii="Times New Roman" w:hAnsi="Times New Roman" w:eastAsia="仿宋_GB2312" w:cs="仿宋_GB2312"/>
          <w:b w:val="0"/>
          <w:bCs w:val="0"/>
          <w:sz w:val="30"/>
          <w:szCs w:val="30"/>
        </w:rPr>
        <w:t>社会保障和就业（类）行政事业单位养老支出（款）其他行政事业单位养老支出（项）</w:t>
      </w:r>
    </w:p>
    <w:p w14:paraId="2001CFB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年初预算为19.10万元，支出决算为19.10万元，完成年初预算的100％，用于其他养老相关待遇保障支出。</w:t>
      </w:r>
    </w:p>
    <w:p w14:paraId="24EF968F">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（7）</w:t>
      </w:r>
      <w:r>
        <w:rPr>
          <w:rFonts w:ascii="Times New Roman" w:hAnsi="Times New Roman" w:eastAsia="仿宋_GB2312" w:cs="仿宋_GB2312"/>
          <w:b w:val="0"/>
          <w:bCs w:val="0"/>
          <w:sz w:val="30"/>
          <w:szCs w:val="30"/>
        </w:rPr>
        <w:t>卫生健康（类）行政事业单位医疗（款）行政单位医疗（项）</w:t>
      </w:r>
    </w:p>
    <w:p w14:paraId="714DFD35">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年初预算为7.66万元，支出决算为7.66万元，完成年初预算的100％，按规定标准足额缴纳在职人员基本医疗保险。</w:t>
      </w:r>
    </w:p>
    <w:p w14:paraId="002D3382">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（8）</w:t>
      </w:r>
      <w:r>
        <w:rPr>
          <w:rFonts w:ascii="Times New Roman" w:hAnsi="Times New Roman" w:eastAsia="仿宋_GB2312" w:cs="仿宋_GB2312"/>
          <w:b w:val="0"/>
          <w:bCs w:val="0"/>
          <w:sz w:val="30"/>
          <w:szCs w:val="30"/>
        </w:rPr>
        <w:t>卫生健康（类）行政事业单位医疗（款）其他行政事业单位医疗支出（项）</w:t>
      </w:r>
    </w:p>
    <w:p w14:paraId="2C54153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年初预算为0.80万元，支出决算为0.80万元，完成年初预算的100％，用于其他医疗相关补助支出。</w:t>
      </w:r>
    </w:p>
    <w:p w14:paraId="42033525">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（9）</w:t>
      </w:r>
      <w:r>
        <w:rPr>
          <w:rFonts w:ascii="Times New Roman" w:hAnsi="Times New Roman" w:eastAsia="仿宋_GB2312" w:cs="仿宋_GB2312"/>
          <w:b w:val="0"/>
          <w:bCs w:val="0"/>
          <w:sz w:val="30"/>
          <w:szCs w:val="30"/>
        </w:rPr>
        <w:t>住房保障（类）住房改革支出（款）住房公积金（项）</w:t>
      </w:r>
    </w:p>
    <w:p w14:paraId="2934877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年初预算为2.43万元，支出决算为2.43万元，完成年初预算的100％，按规定标准足额缴纳在职人员住房公积金。</w:t>
      </w:r>
    </w:p>
    <w:p w14:paraId="2580F09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按照支出功能分类，</w:t>
      </w:r>
      <w:r>
        <w:rPr>
          <w:rFonts w:ascii="Times New Roman" w:hAnsi="Times New Roman" w:eastAsia="仿宋_GB2312" w:cs="仿宋_GB2312"/>
          <w:b/>
          <w:sz w:val="30"/>
          <w:szCs w:val="30"/>
        </w:rPr>
        <w:t>农林水方面的支出规模较大</w:t>
      </w:r>
      <w:r>
        <w:rPr>
          <w:rFonts w:ascii="Times New Roman" w:hAnsi="Times New Roman" w:eastAsia="仿宋_GB2312" w:cs="仿宋_GB2312"/>
          <w:sz w:val="30"/>
          <w:szCs w:val="30"/>
        </w:rPr>
        <w:t>，2025年度决算数为220.17万元，占一般公共预算财政拨款支出总额的76.27％，主要用于农村土地承包管理、宅基地改革、集体产权制度改革、新型经营主体培育、农民权益维护等方面，是支撑全市农村经营管理事业发展、推进乡村全面振兴的重要资金保障。</w:t>
      </w:r>
    </w:p>
    <w:p w14:paraId="5BBB07E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3" w:name="heading_16"/>
      <w:r>
        <w:rPr>
          <w:rFonts w:hint="eastAsia" w:cs="楷体_GB2312"/>
          <w:b w:val="0"/>
          <w:bCs w:val="0"/>
          <w:sz w:val="30"/>
          <w:szCs w:val="30"/>
          <w:lang w:eastAsia="zh-CN"/>
        </w:rPr>
        <w:t>（六）</w:t>
      </w:r>
      <w:r>
        <w:rPr>
          <w:rFonts w:ascii="Times New Roman" w:hAnsi="Times New Roman" w:eastAsia="楷体_GB2312" w:cs="楷体_GB2312"/>
          <w:b w:val="0"/>
          <w:bCs w:val="0"/>
          <w:sz w:val="30"/>
          <w:szCs w:val="30"/>
        </w:rPr>
        <w:t>一般公共预算财政拨款基本支出决算情况说明</w:t>
      </w:r>
      <w:bookmarkEnd w:id="13"/>
    </w:p>
    <w:p w14:paraId="5C2E9F05">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2025年度一般公共预算财政拨款基本支出</w:t>
      </w:r>
      <w:r>
        <w:rPr>
          <w:rFonts w:ascii="Times New Roman" w:hAnsi="Times New Roman" w:eastAsia="仿宋_GB2312" w:cs="仿宋_GB2312"/>
          <w:b/>
          <w:sz w:val="30"/>
          <w:szCs w:val="30"/>
        </w:rPr>
        <w:t>246.98万元</w:t>
      </w:r>
      <w:r>
        <w:rPr>
          <w:rFonts w:ascii="Times New Roman" w:hAnsi="Times New Roman" w:eastAsia="仿宋_GB2312" w:cs="仿宋_GB2312"/>
          <w:sz w:val="30"/>
          <w:szCs w:val="30"/>
        </w:rPr>
        <w:t>，其中：</w:t>
      </w:r>
    </w:p>
    <w:p w14:paraId="2C2076B5">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eastAsia="仿宋_GB2312"/>
          <w:sz w:val="30"/>
          <w:szCs w:val="30"/>
        </w:rPr>
      </w:pPr>
      <w:r>
        <w:rPr>
          <w:rFonts w:ascii="Times New Roman" w:hAnsi="Times New Roman" w:eastAsia="仿宋_GB2312" w:cs="仿宋_GB2312"/>
          <w:b/>
          <w:sz w:val="30"/>
          <w:szCs w:val="30"/>
        </w:rPr>
        <w:t>人员经费233.43万元</w:t>
      </w:r>
      <w:r>
        <w:rPr>
          <w:rFonts w:ascii="Times New Roman" w:hAnsi="Times New Roman" w:eastAsia="仿宋_GB2312" w:cs="仿宋_GB2312"/>
          <w:sz w:val="30"/>
          <w:szCs w:val="30"/>
        </w:rPr>
        <w:t>，占基本支出的94.51％：</w:t>
      </w:r>
    </w:p>
    <w:p w14:paraId="5E82D568">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6" w:firstLineChars="200"/>
        <w:textAlignment w:val="auto"/>
        <w:rPr>
          <w:rFonts w:eastAsia="仿宋_GB2312"/>
          <w:b w:val="0"/>
          <w:bCs w:val="0"/>
          <w:sz w:val="30"/>
          <w:szCs w:val="30"/>
        </w:rPr>
      </w:pPr>
      <w:r>
        <w:rPr>
          <w:rFonts w:ascii="Times New Roman" w:hAnsi="Times New Roman" w:eastAsia="仿宋_GB2312" w:cs="仿宋_GB2312"/>
          <w:b w:val="0"/>
          <w:bCs w:val="0"/>
          <w:sz w:val="30"/>
          <w:szCs w:val="30"/>
        </w:rPr>
        <w:t>工资福利支出214.25万元，包括基本工资、津贴补贴、奖金、伙食补助费、机关事业单位基本养老保险缴费、职工基本医疗保险缴费、其他社会保障缴费、住房公积金等，严格按照国家、省、市规定的工资福利标准和社会保障政策执行，按月足额发放，保障干部职工合法权益。</w:t>
      </w:r>
    </w:p>
    <w:p w14:paraId="7A36738D">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6" w:firstLineChars="200"/>
        <w:textAlignment w:val="auto"/>
        <w:rPr>
          <w:rFonts w:eastAsia="仿宋_GB2312"/>
          <w:b w:val="0"/>
          <w:bCs w:val="0"/>
          <w:sz w:val="30"/>
          <w:szCs w:val="30"/>
        </w:rPr>
      </w:pPr>
      <w:r>
        <w:rPr>
          <w:rFonts w:ascii="Times New Roman" w:hAnsi="Times New Roman" w:eastAsia="仿宋_GB2312" w:cs="仿宋_GB2312"/>
          <w:b w:val="0"/>
          <w:bCs w:val="0"/>
          <w:sz w:val="30"/>
          <w:szCs w:val="30"/>
        </w:rPr>
        <w:t>对个人和家庭的补助19.19万元，包括抚恤金、生活补助、医疗费补助等，按政策标准发放。</w:t>
      </w:r>
    </w:p>
    <w:p w14:paraId="324C7B04">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eastAsia="仿宋_GB2312"/>
          <w:sz w:val="30"/>
          <w:szCs w:val="30"/>
        </w:rPr>
      </w:pPr>
      <w:r>
        <w:rPr>
          <w:rFonts w:ascii="Times New Roman" w:hAnsi="Times New Roman" w:eastAsia="仿宋_GB2312" w:cs="仿宋_GB2312"/>
          <w:b/>
          <w:sz w:val="30"/>
          <w:szCs w:val="30"/>
        </w:rPr>
        <w:t>公用经费13.54万元</w:t>
      </w:r>
      <w:r>
        <w:rPr>
          <w:rFonts w:ascii="Times New Roman" w:hAnsi="Times New Roman" w:eastAsia="仿宋_GB2312" w:cs="仿宋_GB2312"/>
          <w:sz w:val="30"/>
          <w:szCs w:val="30"/>
        </w:rPr>
        <w:t>，占基本支出的5.49％：</w:t>
      </w:r>
    </w:p>
    <w:p w14:paraId="722AA8FC">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6" w:firstLineChars="200"/>
        <w:textAlignment w:val="auto"/>
        <w:rPr>
          <w:rFonts w:eastAsia="仿宋_GB2312"/>
          <w:b w:val="0"/>
          <w:bCs w:val="0"/>
          <w:sz w:val="30"/>
          <w:szCs w:val="30"/>
        </w:rPr>
      </w:pPr>
      <w:r>
        <w:rPr>
          <w:rFonts w:ascii="Times New Roman" w:hAnsi="Times New Roman" w:eastAsia="仿宋_GB2312" w:cs="仿宋_GB2312"/>
          <w:b w:val="0"/>
          <w:bCs w:val="0"/>
          <w:sz w:val="30"/>
          <w:szCs w:val="30"/>
        </w:rPr>
        <w:t>商品和服务支出13.54万元，包括办公费、邮电费、差旅费、维修费、培训费、公务接待费、工会经费、福利费等，严格执行厉行节约相关规定，重点保障业务科室下乡督导、基层调研等外勤支出，压减非必要一般性支出。</w:t>
      </w:r>
    </w:p>
    <w:p w14:paraId="18C2DA8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基本支出结构合理，人员经费保障职工基本待遇，公用经费满足日常办公需求，无超范围、超标准支出情况。</w:t>
      </w:r>
    </w:p>
    <w:p w14:paraId="77E2D19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4" w:name="heading_17"/>
      <w:r>
        <w:rPr>
          <w:rFonts w:hint="eastAsia" w:cs="楷体_GB2312"/>
          <w:b w:val="0"/>
          <w:bCs w:val="0"/>
          <w:sz w:val="30"/>
          <w:szCs w:val="30"/>
          <w:lang w:eastAsia="zh-CN"/>
        </w:rPr>
        <w:t>（七）</w:t>
      </w:r>
      <w:r>
        <w:rPr>
          <w:rFonts w:ascii="Times New Roman" w:hAnsi="Times New Roman" w:eastAsia="楷体_GB2312" w:cs="楷体_GB2312"/>
          <w:b w:val="0"/>
          <w:bCs w:val="0"/>
          <w:sz w:val="30"/>
          <w:szCs w:val="30"/>
        </w:rPr>
        <w:t>财政拨款“三公”经费支出决算情况说明</w:t>
      </w:r>
      <w:bookmarkEnd w:id="14"/>
    </w:p>
    <w:p w14:paraId="75E2689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bookmarkStart w:id="15" w:name="heading_18"/>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“三公”经费财政拨款支出决算总体情况说明</w:t>
      </w:r>
      <w:bookmarkEnd w:id="15"/>
    </w:p>
    <w:p w14:paraId="7995B169">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2025年度</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三公</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经费财政拨款支出预算为</w:t>
      </w:r>
      <w:r>
        <w:rPr>
          <w:rFonts w:ascii="Times New Roman" w:hAnsi="Times New Roman" w:eastAsia="仿宋_GB2312" w:cs="仿宋_GB2312"/>
          <w:b/>
          <w:sz w:val="30"/>
          <w:szCs w:val="30"/>
        </w:rPr>
        <w:t>1.40万元</w:t>
      </w:r>
      <w:r>
        <w:rPr>
          <w:rFonts w:ascii="Times New Roman" w:hAnsi="Times New Roman" w:eastAsia="仿宋_GB2312" w:cs="仿宋_GB2312"/>
          <w:sz w:val="30"/>
          <w:szCs w:val="30"/>
        </w:rPr>
        <w:t>，支出决算为</w:t>
      </w:r>
      <w:r>
        <w:rPr>
          <w:rFonts w:ascii="Times New Roman" w:hAnsi="Times New Roman" w:eastAsia="仿宋_GB2312" w:cs="仿宋_GB2312"/>
          <w:b/>
          <w:sz w:val="30"/>
          <w:szCs w:val="30"/>
        </w:rPr>
        <w:t>0.55万元</w:t>
      </w:r>
      <w:r>
        <w:rPr>
          <w:rFonts w:ascii="Times New Roman" w:hAnsi="Times New Roman" w:eastAsia="仿宋_GB2312" w:cs="仿宋_GB2312"/>
          <w:sz w:val="30"/>
          <w:szCs w:val="30"/>
        </w:rPr>
        <w:t>，完成预算的39.29％；与2024年相比减少1.12万元，下降67.07％。决算数小于预算数的主要原因是严格控制接待规模，厉行节约，大力压减公务接待支出；决算数小于上年数的主要原因是落实过紧日子要求，优化公务接待管理，减少非必要接待，</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三公</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经费压减成效显著。</w:t>
      </w:r>
    </w:p>
    <w:p w14:paraId="78FB0268">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bookmarkStart w:id="16" w:name="heading_19"/>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“三公”经费财政拨款支出决算具体情况说明</w:t>
      </w:r>
      <w:bookmarkEnd w:id="16"/>
    </w:p>
    <w:p w14:paraId="579D25A8">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（1）</w:t>
      </w:r>
      <w:r>
        <w:rPr>
          <w:rFonts w:ascii="Times New Roman" w:hAnsi="Times New Roman" w:eastAsia="仿宋_GB2312" w:cs="仿宋_GB2312"/>
          <w:b w:val="0"/>
          <w:bCs w:val="0"/>
          <w:sz w:val="30"/>
          <w:szCs w:val="30"/>
        </w:rPr>
        <w:t>因公出国（境）费</w:t>
      </w:r>
    </w:p>
    <w:p w14:paraId="68EB9F2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支出预算为0万元，支出决算为0万元，与上年一致，单位业务聚焦市内农村经营管理，无国际交流合作需求，未安排因公出国（境）任务及经费。</w:t>
      </w:r>
    </w:p>
    <w:p w14:paraId="10D95EEE">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（2）</w:t>
      </w:r>
      <w:r>
        <w:rPr>
          <w:rFonts w:ascii="Times New Roman" w:hAnsi="Times New Roman" w:eastAsia="仿宋_GB2312" w:cs="仿宋_GB2312"/>
          <w:b w:val="0"/>
          <w:bCs w:val="0"/>
          <w:sz w:val="30"/>
          <w:szCs w:val="30"/>
        </w:rPr>
        <w:t>公务用车购置费及运行维护费</w:t>
      </w:r>
    </w:p>
    <w:p w14:paraId="30C5600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0万元，支出决算为0万元，与上年一致，单位无公务用车编制，日常公务交通依赖公务交通补贴及差旅费核算，未单独列支公务用车相关费用。截至2025年12月31日，本单位无开支财政拨款的公务用车保有量。</w:t>
      </w:r>
    </w:p>
    <w:p w14:paraId="4553E2BC">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sz w:val="30"/>
          <w:szCs w:val="30"/>
        </w:rPr>
      </w:pPr>
      <w:r>
        <w:rPr>
          <w:rFonts w:hint="eastAsia" w:cs="仿宋_GB2312"/>
          <w:b w:val="0"/>
          <w:bCs w:val="0"/>
          <w:sz w:val="30"/>
          <w:szCs w:val="30"/>
          <w:lang w:eastAsia="zh-CN"/>
        </w:rPr>
        <w:t>（3）</w:t>
      </w:r>
      <w:r>
        <w:rPr>
          <w:rFonts w:ascii="Times New Roman" w:hAnsi="Times New Roman" w:eastAsia="仿宋_GB2312" w:cs="仿宋_GB2312"/>
          <w:b w:val="0"/>
          <w:bCs w:val="0"/>
          <w:sz w:val="30"/>
          <w:szCs w:val="30"/>
        </w:rPr>
        <w:t>公务接待费</w:t>
      </w:r>
    </w:p>
    <w:p w14:paraId="3C891BD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支出预算为1.40万元，支出决算为0.55万元，完成预算的39.29％；与2024年相比减少1.12万元，下降67.07％。决算数小于预算数及上年数的主要原因是严格执行《怀化市市直机关公务接待管理办法》，严控接待次数、规模与标准，优先采用机关食堂接待，减少外部接待支出；2025年接待任务主要为上级业务督导、县市区工作交流，接待频次较上年减少。2025年度共接待来访团组9个、来宾72人次，主要为上级农村经营工作调研、县市区农经工作交流接待。</w:t>
      </w:r>
    </w:p>
    <w:p w14:paraId="7EF7013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7" w:name="heading_20"/>
      <w:r>
        <w:rPr>
          <w:rFonts w:hint="eastAsia" w:cs="楷体_GB2312"/>
          <w:b w:val="0"/>
          <w:bCs w:val="0"/>
          <w:sz w:val="30"/>
          <w:szCs w:val="30"/>
          <w:lang w:eastAsia="zh-CN"/>
        </w:rPr>
        <w:t>（八）</w:t>
      </w:r>
      <w:r>
        <w:rPr>
          <w:rFonts w:ascii="Times New Roman" w:hAnsi="Times New Roman" w:eastAsia="楷体_GB2312" w:cs="楷体_GB2312"/>
          <w:b w:val="0"/>
          <w:bCs w:val="0"/>
          <w:sz w:val="30"/>
          <w:szCs w:val="30"/>
        </w:rPr>
        <w:t>政府性基金预算收入支出决算情况</w:t>
      </w:r>
      <w:bookmarkEnd w:id="17"/>
    </w:p>
    <w:p w14:paraId="47666BA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政府性基金预算财政拨款收入0万元；年初结转和结余0万元；支出0万元，其中基本支出0万元，项目支出0万元；年末结转和结余0万元。本单位无政府性基金收支，主要原因是单位职能聚焦农村经营管理，不涉及城市基础设施建设、土地出让、彩票公益金等政府性基金相关业务，未承担需使用政府性基金的项目。</w:t>
      </w:r>
    </w:p>
    <w:p w14:paraId="2781FA3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8" w:name="heading_21"/>
      <w:r>
        <w:rPr>
          <w:rFonts w:hint="eastAsia" w:cs="楷体_GB2312"/>
          <w:b w:val="0"/>
          <w:bCs w:val="0"/>
          <w:sz w:val="30"/>
          <w:szCs w:val="30"/>
          <w:lang w:eastAsia="zh-CN"/>
        </w:rPr>
        <w:t>（九）</w:t>
      </w:r>
      <w:r>
        <w:rPr>
          <w:rFonts w:ascii="Times New Roman" w:hAnsi="Times New Roman" w:eastAsia="楷体_GB2312" w:cs="楷体_GB2312"/>
          <w:b w:val="0"/>
          <w:bCs w:val="0"/>
          <w:sz w:val="30"/>
          <w:szCs w:val="30"/>
        </w:rPr>
        <w:t>国有资本经营预算收入支出决算情况</w:t>
      </w:r>
      <w:bookmarkEnd w:id="18"/>
    </w:p>
    <w:p w14:paraId="3E93E72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2025年度国有资本经营预算财政拨款收入0万元；年初结转和结余0万元；支出0万元，其中基本支出0万元，项目支出0万元；年末结转和结余0万元。本单位无国有资本经营预算收支，主要原因是单位为行政类事业单位，不涉及国有资本投资、运营及收益分配，未开展国有资本经营相关活动。</w:t>
      </w:r>
    </w:p>
    <w:p w14:paraId="081DF84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9" w:name="heading_22"/>
      <w:r>
        <w:rPr>
          <w:rFonts w:hint="eastAsia" w:cs="楷体_GB2312"/>
          <w:b w:val="0"/>
          <w:bCs w:val="0"/>
          <w:sz w:val="30"/>
          <w:szCs w:val="30"/>
          <w:lang w:eastAsia="zh-CN"/>
        </w:rPr>
        <w:t>（十）</w:t>
      </w:r>
      <w:r>
        <w:rPr>
          <w:rFonts w:ascii="Times New Roman" w:hAnsi="Times New Roman" w:eastAsia="楷体_GB2312" w:cs="楷体_GB2312"/>
          <w:b w:val="0"/>
          <w:bCs w:val="0"/>
          <w:sz w:val="30"/>
          <w:szCs w:val="30"/>
        </w:rPr>
        <w:t>关于机关运行经费支出说明</w:t>
      </w:r>
      <w:bookmarkEnd w:id="19"/>
    </w:p>
    <w:p w14:paraId="3526FAD7">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本部门2025年度机关运行经费支出</w:t>
      </w:r>
      <w:r>
        <w:rPr>
          <w:rFonts w:ascii="Times New Roman" w:hAnsi="Times New Roman" w:eastAsia="仿宋_GB2312" w:cs="仿宋_GB2312"/>
          <w:b/>
          <w:sz w:val="30"/>
          <w:szCs w:val="30"/>
        </w:rPr>
        <w:t>13.54万元</w:t>
      </w:r>
      <w:r>
        <w:rPr>
          <w:rFonts w:ascii="Times New Roman" w:hAnsi="Times New Roman" w:eastAsia="仿宋_GB2312" w:cs="仿宋_GB2312"/>
          <w:sz w:val="30"/>
          <w:szCs w:val="30"/>
        </w:rPr>
        <w:t>（与部门决算中参照公务员法管理事业单位财政拨款基本支出中公用经费之和一致），比2024年26.63万元减少13.09万元，下降49.15％，主要原因是严格落实过紧日子要求，大力压减一般性支出，办公费、差旅费、会议费等非刚性支出大幅缩减；优化办公耗材、水电等成本管控，公用经费使用效能提升。机关运行经费主要用于办公费、差旅费、公务接待费、工会经费等，保障单位日常办公及业务开展。</w:t>
      </w:r>
    </w:p>
    <w:p w14:paraId="5AC05CE3">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0" w:name="heading_23"/>
      <w:r>
        <w:rPr>
          <w:rFonts w:hint="eastAsia" w:cs="楷体_GB2312"/>
          <w:b w:val="0"/>
          <w:bCs w:val="0"/>
          <w:sz w:val="30"/>
          <w:szCs w:val="30"/>
          <w:lang w:eastAsia="zh-CN"/>
        </w:rPr>
        <w:t>（十一）</w:t>
      </w:r>
      <w:r>
        <w:rPr>
          <w:rFonts w:ascii="Times New Roman" w:hAnsi="Times New Roman" w:eastAsia="楷体_GB2312" w:cs="楷体_GB2312"/>
          <w:b w:val="0"/>
          <w:bCs w:val="0"/>
          <w:sz w:val="30"/>
          <w:szCs w:val="30"/>
        </w:rPr>
        <w:t>一般性支出情况说明</w:t>
      </w:r>
      <w:bookmarkEnd w:id="20"/>
    </w:p>
    <w:p w14:paraId="10B45547">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2025年本部门开支会议费</w:t>
      </w:r>
      <w:r>
        <w:rPr>
          <w:rFonts w:ascii="Times New Roman" w:hAnsi="Times New Roman" w:eastAsia="仿宋_GB2312" w:cs="仿宋_GB2312"/>
          <w:b/>
          <w:sz w:val="30"/>
          <w:szCs w:val="30"/>
        </w:rPr>
        <w:t>0.28万元</w:t>
      </w:r>
      <w:r>
        <w:rPr>
          <w:rFonts w:ascii="Times New Roman" w:hAnsi="Times New Roman" w:eastAsia="仿宋_GB2312" w:cs="仿宋_GB2312"/>
          <w:sz w:val="30"/>
          <w:szCs w:val="30"/>
        </w:rPr>
        <w:t>，用于召开农村集体产权制度改革推进会、宅基地管理工作部署会等专项工作会议，严格控制会议规模，优先采用内部会议室，无场地租赁等高额支出；开支培训费</w:t>
      </w:r>
      <w:r>
        <w:rPr>
          <w:rFonts w:ascii="Times New Roman" w:hAnsi="Times New Roman" w:eastAsia="仿宋_GB2312" w:cs="仿宋_GB2312"/>
          <w:b/>
          <w:sz w:val="30"/>
          <w:szCs w:val="30"/>
        </w:rPr>
        <w:t>3.73万元</w:t>
      </w:r>
      <w:r>
        <w:rPr>
          <w:rFonts w:ascii="Times New Roman" w:hAnsi="Times New Roman" w:eastAsia="仿宋_GB2312" w:cs="仿宋_GB2312"/>
          <w:sz w:val="30"/>
          <w:szCs w:val="30"/>
        </w:rPr>
        <w:t>，用于开展农村</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三资</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监管培训、土地承包纠纷仲裁培训、新型经营主体培育培训等，覆盖市县乡三级农经业务人员，培训内容贴合基层工作需求；未举办节庆、晚会、论坛、赛事等活动，无相关开支，严格遵循</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过紧日子</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要求，杜绝非必要活动支出。</w:t>
      </w:r>
    </w:p>
    <w:p w14:paraId="4B2139E5">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1" w:name="heading_24"/>
      <w:r>
        <w:rPr>
          <w:rFonts w:hint="eastAsia" w:cs="楷体_GB2312"/>
          <w:b w:val="0"/>
          <w:bCs w:val="0"/>
          <w:sz w:val="30"/>
          <w:szCs w:val="30"/>
          <w:lang w:eastAsia="zh-CN"/>
        </w:rPr>
        <w:t>（十二）</w:t>
      </w:r>
      <w:r>
        <w:rPr>
          <w:rFonts w:ascii="Times New Roman" w:hAnsi="Times New Roman" w:eastAsia="楷体_GB2312" w:cs="楷体_GB2312"/>
          <w:b w:val="0"/>
          <w:bCs w:val="0"/>
          <w:sz w:val="30"/>
          <w:szCs w:val="30"/>
        </w:rPr>
        <w:t>关于政府采购支出说明</w:t>
      </w:r>
      <w:bookmarkEnd w:id="21"/>
    </w:p>
    <w:p w14:paraId="05FC454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本部门2025年度政府采购支出总额</w:t>
      </w:r>
      <w:r>
        <w:rPr>
          <w:rFonts w:ascii="Times New Roman" w:hAnsi="Times New Roman" w:eastAsia="仿宋_GB2312" w:cs="仿宋_GB2312"/>
          <w:b/>
          <w:sz w:val="30"/>
          <w:szCs w:val="30"/>
        </w:rPr>
        <w:t>9.15万元</w:t>
      </w:r>
      <w:r>
        <w:rPr>
          <w:rFonts w:ascii="Times New Roman" w:hAnsi="Times New Roman" w:eastAsia="仿宋_GB2312" w:cs="仿宋_GB2312"/>
          <w:sz w:val="30"/>
          <w:szCs w:val="30"/>
        </w:rPr>
        <w:t>，其中：政府采购货物支出2.96万元、政府采购工程支出0万元、政府采购服务支出6.19万元。授予中小企业合同金额9.15万元，占政府采购支出总额的100％，其中：授予小微企业合同金额9.15万元，占授予中小企业合同金额的100％。货物采购授予中小企业合同金额占货物支出金额的100％，工程采购授予中小企业合同金额占工程支出金额的0％，服务采购授予中小企业合同金额占服务支出金额的100％。</w:t>
      </w:r>
    </w:p>
    <w:p w14:paraId="4431FA00">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政府采购金额计算口径为纳入2025年度部门预算范围的各项政府采购支出金额之和，不包括涉密采购项目的支出金额。采购主要涉及办公设备购置、专业技术服务、信息化运维服务等，按规定程序实施，符合支持中小企业发展政策。</w:t>
      </w:r>
    </w:p>
    <w:p w14:paraId="4765F0D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2" w:name="heading_25"/>
      <w:r>
        <w:rPr>
          <w:rFonts w:hint="eastAsia" w:cs="楷体_GB2312"/>
          <w:b w:val="0"/>
          <w:bCs w:val="0"/>
          <w:sz w:val="30"/>
          <w:szCs w:val="30"/>
          <w:lang w:eastAsia="zh-CN"/>
        </w:rPr>
        <w:t>（十三）</w:t>
      </w:r>
      <w:r>
        <w:rPr>
          <w:rFonts w:ascii="Times New Roman" w:hAnsi="Times New Roman" w:eastAsia="楷体_GB2312" w:cs="楷体_GB2312"/>
          <w:b w:val="0"/>
          <w:bCs w:val="0"/>
          <w:sz w:val="30"/>
          <w:szCs w:val="30"/>
        </w:rPr>
        <w:t>关于国有资产占用情况说明</w:t>
      </w:r>
      <w:bookmarkEnd w:id="22"/>
    </w:p>
    <w:p w14:paraId="2F0E49D4">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截至2025年12月31日，共有车辆0辆，其中副部（省）级及以上领导用车、主要负责人用车、机要通信用车、应急保障用车、执法执勤用车、特种专业技术用车、离退休干部服务用车、其他用车均为0辆；单位价值100万元以上设备（不含车辆）0台（套）。</w:t>
      </w:r>
    </w:p>
    <w:p w14:paraId="59158E6C">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资产管理方面，制定《怀化市农村经营事务中心固定资产管理制度》，规范资产配置、使用与处置流程；资产配置严格按预算执行，2025年少量补充通用办公设备均按规定程序采购；建立资产电子台账，纳入行政事业单位资产管理系统，定期开展资产清查，确保账实相符；处置资产严格履行审批程序，2025年无重大资产处置事项。</w:t>
      </w:r>
    </w:p>
    <w:p w14:paraId="2A59B0D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3" w:name="heading_26"/>
      <w:r>
        <w:rPr>
          <w:rFonts w:hint="eastAsia" w:cs="楷体_GB2312"/>
          <w:b w:val="0"/>
          <w:bCs w:val="0"/>
          <w:sz w:val="30"/>
          <w:szCs w:val="30"/>
          <w:lang w:eastAsia="zh-CN"/>
        </w:rPr>
        <w:t>（十四）</w:t>
      </w:r>
      <w:r>
        <w:rPr>
          <w:rFonts w:ascii="Times New Roman" w:hAnsi="Times New Roman" w:eastAsia="楷体_GB2312" w:cs="楷体_GB2312"/>
          <w:b w:val="0"/>
          <w:bCs w:val="0"/>
          <w:sz w:val="30"/>
          <w:szCs w:val="30"/>
        </w:rPr>
        <w:t>关于2025年度预算绩效管理情况的说明</w:t>
      </w:r>
      <w:bookmarkEnd w:id="23"/>
    </w:p>
    <w:p w14:paraId="055DD7C2">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24" w:name="heading_27"/>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绩效评价工作开展情况</w:t>
      </w:r>
      <w:bookmarkEnd w:id="24"/>
    </w:p>
    <w:p w14:paraId="5BA0FD00">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（1）</w:t>
      </w:r>
      <w:r>
        <w:rPr>
          <w:rStyle w:val="19"/>
          <w:sz w:val="30"/>
          <w:szCs w:val="30"/>
        </w:rPr>
        <w:t>绩效自评开展情况</w:t>
      </w:r>
      <w:r>
        <w:rPr>
          <w:rFonts w:ascii="Times New Roman" w:hAnsi="Times New Roman" w:eastAsia="仿宋_GB2312" w:cs="仿宋_GB2312"/>
          <w:sz w:val="30"/>
          <w:szCs w:val="30"/>
        </w:rPr>
        <w:t>：组织对2025年度本部门整体支出及4个项目支出（农村产权交易工作专项、平安建设（土地仲裁）工作经费、农民合作社扶持（引导）资金、农村土地制度改革工作经费）开展绩效自评，涉及资金288.66万元。其中，一般公共预算项目4个，涉及资金41.68万元，占一般公共预算支出总额的14.44％；政府性基金预算项目0个、国有资本经营预算项目0个、社会保险基金预算项目0个，均无相关资金。</w:t>
      </w:r>
    </w:p>
    <w:p w14:paraId="0D352078">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（2）</w:t>
      </w:r>
      <w:r>
        <w:rPr>
          <w:rStyle w:val="19"/>
          <w:sz w:val="30"/>
          <w:szCs w:val="30"/>
        </w:rPr>
        <w:t>部门评价开展情况</w:t>
      </w:r>
      <w:r>
        <w:rPr>
          <w:rFonts w:ascii="Times New Roman" w:hAnsi="Times New Roman" w:eastAsia="仿宋_GB2312" w:cs="仿宋_GB2312"/>
          <w:sz w:val="30"/>
          <w:szCs w:val="30"/>
        </w:rPr>
        <w:t>：组织对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农村土地制度改革工作经费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平安建设（土地仲裁）工作经费</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2个重点项目开展部门评价，涉及一般公共预算支出23.46万元，政府性基金预算支出0万元，国有资本经营预算支出0万元，社会保险基金预算支出0万元。评价通过实地核查、数据比对、满意度调查等方式，邀请农业经济专家参与，形成部门评价报告。</w:t>
      </w:r>
    </w:p>
    <w:p w14:paraId="7E2D66B2">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（3）</w:t>
      </w:r>
      <w:r>
        <w:rPr>
          <w:rStyle w:val="19"/>
          <w:sz w:val="30"/>
          <w:szCs w:val="30"/>
        </w:rPr>
        <w:t>事前绩效评估开展情况</w:t>
      </w:r>
      <w:r>
        <w:rPr>
          <w:rFonts w:ascii="Times New Roman" w:hAnsi="Times New Roman" w:eastAsia="仿宋_GB2312" w:cs="仿宋_GB2312"/>
          <w:sz w:val="30"/>
          <w:szCs w:val="30"/>
        </w:rPr>
        <w:t>：组织对2个新增重大项目开展事前绩效评估，共涉及资金33.47万元。评估重点围绕项目立项必要性、预算合理性、实施可行性、绩效目标科学性等方面开展，为项目立项和预算安排提供依据。</w:t>
      </w:r>
    </w:p>
    <w:p w14:paraId="67BD7B7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25" w:name="heading_28"/>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绩效评价结果</w:t>
      </w:r>
      <w:bookmarkEnd w:id="25"/>
    </w:p>
    <w:p w14:paraId="22FAE54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（1）</w:t>
      </w:r>
      <w:r>
        <w:rPr>
          <w:rStyle w:val="19"/>
          <w:sz w:val="30"/>
          <w:szCs w:val="30"/>
        </w:rPr>
        <w:t>绩效自评结果</w:t>
      </w:r>
      <w:r>
        <w:rPr>
          <w:rFonts w:ascii="Times New Roman" w:hAnsi="Times New Roman" w:eastAsia="仿宋_GB2312" w:cs="仿宋_GB2312"/>
          <w:sz w:val="30"/>
          <w:szCs w:val="30"/>
        </w:rPr>
        <w:t>：2025年度本部门整体支出全年预算数293.20万元，执行数288.66万元，完成预算的98.45％，绩效自评得分98分，评价等级为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w:t>
      </w:r>
    </w:p>
    <w:p w14:paraId="75C511C8">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绩效目标完成情况</w:t>
      </w:r>
      <w:r>
        <w:rPr>
          <w:rFonts w:ascii="Times New Roman" w:hAnsi="Times New Roman" w:eastAsia="仿宋_GB2312" w:cs="仿宋_GB2312"/>
          <w:sz w:val="30"/>
          <w:szCs w:val="30"/>
        </w:rPr>
        <w:t>：一是农村宅基地管理成效显著，全市完成农村违法违规建住房摸排366810宗，整治到位7494宗，农村建房线上审批全面推行，审批时限压缩至16个工作日内；二是农村集体产权制度改革持续深化，集体</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三资</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专项整治排查问题6160个，整改率99.87％；三是新型农业经营主体提质增效，全市农民合作社达9322家、家庭农场达3881家，农业社会化服务面积6.41万亩，同比增长28.56％；四是农村土地</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三权分置</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改革成果突出，二轮土地承包延包试点总完成率100％，改革经验上报农业农村部；五是农民权益保障有力，土地承包纠纷调解成功率100％，农民负担监管持续加强。</w:t>
      </w:r>
    </w:p>
    <w:p w14:paraId="0CBC8CFC">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发现的主要问题及原因</w:t>
      </w:r>
      <w:r>
        <w:rPr>
          <w:rFonts w:ascii="Times New Roman" w:hAnsi="Times New Roman" w:eastAsia="仿宋_GB2312" w:cs="仿宋_GB2312"/>
          <w:sz w:val="30"/>
          <w:szCs w:val="30"/>
        </w:rPr>
        <w:t>：一是预算编制精准性有待提升，人员变动、新增任务等因素导致年初预算与实际执行存在差异；二是基层农经队伍力量薄弱，乡镇兼职人员多，影响工作质效；三是信息化整合程度不高，各业务系统数据不互通；四是项目资金统筹整合力度有待加强。</w:t>
      </w:r>
    </w:p>
    <w:p w14:paraId="2806FD9A">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下一步改进措施</w:t>
      </w:r>
      <w:r>
        <w:rPr>
          <w:rFonts w:ascii="Times New Roman" w:hAnsi="Times New Roman" w:eastAsia="仿宋_GB2312" w:cs="仿宋_GB2312"/>
          <w:sz w:val="30"/>
          <w:szCs w:val="30"/>
        </w:rPr>
        <w:t>：一是科学精准编制预算，强化前期调研，提升预算精准度；二是加强基层队伍建设，加大培训力度，提升整体业务能力；三是推进信息化整合，打破数据壁垒，赋能业务发展；四是统筹整合项目资金，提升资金使用效益。</w:t>
      </w:r>
    </w:p>
    <w:p w14:paraId="3BD9158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（2）</w:t>
      </w:r>
      <w:r>
        <w:rPr>
          <w:rStyle w:val="19"/>
          <w:sz w:val="30"/>
          <w:szCs w:val="30"/>
        </w:rPr>
        <w:t>部门评价结果</w:t>
      </w:r>
      <w:r>
        <w:rPr>
          <w:rFonts w:ascii="Times New Roman" w:hAnsi="Times New Roman" w:eastAsia="仿宋_GB2312" w:cs="仿宋_GB2312"/>
          <w:sz w:val="30"/>
          <w:szCs w:val="30"/>
        </w:rPr>
        <w:t>：</w:t>
      </w:r>
    </w:p>
    <w:p w14:paraId="55628009">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农村土地制度改革工作经费项目</w:t>
      </w:r>
      <w:r>
        <w:rPr>
          <w:rFonts w:ascii="Times New Roman" w:hAnsi="Times New Roman" w:eastAsia="仿宋_GB2312" w:cs="仿宋_GB2312"/>
          <w:sz w:val="30"/>
          <w:szCs w:val="30"/>
        </w:rPr>
        <w:t>：全年预算数19.46万元，执行数19.46万元，完成预算的100％，部门评价得分98分，评价等级为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。项目有效支撑二轮土地延包、</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三权</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分置改革落地，成效显著，但存在区域发展不平衡问题。下一步改进措施：设立专项引导资金，补贴偏远县市区改革工作。</w:t>
      </w:r>
    </w:p>
    <w:p w14:paraId="4D8BBF24">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sz w:val="30"/>
          <w:szCs w:val="30"/>
        </w:rPr>
      </w:pPr>
      <w:r>
        <w:rPr>
          <w:rFonts w:ascii="Times New Roman" w:hAnsi="Times New Roman" w:eastAsia="仿宋_GB2312" w:cs="仿宋_GB2312"/>
          <w:b/>
          <w:sz w:val="30"/>
          <w:szCs w:val="30"/>
        </w:rPr>
        <w:t>平安建设（土地仲裁）工作经费项目</w:t>
      </w:r>
      <w:r>
        <w:rPr>
          <w:rFonts w:ascii="Times New Roman" w:hAnsi="Times New Roman" w:eastAsia="仿宋_GB2312" w:cs="仿宋_GB2312"/>
          <w:sz w:val="30"/>
          <w:szCs w:val="30"/>
        </w:rPr>
        <w:t>：全年预算数4.00万元，执行数4.00万元，完成预算的100％，部门评价得分97分，评价等级为</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优秀</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。纠纷调解成功率100％，但复杂纠纷勘查效率有待提升。下一步改进措施：配备专业勘查设备，提升纠纷处置效率。</w:t>
      </w:r>
    </w:p>
    <w:p w14:paraId="33F970A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（3）</w:t>
      </w:r>
      <w:r>
        <w:rPr>
          <w:rStyle w:val="19"/>
          <w:sz w:val="30"/>
          <w:szCs w:val="30"/>
        </w:rPr>
        <w:t>事前绩效评估结果</w:t>
      </w:r>
      <w:r>
        <w:rPr>
          <w:rFonts w:ascii="Times New Roman" w:hAnsi="Times New Roman" w:eastAsia="仿宋_GB2312" w:cs="仿宋_GB2312"/>
          <w:sz w:val="30"/>
          <w:szCs w:val="30"/>
        </w:rPr>
        <w:t>：2025年度2个新增重大项目事前绩效评估均通过，涉及资金33.47万元。评估认为项目符合乡村振兴和农村改革发展要求，预算测算合理，实施可行，按程序立项并安排预算。</w:t>
      </w:r>
    </w:p>
    <w:p w14:paraId="4A677D58">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26" w:name="heading_29"/>
      <w:r>
        <w:rPr>
          <w:rFonts w:hint="eastAsia" w:cs="仿宋_GB2312"/>
          <w:b w:val="0"/>
          <w:bCs w:val="0"/>
          <w:sz w:val="30"/>
          <w:szCs w:val="30"/>
          <w:lang w:eastAsia="zh-CN"/>
        </w:rPr>
        <w:t>3.</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评价结果应用情况</w:t>
      </w:r>
      <w:bookmarkEnd w:id="26"/>
    </w:p>
    <w:p w14:paraId="24873A99">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根据2025年度绩效评价结果，在2026年度预算安排、支出结构调整、资金管理、制度建设等方面强化结果应用：</w:t>
      </w:r>
    </w:p>
    <w:p w14:paraId="4045E0B1">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（1）</w:t>
      </w:r>
      <w:r>
        <w:rPr>
          <w:rStyle w:val="19"/>
          <w:sz w:val="30"/>
          <w:szCs w:val="30"/>
        </w:rPr>
        <w:t>预算安排优化</w:t>
      </w:r>
      <w:r>
        <w:rPr>
          <w:rFonts w:ascii="Times New Roman" w:hAnsi="Times New Roman" w:eastAsia="仿宋_GB2312" w:cs="仿宋_GB2312"/>
          <w:sz w:val="30"/>
          <w:szCs w:val="30"/>
        </w:rPr>
        <w:t>：对绩效优秀的农村土地制度改革、农村产权交易等项目优先保障资金，适当增加预算额度；对绩效一般的项目优化调整，压减低效支出。</w:t>
      </w:r>
    </w:p>
    <w:p w14:paraId="08CFA95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（2）</w:t>
      </w:r>
      <w:r>
        <w:rPr>
          <w:rStyle w:val="19"/>
          <w:sz w:val="30"/>
          <w:szCs w:val="30"/>
        </w:rPr>
        <w:t>支出结构调整</w:t>
      </w:r>
      <w:r>
        <w:rPr>
          <w:rFonts w:ascii="Times New Roman" w:hAnsi="Times New Roman" w:eastAsia="仿宋_GB2312" w:cs="仿宋_GB2312"/>
          <w:sz w:val="30"/>
          <w:szCs w:val="30"/>
        </w:rPr>
        <w:t>：持续压减一般性支出，加大重点改革、基层能力建设领域投入，资金向核心业务、薄弱环节倾斜。</w:t>
      </w:r>
    </w:p>
    <w:p w14:paraId="5B4DC4E4">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（3）</w:t>
      </w:r>
      <w:r>
        <w:rPr>
          <w:rStyle w:val="19"/>
          <w:sz w:val="30"/>
          <w:szCs w:val="30"/>
        </w:rPr>
        <w:t>资金管理强化</w:t>
      </w:r>
      <w:r>
        <w:rPr>
          <w:rFonts w:ascii="Times New Roman" w:hAnsi="Times New Roman" w:eastAsia="仿宋_GB2312" w:cs="仿宋_GB2312"/>
          <w:sz w:val="30"/>
          <w:szCs w:val="30"/>
        </w:rPr>
        <w:t>：修订专项资金管理制度，将绩效评价结果与资金分配挂钩，建立动态监控机制，提升资金使用精准度。</w:t>
      </w:r>
    </w:p>
    <w:p w14:paraId="3C0A582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0"/>
          <w:szCs w:val="30"/>
        </w:rPr>
      </w:pPr>
      <w:r>
        <w:rPr>
          <w:rStyle w:val="19"/>
          <w:rFonts w:hint="eastAsia"/>
          <w:sz w:val="30"/>
          <w:szCs w:val="30"/>
          <w:lang w:eastAsia="zh-CN"/>
        </w:rPr>
        <w:t>（4）</w:t>
      </w:r>
      <w:r>
        <w:rPr>
          <w:rStyle w:val="19"/>
          <w:sz w:val="30"/>
          <w:szCs w:val="30"/>
        </w:rPr>
        <w:t>制度建设完善</w:t>
      </w:r>
      <w:r>
        <w:rPr>
          <w:rFonts w:ascii="Times New Roman" w:hAnsi="Times New Roman" w:eastAsia="仿宋_GB2312" w:cs="仿宋_GB2312"/>
          <w:sz w:val="30"/>
          <w:szCs w:val="30"/>
        </w:rPr>
        <w:t>：针对评价发现的问题，修订完善预算管理、项目管理等制度，建立</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花钱必问效、无效必问责</w:t>
      </w:r>
      <w:r>
        <w:rPr>
          <w:rFonts w:hint="eastAsia" w:ascii="仿宋_GB2312" w:hAnsi="仿宋_GB2312" w:eastAsia="仿宋_GB2312" w:cs="仿宋_GB2312"/>
          <w:spacing w:val="-6"/>
          <w:sz w:val="30"/>
          <w:szCs w:val="30"/>
        </w:rPr>
        <w:t>”</w:t>
      </w:r>
      <w:r>
        <w:rPr>
          <w:rFonts w:ascii="Times New Roman" w:hAnsi="Times New Roman" w:eastAsia="仿宋_GB2312" w:cs="仿宋_GB2312"/>
          <w:sz w:val="30"/>
          <w:szCs w:val="30"/>
        </w:rPr>
        <w:t>的长效机制，充分发挥绩效评价导向作用。</w:t>
      </w:r>
    </w:p>
    <w:p w14:paraId="2C365659">
      <w:pPr>
        <w:rPr>
          <w:rFonts w:ascii="仿宋" w:hAnsi="仿宋" w:eastAsia="仿宋" w:cs="仿宋"/>
          <w:w w:val="100"/>
          <w:sz w:val="30"/>
          <w:szCs w:val="30"/>
        </w:rPr>
      </w:pPr>
    </w:p>
    <w:p w14:paraId="5090017D">
      <w:pPr>
        <w:ind w:firstLine="879" w:firstLineChars="293"/>
        <w:rPr>
          <w:rFonts w:ascii="仿宋" w:hAnsi="仿宋" w:eastAsia="仿宋" w:cs="仿宋"/>
          <w:w w:val="100"/>
          <w:sz w:val="30"/>
          <w:szCs w:val="30"/>
        </w:rPr>
      </w:pPr>
      <w:r>
        <w:rPr>
          <w:rFonts w:hint="eastAsia" w:ascii="仿宋" w:hAnsi="仿宋" w:eastAsia="仿宋" w:cs="仿宋"/>
          <w:w w:val="100"/>
          <w:sz w:val="30"/>
          <w:szCs w:val="30"/>
        </w:rPr>
        <w:br w:type="page"/>
      </w:r>
    </w:p>
    <w:p w14:paraId="50F5A902">
      <w:pPr>
        <w:jc w:val="center"/>
        <w:rPr>
          <w:rFonts w:cs="黑体"/>
          <w:w w:val="100"/>
          <w:sz w:val="52"/>
          <w:szCs w:val="52"/>
        </w:rPr>
      </w:pPr>
      <w:r>
        <w:rPr>
          <w:rFonts w:hint="eastAsia" w:cs="黑体"/>
          <w:w w:val="100"/>
          <w:sz w:val="52"/>
          <w:szCs w:val="52"/>
        </w:rPr>
        <w:t>第四部分  名词解释</w:t>
      </w:r>
    </w:p>
    <w:p w14:paraId="58C62ED1">
      <w:pPr>
        <w:ind w:firstLine="879" w:firstLineChars="293"/>
        <w:rPr>
          <w:rFonts w:ascii="仿宋" w:hAnsi="仿宋" w:eastAsia="仿宋" w:cs="仿宋"/>
          <w:w w:val="100"/>
          <w:sz w:val="30"/>
          <w:szCs w:val="30"/>
        </w:rPr>
      </w:pPr>
      <w:r>
        <w:rPr>
          <w:rFonts w:hint="eastAsia" w:ascii="仿宋" w:hAnsi="仿宋" w:eastAsia="仿宋" w:cs="仿宋"/>
          <w:w w:val="100"/>
          <w:sz w:val="30"/>
          <w:szCs w:val="30"/>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0BB313B">
      <w:pPr>
        <w:ind w:firstLine="879" w:firstLineChars="293"/>
        <w:rPr>
          <w:rFonts w:ascii="仿宋" w:hAnsi="仿宋" w:eastAsia="仿宋" w:cs="仿宋"/>
          <w:w w:val="100"/>
          <w:sz w:val="30"/>
          <w:szCs w:val="30"/>
        </w:rPr>
      </w:pPr>
      <w:r>
        <w:rPr>
          <w:rFonts w:hint="eastAsia" w:ascii="仿宋" w:hAnsi="仿宋" w:eastAsia="仿宋" w:cs="仿宋"/>
          <w:w w:val="100"/>
          <w:sz w:val="30"/>
          <w:szCs w:val="30"/>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EA074EA">
      <w:pPr>
        <w:ind w:firstLine="879" w:firstLineChars="293"/>
        <w:rPr>
          <w:rFonts w:ascii="仿宋" w:hAnsi="仿宋" w:eastAsia="仿宋" w:cs="仿宋"/>
          <w:w w:val="100"/>
          <w:sz w:val="30"/>
          <w:szCs w:val="30"/>
        </w:rPr>
      </w:pPr>
      <w:r>
        <w:rPr>
          <w:rFonts w:hint="eastAsia" w:ascii="仿宋" w:hAnsi="仿宋" w:eastAsia="仿宋" w:cs="仿宋"/>
          <w:w w:val="100"/>
          <w:sz w:val="30"/>
          <w:szCs w:val="30"/>
        </w:rPr>
        <w:t>基本支出：指为保障机构正常运转、完成日常工作任务而发生的人员支出和公用支出，包括工资福利支出、对个人和家庭的补助、商品和服务支出等。</w:t>
      </w:r>
    </w:p>
    <w:p w14:paraId="0BC18F13">
      <w:pPr>
        <w:ind w:firstLine="879" w:firstLineChars="293"/>
        <w:rPr>
          <w:rFonts w:ascii="仿宋" w:hAnsi="仿宋" w:eastAsia="仿宋" w:cs="仿宋"/>
          <w:w w:val="100"/>
          <w:sz w:val="30"/>
          <w:szCs w:val="30"/>
        </w:rPr>
      </w:pPr>
      <w:r>
        <w:rPr>
          <w:rFonts w:hint="eastAsia" w:ascii="仿宋" w:hAnsi="仿宋" w:eastAsia="仿宋" w:cs="仿宋"/>
          <w:w w:val="100"/>
          <w:sz w:val="30"/>
          <w:szCs w:val="30"/>
        </w:rPr>
        <w:t>项目支出：指在基本支出之外为完成特定行政工作任务或事业发展目标所发生的支出，主要用于重大公务接待、专项业务开展、设施提质升级等。</w:t>
      </w:r>
    </w:p>
    <w:p w14:paraId="40D3C487">
      <w:pPr>
        <w:rPr>
          <w:rFonts w:ascii="仿宋" w:hAnsi="仿宋" w:eastAsia="仿宋"/>
          <w:w w:val="100"/>
          <w:sz w:val="30"/>
          <w:szCs w:val="30"/>
        </w:rPr>
      </w:pPr>
      <w:r>
        <w:rPr>
          <w:rFonts w:ascii="仿宋" w:hAnsi="仿宋" w:eastAsia="仿宋"/>
          <w:w w:val="100"/>
          <w:sz w:val="30"/>
          <w:szCs w:val="30"/>
        </w:rPr>
        <w:br w:type="page"/>
      </w:r>
    </w:p>
    <w:p w14:paraId="4A9E52DB">
      <w:pPr>
        <w:jc w:val="center"/>
        <w:rPr>
          <w:rFonts w:cs="黑体"/>
          <w:w w:val="100"/>
          <w:sz w:val="52"/>
          <w:szCs w:val="52"/>
        </w:rPr>
      </w:pPr>
      <w:r>
        <w:rPr>
          <w:rFonts w:hint="eastAsia" w:cs="黑体"/>
          <w:w w:val="100"/>
          <w:sz w:val="52"/>
          <w:szCs w:val="52"/>
        </w:rPr>
        <w:t>第五部分  附件</w:t>
      </w:r>
    </w:p>
    <w:p w14:paraId="097C3ED0">
      <w:pPr>
        <w:ind w:firstLine="567" w:firstLineChars="189"/>
        <w:rPr>
          <w:rFonts w:hint="eastAsia" w:ascii="仿宋" w:hAnsi="仿宋" w:eastAsia="仿宋"/>
          <w:w w:val="100"/>
          <w:sz w:val="30"/>
          <w:szCs w:val="30"/>
        </w:rPr>
      </w:pPr>
    </w:p>
    <w:p w14:paraId="04F57CA8">
      <w:pPr>
        <w:numPr>
          <w:ilvl w:val="0"/>
          <w:numId w:val="1"/>
        </w:numPr>
        <w:ind w:firstLine="567" w:firstLineChars="189"/>
        <w:rPr>
          <w:rFonts w:ascii="仿宋" w:hAnsi="仿宋" w:eastAsia="仿宋"/>
          <w:w w:val="100"/>
          <w:sz w:val="30"/>
          <w:szCs w:val="30"/>
        </w:rPr>
      </w:pPr>
      <w:r>
        <w:rPr>
          <w:rFonts w:hint="eastAsia" w:ascii="仿宋" w:hAnsi="仿宋" w:eastAsia="仿宋"/>
          <w:w w:val="100"/>
          <w:sz w:val="30"/>
          <w:szCs w:val="30"/>
        </w:rPr>
        <w:t>怀化市农村经营事务中心2025年决算公开表</w:t>
      </w:r>
      <w:r>
        <w:rPr>
          <w:rFonts w:hint="default" w:ascii="仿宋" w:hAnsi="仿宋" w:eastAsia="仿宋"/>
          <w:w w:val="100"/>
          <w:sz w:val="30"/>
          <w:szCs w:val="30"/>
        </w:rPr>
        <w:t>；</w:t>
      </w:r>
    </w:p>
    <w:p w14:paraId="56900BF6">
      <w:pPr>
        <w:ind w:firstLine="714" w:firstLineChars="238"/>
        <w:rPr>
          <w:rFonts w:hint="eastAsia" w:ascii="仿宋" w:hAnsi="仿宋" w:eastAsia="仿宋"/>
          <w:w w:val="100"/>
          <w:sz w:val="30"/>
          <w:szCs w:val="30"/>
        </w:rPr>
      </w:pPr>
      <w:r>
        <w:rPr>
          <w:rFonts w:hint="default" w:ascii="仿宋" w:hAnsi="仿宋" w:eastAsia="仿宋"/>
          <w:w w:val="100"/>
          <w:sz w:val="30"/>
          <w:szCs w:val="30"/>
        </w:rPr>
        <w:t>二</w:t>
      </w:r>
      <w:r>
        <w:rPr>
          <w:rFonts w:hint="eastAsia" w:ascii="仿宋" w:hAnsi="仿宋" w:eastAsia="仿宋"/>
          <w:w w:val="100"/>
          <w:sz w:val="30"/>
          <w:szCs w:val="30"/>
        </w:rPr>
        <w:t>、怀化市农村经营事务中心2025年度整体支出绩效自评报告</w:t>
      </w:r>
    </w:p>
    <w:p w14:paraId="7CBF0B16">
      <w:pPr>
        <w:ind w:firstLine="714" w:firstLineChars="238"/>
        <w:rPr>
          <w:rFonts w:hint="default" w:ascii="仿宋" w:hAnsi="仿宋" w:eastAsia="仿宋"/>
          <w:w w:val="100"/>
          <w:sz w:val="30"/>
          <w:szCs w:val="30"/>
        </w:rPr>
      </w:pPr>
    </w:p>
    <w:p w14:paraId="40B3DC0E">
      <w:pPr>
        <w:ind w:firstLine="714" w:firstLineChars="238"/>
        <w:rPr>
          <w:rFonts w:ascii="仿宋" w:hAnsi="仿宋" w:eastAsia="仿宋"/>
          <w:w w:val="100"/>
          <w:sz w:val="30"/>
          <w:szCs w:val="30"/>
        </w:rPr>
      </w:pPr>
    </w:p>
    <w:p w14:paraId="5C0C46C7">
      <w:pPr>
        <w:ind w:firstLine="714" w:firstLineChars="238"/>
        <w:rPr>
          <w:rFonts w:ascii="仿宋" w:hAnsi="仿宋" w:eastAsia="仿宋"/>
          <w:w w:val="100"/>
          <w:sz w:val="30"/>
          <w:szCs w:val="30"/>
        </w:rPr>
      </w:pPr>
    </w:p>
    <w:p w14:paraId="1A2E0A44">
      <w:pPr>
        <w:ind w:firstLine="714" w:firstLineChars="238"/>
        <w:rPr>
          <w:rFonts w:hint="eastAsia" w:ascii="仿宋" w:hAnsi="仿宋" w:eastAsia="仿宋"/>
          <w:w w:val="100"/>
          <w:sz w:val="30"/>
          <w:szCs w:val="30"/>
        </w:rPr>
      </w:pPr>
    </w:p>
    <w:p w14:paraId="6DBF50B0">
      <w:pPr>
        <w:ind w:firstLine="714" w:firstLineChars="238"/>
        <w:rPr>
          <w:rFonts w:hint="default" w:ascii="仿宋" w:hAnsi="仿宋" w:eastAsia="仿宋"/>
          <w:w w:val="100"/>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E4A35"/>
    <w:multiLevelType w:val="singleLevel"/>
    <w:tmpl w:val="E7FE4A3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60798"/>
    <w:rsid w:val="00160798"/>
    <w:rsid w:val="00185641"/>
    <w:rsid w:val="00227BC3"/>
    <w:rsid w:val="006133CD"/>
    <w:rsid w:val="00883244"/>
    <w:rsid w:val="00D80CE1"/>
    <w:rsid w:val="00E948C2"/>
    <w:rsid w:val="00EB55C6"/>
    <w:rsid w:val="00EC3770"/>
    <w:rsid w:val="00EF3A9E"/>
    <w:rsid w:val="00F50383"/>
    <w:rsid w:val="0EDC189F"/>
    <w:rsid w:val="1A2C72C1"/>
    <w:rsid w:val="1B775EE1"/>
    <w:rsid w:val="24D74598"/>
    <w:rsid w:val="3B94434E"/>
    <w:rsid w:val="527C7B44"/>
    <w:rsid w:val="5F2161D4"/>
    <w:rsid w:val="AFA6EB19"/>
    <w:rsid w:val="D6B4A7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w w:val="200"/>
      <w:kern w:val="2"/>
      <w:sz w:val="44"/>
      <w:szCs w:val="22"/>
      <w:lang w:val="en-US" w:eastAsia="zh-CN" w:bidi="ar-SA"/>
    </w:rPr>
  </w:style>
  <w:style w:type="paragraph" w:styleId="2">
    <w:name w:val="heading 1"/>
    <w:basedOn w:val="1"/>
    <w:next w:val="1"/>
    <w:link w:val="16"/>
    <w:qFormat/>
    <w:uiPriority w:val="9"/>
    <w:pPr>
      <w:widowControl/>
      <w:spacing w:before="100" w:beforeAutospacing="1" w:after="100" w:afterAutospacing="1"/>
      <w:jc w:val="left"/>
      <w:outlineLvl w:val="0"/>
    </w:pPr>
    <w:rPr>
      <w:rFonts w:ascii="宋体" w:hAnsi="宋体" w:eastAsia="宋体" w:cs="宋体"/>
      <w:b/>
      <w:bCs/>
      <w:w w:val="100"/>
      <w:kern w:val="36"/>
      <w:sz w:val="48"/>
      <w:szCs w:val="48"/>
    </w:rPr>
  </w:style>
  <w:style w:type="paragraph" w:styleId="3">
    <w:name w:val="heading 2"/>
    <w:basedOn w:val="1"/>
    <w:next w:val="1"/>
    <w:link w:val="17"/>
    <w:qFormat/>
    <w:uiPriority w:val="9"/>
    <w:pPr>
      <w:widowControl/>
      <w:spacing w:before="100" w:beforeAutospacing="1" w:after="100" w:afterAutospacing="1"/>
      <w:jc w:val="left"/>
      <w:outlineLvl w:val="1"/>
    </w:pPr>
    <w:rPr>
      <w:rFonts w:ascii="宋体" w:hAnsi="宋体" w:eastAsia="宋体" w:cs="宋体"/>
      <w:b/>
      <w:bCs/>
      <w:w w:val="100"/>
      <w:kern w:val="0"/>
      <w:sz w:val="36"/>
      <w:szCs w:val="36"/>
    </w:rPr>
  </w:style>
  <w:style w:type="paragraph" w:styleId="4">
    <w:name w:val="heading 3"/>
    <w:basedOn w:val="1"/>
    <w:next w:val="1"/>
    <w:link w:val="18"/>
    <w:qFormat/>
    <w:uiPriority w:val="9"/>
    <w:pPr>
      <w:widowControl/>
      <w:spacing w:before="100" w:beforeAutospacing="1" w:after="100" w:afterAutospacing="1"/>
      <w:jc w:val="left"/>
      <w:outlineLvl w:val="2"/>
    </w:pPr>
    <w:rPr>
      <w:rFonts w:ascii="宋体" w:hAnsi="宋体" w:eastAsia="宋体" w:cs="宋体"/>
      <w:b/>
      <w:bCs/>
      <w:w w:val="100"/>
      <w:kern w:val="0"/>
      <w:sz w:val="27"/>
      <w:szCs w:val="27"/>
    </w:rPr>
  </w:style>
  <w:style w:type="paragraph" w:styleId="5">
    <w:name w:val="heading 4"/>
    <w:basedOn w:val="1"/>
    <w:next w:val="1"/>
    <w:link w:val="19"/>
    <w:qFormat/>
    <w:uiPriority w:val="9"/>
    <w:pPr>
      <w:widowControl/>
      <w:spacing w:before="100" w:beforeAutospacing="1" w:after="100" w:afterAutospacing="1"/>
      <w:jc w:val="left"/>
      <w:outlineLvl w:val="3"/>
    </w:pPr>
    <w:rPr>
      <w:rFonts w:ascii="宋体" w:hAnsi="宋体" w:eastAsia="宋体" w:cs="宋体"/>
      <w:b/>
      <w:bCs/>
      <w:w w:val="100"/>
      <w:kern w:val="0"/>
      <w:sz w:val="24"/>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Body Text Indent"/>
    <w:basedOn w:val="1"/>
    <w:next w:val="8"/>
    <w:unhideWhenUsed/>
    <w:qFormat/>
    <w:uiPriority w:val="99"/>
    <w:pPr>
      <w:widowControl/>
      <w:spacing w:after="120"/>
      <w:ind w:left="420" w:leftChars="200"/>
      <w:jc w:val="left"/>
    </w:pPr>
    <w:rPr>
      <w:rFonts w:ascii="宋体" w:hAnsi="宋体" w:eastAsia="宋体" w:cs="宋体"/>
      <w:kern w:val="0"/>
      <w:sz w:val="24"/>
    </w:rPr>
  </w:style>
  <w:style w:type="paragraph" w:styleId="8">
    <w:name w:val="Body Text First Indent 2"/>
    <w:basedOn w:val="7"/>
    <w:next w:val="1"/>
    <w:unhideWhenUsed/>
    <w:qFormat/>
    <w:uiPriority w:val="99"/>
    <w:pPr>
      <w:ind w:firstLine="420" w:firstLineChars="200"/>
    </w:pPr>
  </w:style>
  <w:style w:type="paragraph" w:styleId="9">
    <w:name w:val="footer"/>
    <w:basedOn w:val="1"/>
    <w:link w:val="22"/>
    <w:semiHidden/>
    <w:unhideWhenUsed/>
    <w:qFormat/>
    <w:uiPriority w:val="99"/>
    <w:pPr>
      <w:tabs>
        <w:tab w:val="center" w:pos="4153"/>
        <w:tab w:val="right" w:pos="8306"/>
      </w:tabs>
      <w:snapToGrid w:val="0"/>
      <w:jc w:val="left"/>
    </w:pPr>
    <w:rPr>
      <w:sz w:val="18"/>
      <w:szCs w:val="18"/>
    </w:rPr>
  </w:style>
  <w:style w:type="paragraph" w:styleId="10">
    <w:name w:val="header"/>
    <w:basedOn w:val="1"/>
    <w:link w:val="2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8"/>
    <w:semiHidden/>
    <w:qFormat/>
    <w:uiPriority w:val="0"/>
    <w:pPr>
      <w:snapToGrid w:val="0"/>
      <w:jc w:val="left"/>
    </w:pPr>
    <w:rPr>
      <w:sz w:val="18"/>
      <w:szCs w:val="18"/>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eastAsia="宋体" w:cs="宋体"/>
      <w:w w:val="100"/>
      <w:kern w:val="0"/>
      <w:sz w:val="24"/>
      <w:szCs w:val="24"/>
    </w:rPr>
  </w:style>
  <w:style w:type="character" w:styleId="15">
    <w:name w:val="Strong"/>
    <w:basedOn w:val="14"/>
    <w:qFormat/>
    <w:uiPriority w:val="22"/>
    <w:rPr>
      <w:b/>
    </w:rPr>
  </w:style>
  <w:style w:type="character" w:customStyle="1" w:styleId="16">
    <w:name w:val="标题 1 Char"/>
    <w:basedOn w:val="14"/>
    <w:link w:val="2"/>
    <w:qFormat/>
    <w:uiPriority w:val="9"/>
    <w:rPr>
      <w:rFonts w:ascii="宋体" w:hAnsi="宋体" w:eastAsia="宋体" w:cs="宋体"/>
      <w:b/>
      <w:bCs/>
      <w:w w:val="100"/>
      <w:kern w:val="36"/>
      <w:sz w:val="48"/>
      <w:szCs w:val="48"/>
    </w:rPr>
  </w:style>
  <w:style w:type="character" w:customStyle="1" w:styleId="17">
    <w:name w:val="标题 2 Char"/>
    <w:basedOn w:val="14"/>
    <w:link w:val="3"/>
    <w:qFormat/>
    <w:uiPriority w:val="9"/>
    <w:rPr>
      <w:rFonts w:ascii="宋体" w:hAnsi="宋体" w:eastAsia="宋体" w:cs="宋体"/>
      <w:b/>
      <w:bCs/>
      <w:w w:val="100"/>
      <w:kern w:val="0"/>
      <w:sz w:val="36"/>
      <w:szCs w:val="36"/>
    </w:rPr>
  </w:style>
  <w:style w:type="character" w:customStyle="1" w:styleId="18">
    <w:name w:val="标题 3 Char"/>
    <w:basedOn w:val="14"/>
    <w:link w:val="4"/>
    <w:qFormat/>
    <w:uiPriority w:val="9"/>
    <w:rPr>
      <w:rFonts w:ascii="宋体" w:hAnsi="宋体" w:eastAsia="宋体" w:cs="宋体"/>
      <w:b/>
      <w:bCs/>
      <w:w w:val="100"/>
      <w:kern w:val="0"/>
      <w:sz w:val="27"/>
      <w:szCs w:val="27"/>
    </w:rPr>
  </w:style>
  <w:style w:type="character" w:customStyle="1" w:styleId="19">
    <w:name w:val="标题 4 Char"/>
    <w:basedOn w:val="14"/>
    <w:link w:val="5"/>
    <w:qFormat/>
    <w:uiPriority w:val="9"/>
    <w:rPr>
      <w:rFonts w:ascii="宋体" w:hAnsi="宋体" w:eastAsia="宋体" w:cs="宋体"/>
      <w:b/>
      <w:bCs/>
      <w:w w:val="100"/>
      <w:kern w:val="0"/>
      <w:sz w:val="24"/>
      <w:szCs w:val="24"/>
    </w:rPr>
  </w:style>
  <w:style w:type="paragraph" w:customStyle="1" w:styleId="20">
    <w:name w:val="Default"/>
    <w:basedOn w:val="1"/>
    <w:qFormat/>
    <w:uiPriority w:val="0"/>
    <w:pPr>
      <w:autoSpaceDE w:val="0"/>
      <w:autoSpaceDN w:val="0"/>
      <w:adjustRightInd w:val="0"/>
      <w:jc w:val="left"/>
    </w:pPr>
    <w:rPr>
      <w:rFonts w:hAnsi="Calibri" w:cs="宋体"/>
      <w:color w:val="000000"/>
      <w:w w:val="100"/>
      <w:kern w:val="0"/>
      <w:sz w:val="24"/>
      <w:szCs w:val="24"/>
    </w:rPr>
  </w:style>
  <w:style w:type="character" w:customStyle="1" w:styleId="21">
    <w:name w:val="页眉 Char"/>
    <w:basedOn w:val="14"/>
    <w:link w:val="10"/>
    <w:semiHidden/>
    <w:qFormat/>
    <w:uiPriority w:val="99"/>
    <w:rPr>
      <w:rFonts w:ascii="黑体" w:hAnsi="黑体" w:eastAsia="黑体" w:cstheme="minorBidi"/>
      <w:w w:val="200"/>
      <w:kern w:val="2"/>
      <w:sz w:val="18"/>
      <w:szCs w:val="18"/>
    </w:rPr>
  </w:style>
  <w:style w:type="character" w:customStyle="1" w:styleId="22">
    <w:name w:val="页脚 Char"/>
    <w:basedOn w:val="14"/>
    <w:link w:val="9"/>
    <w:semiHidden/>
    <w:qFormat/>
    <w:uiPriority w:val="99"/>
    <w:rPr>
      <w:rFonts w:ascii="黑体" w:hAnsi="黑体" w:eastAsia="黑体" w:cstheme="minorBidi"/>
      <w:w w:val="200"/>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2539</Words>
  <Characters>3169</Characters>
  <Lines>117</Lines>
  <Paragraphs>33</Paragraphs>
  <TotalTime>3</TotalTime>
  <ScaleCrop>false</ScaleCrop>
  <LinksUpToDate>false</LinksUpToDate>
  <CharactersWithSpaces>3568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2025-09-17T11:54:00Z</dcterms:created>
  <dc:creator>Administrator</dc:creator>
  <cp:lastModifiedBy>lenovo</cp:lastModifiedBy>
  <dcterms:modified xsi:type="dcterms:W3CDTF">2026-09-18T09:06:32Z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eyJoZGlkIjoiMWExYjhhMTUzOGFjOGE3ZmU1YTRmZTExNzE1Nzg0NzgiLCJ1c2VySWQiOiIxNjQwNTUxMjk3In0=</vt:lpwstr>
  </property>
  <property fmtid="{D5CDD505-2E9C-101B-9397-08002B2CF9AE}" pid="3" name="KSOProductBuildVer">
    <vt:lpwstr>2052-12.1.2.25882</vt:lpwstr>
  </property>
  <property fmtid="{D5CDD505-2E9C-101B-9397-08002B2CF9AE}" pid="4" name="ICV">
    <vt:lpwstr>7AE71DCDDA6743788A405CF66F23382E_12</vt:lpwstr>
  </property>
</Properties>
</file>