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59F578">
      <w:pPr>
        <w:pStyle w:val="15"/>
        <w:keepNext w:val="0"/>
        <w:keepLines w:val="0"/>
        <w:pageBreakBefore w:val="0"/>
        <w:widowControl w:val="0"/>
        <w:kinsoku/>
        <w:wordWrap/>
        <w:overflowPunct/>
        <w:topLinePunct w:val="0"/>
        <w:autoSpaceDE/>
        <w:autoSpaceDN/>
        <w:bidi w:val="0"/>
        <w:adjustRightInd/>
        <w:snapToGrid/>
        <w:textAlignment w:val="auto"/>
        <w:rPr>
          <w:color w:val="auto"/>
        </w:rPr>
      </w:pPr>
      <mc:AlternateContent>
        <mc:Choice Requires="wpsCustomData">
          <wpsCustomData:docfieldStart id="0" docfieldname="标题_1" hidden="0" print="1" readonly="0" index="1"/>
        </mc:Choice>
      </mc:AlternateContent>
      <w:r>
        <w:rPr>
          <w:color w:val="auto"/>
        </w:rPr>
        <w:t>怀化市农村经营事务中心</w:t>
      </w:r>
    </w:p>
    <w:p w14:paraId="6D75733E">
      <w:pPr>
        <w:pStyle w:val="15"/>
        <w:keepNext w:val="0"/>
        <w:keepLines w:val="0"/>
        <w:pageBreakBefore w:val="0"/>
        <w:widowControl w:val="0"/>
        <w:kinsoku/>
        <w:wordWrap/>
        <w:overflowPunct/>
        <w:topLinePunct w:val="0"/>
        <w:autoSpaceDE/>
        <w:autoSpaceDN/>
        <w:bidi w:val="0"/>
        <w:adjustRightInd/>
        <w:snapToGrid/>
        <w:textAlignment w:val="auto"/>
        <w:rPr>
          <w:color w:val="auto"/>
        </w:rPr>
      </w:pPr>
      <w:r>
        <w:rPr>
          <w:color w:val="auto"/>
        </w:rPr>
        <w:t>2025年度整体支出绩效自评报告</w:t>
      </w:r>
      <mc:AlternateContent>
        <mc:Choice Requires="wpsCustomData">
          <wpsCustomData:docfieldEnd id="0"/>
        </mc:Choice>
      </mc:AlternateContent>
    </w:p>
    <w:p w14:paraId="46BFCAE0">
      <w:pPr>
        <w:pStyle w:val="11"/>
        <w:keepNext w:val="0"/>
        <w:keepLines w:val="0"/>
        <w:pageBreakBefore w:val="0"/>
        <w:widowControl w:val="0"/>
        <w:kinsoku/>
        <w:wordWrap/>
        <w:overflowPunct/>
        <w:topLinePunct w:val="0"/>
        <w:autoSpaceDE/>
        <w:autoSpaceDN/>
        <w:bidi w:val="0"/>
        <w:adjustRightInd/>
        <w:snapToGrid/>
        <w:spacing w:beforeAutospacing="0" w:afterAutospacing="0" w:line="300" w:lineRule="exact"/>
        <w:textAlignment w:val="auto"/>
        <w:rPr>
          <w:rFonts w:hint="eastAsia"/>
          <w:color w:val="auto"/>
          <w:lang w:eastAsia="zh-CN"/>
        </w:rPr>
      </w:pPr>
      <w:bookmarkStart w:id="0" w:name="heading_0"/>
    </w:p>
    <w:p w14:paraId="36088468">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r>
        <w:rPr>
          <w:rFonts w:hint="eastAsia"/>
          <w:color w:val="auto"/>
          <w:sz w:val="29"/>
          <w:szCs w:val="29"/>
          <w:lang w:eastAsia="zh-CN"/>
        </w:rPr>
        <w:t>一、</w:t>
      </w:r>
      <w:r>
        <w:rPr>
          <w:color w:val="auto"/>
          <w:sz w:val="29"/>
          <w:szCs w:val="29"/>
        </w:rPr>
        <w:t>部门概况</w:t>
      </w:r>
      <w:bookmarkEnd w:id="0"/>
    </w:p>
    <w:p w14:paraId="7B9EA978">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1" w:name="heading_1"/>
      <w:r>
        <w:rPr>
          <w:rFonts w:hint="eastAsia"/>
          <w:color w:val="auto"/>
          <w:sz w:val="29"/>
          <w:szCs w:val="29"/>
          <w:lang w:eastAsia="zh-CN"/>
        </w:rPr>
        <w:t>（一）</w:t>
      </w:r>
      <w:r>
        <w:rPr>
          <w:color w:val="auto"/>
          <w:sz w:val="29"/>
          <w:szCs w:val="29"/>
        </w:rPr>
        <w:t>部门（单位）基本情况</w:t>
      </w:r>
      <w:bookmarkEnd w:id="1"/>
    </w:p>
    <w:p w14:paraId="33D7B43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怀化市农村经营事务中心是怀化市农业农村局所属参照公务员法管理的事业单位，为独立编制、独立核算的二级预算单位，内设办公室、农村土地部、农村经营体制部、农村集体资产财务部4个办部。截至2025年末，单位编制数15名，编制内实有人员14名，全部为参照公务员法管理人员，较上年度增加2人，为年度工作需要调入参公人员。单位无离退休人员经费单独列支事项，无其他经费自理人员。</w:t>
      </w:r>
    </w:p>
    <w:p w14:paraId="787B543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单位主要职责涵盖七大领域：一是承担稳定完善农村土地承包关系、深化农村土地制度改革相关事务性工作，落实农村土地所有权、承包权、经营权“三权分置”制度，开展第二轮土地承包到期后再延长三十年相关工作，指导农村土地承包合同管理，推进土地经营权流转和农业适度规模经营，承担农村土地承包纠纷调解仲裁事务性工作。二是承担农村宅基地管理和改革相关事务性工作，指导农村宅基地分配、使用、流转、纠纷仲裁，组织开展宅基地现状和需求统计调查，指导闲置宅基地和闲置农房盘活利用。三是指导扶持家庭农场、农民合作社等新型经营主体建设发展，建立健全培育标准规范，开展示范创建，完善名录管理制度，组织实施农业生产托管服务，指导农业社会化服务体系建设。四是承担农民权益维护和农民负担监督管理事务性工作，监督“一事一议”筹资筹劳审批管理及财政奖补资金使用，参与乡村小微权力监督，参与查处惠农资金发放、集体资产管理领域突出问题和损害农民利益案件，协助推进乡村治理体系建设。五是指导农村集体经济组织多元化发展壮大，承担农村集体产权制度改革相关事务性工作，配合指导农村集体产权交易市场建设，配合开展农村集体经济组织审计监督服务。六是组织开展农村经济收支、农业社会化服务、农民合作社、家庭农场、农村集体经济组织运行情况监测、调查与统计。七是完成市农业农村局交办的其他任务。</w:t>
      </w:r>
    </w:p>
    <w:p w14:paraId="5107B6A2">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2" w:name="heading_2"/>
      <w:r>
        <w:rPr>
          <w:rFonts w:hint="eastAsia"/>
          <w:color w:val="auto"/>
          <w:sz w:val="29"/>
          <w:szCs w:val="29"/>
          <w:lang w:eastAsia="zh-CN"/>
        </w:rPr>
        <w:t>（二）</w:t>
      </w:r>
      <w:r>
        <w:rPr>
          <w:color w:val="auto"/>
          <w:sz w:val="29"/>
          <w:szCs w:val="29"/>
        </w:rPr>
        <w:t>部门（单位）整体支出规模、使用方向和主要内容、涉及范围</w:t>
      </w:r>
      <w:bookmarkEnd w:id="2"/>
    </w:p>
    <w:p w14:paraId="4D3DA1D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怀化市农村经营事务中心整体支出年初预算数261.80万元，全年预算数293.20万元，全年实际执行数288.66万元，资金全部来源于一般公共预算财政拨款，无政府性基金预算、国有资本经营预算、社会保险基金预算资金，无事业收入、经营收入、其他收入等非财政拨款资金，年末无结转结余资金。</w:t>
      </w:r>
    </w:p>
    <w:p w14:paraId="3702E6E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从支出性质划分，整体支出分为基本支出和项目支出两部分。其中基本支出246.98万元，占全年总支出的85.56％；项目支出41.68万元，占全年总支出的14.44％。</w:t>
      </w:r>
    </w:p>
    <w:p w14:paraId="1D82955C">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基本支出使用方向为保障单位机构正常运转、完成日常工作任务，主要内容分为人员经费和公用经费两部分。人员经费合计233.43万元，主要用于在编人员的基本工资、津贴补贴、奖金、绩效工资、机关事业单位基本养老保险缴费、职业年金缴费、职工基本医疗保险缴费、其他社会保障缴费、住房公积金等人员报酬及社会保障支出，是维持队伍稳定、保障人员履职的基础性支出。公用经费合计13.54万元，主要用于办公费、印刷费、手续费、水费、电费、邮电费、差旅费、维修（护）费、租赁费、会议费、培训费、公务接待费、劳务费、委托业务费、工会经费、福利费、公务用车运行维护费、其他交通费用、其他商品和服务支出等日常办公运转类支出，保障单位日常办公、外勤调研、会议培训等基础公务活动开展。</w:t>
      </w:r>
    </w:p>
    <w:p w14:paraId="282087A3">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项目支出使用方向为保障单位完成特定农村经营管理专项工作任务、推动重点改革落地，主要内容涵盖四大类专项工作：一是农村产权交易工作专项，主要用于农村集体“三资”管理、产权交易体系建设、基层站点指导等工作；二是平安建设（土地仲裁）工作经费，主要用于农村土地承包纠纷调解仲裁体系建设、纠纷案件调处、平安建设推进等工作；三是农民合作社扶持（引导）资金，主要用于新型农业经营主体培育、示范创建、项目申报评审、名录系统维护等工作；四是农村土地制度改革工作经费，主要用于二轮土地承包延包试点、承包地“三权”分置改革、改革调研培训等重点改革任务。</w:t>
      </w:r>
    </w:p>
    <w:p w14:paraId="5AC5FA16">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整体支出涉及范围覆盖全市13个县（市、区）的农村经营管理业务指导工作，涵盖农村土地承包管理、宅基地管理、集体“三资”管理、新型经营主体培育、农业社会化服务、农民权益维护、乡村治理等多个领域，直接服务全市乡镇、村集体经济组织、农民合作社、家庭农场及广大农户，是支撑全市农村经营管理事业发展、推进乡村全面振兴的重要资金保障。</w:t>
      </w:r>
    </w:p>
    <w:p w14:paraId="0E0A4C69">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bookmarkStart w:id="3" w:name="heading_3"/>
      <w:r>
        <w:rPr>
          <w:rFonts w:hint="eastAsia"/>
          <w:color w:val="auto"/>
          <w:sz w:val="29"/>
          <w:szCs w:val="29"/>
          <w:lang w:eastAsia="zh-CN"/>
        </w:rPr>
        <w:t>二、</w:t>
      </w:r>
      <w:r>
        <w:rPr>
          <w:color w:val="auto"/>
          <w:sz w:val="29"/>
          <w:szCs w:val="29"/>
        </w:rPr>
        <w:t>一般公共预算支出情况</w:t>
      </w:r>
      <w:bookmarkEnd w:id="3"/>
    </w:p>
    <w:p w14:paraId="3310B6F8">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4" w:name="heading_4"/>
      <w:r>
        <w:rPr>
          <w:rFonts w:hint="eastAsia"/>
          <w:color w:val="auto"/>
          <w:sz w:val="29"/>
          <w:szCs w:val="29"/>
          <w:lang w:eastAsia="zh-CN"/>
        </w:rPr>
        <w:t>（一）</w:t>
      </w:r>
      <w:r>
        <w:rPr>
          <w:color w:val="auto"/>
          <w:sz w:val="29"/>
          <w:szCs w:val="29"/>
        </w:rPr>
        <w:t>基本支出</w:t>
      </w:r>
      <w:bookmarkEnd w:id="4"/>
    </w:p>
    <w:p w14:paraId="7A06119B">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r>
        <w:rPr>
          <w:rFonts w:hint="eastAsia"/>
          <w:color w:val="auto"/>
          <w:sz w:val="29"/>
          <w:szCs w:val="29"/>
          <w:lang w:eastAsia="zh-CN"/>
        </w:rPr>
        <w:t>1.</w:t>
      </w:r>
      <w:r>
        <w:rPr>
          <w:rFonts w:hint="eastAsia" w:ascii="仿宋" w:hAnsi="仿宋" w:eastAsia="仿宋" w:cs="仿宋"/>
          <w:color w:val="auto"/>
          <w:sz w:val="29"/>
          <w:szCs w:val="29"/>
          <w:lang w:eastAsia="zh-CN"/>
        </w:rPr>
        <w:t xml:space="preserve"> </w:t>
      </w:r>
      <w:r>
        <w:rPr>
          <w:color w:val="auto"/>
          <w:sz w:val="29"/>
          <w:szCs w:val="29"/>
        </w:rPr>
        <w:t>基本支出主要用途与范围</w:t>
      </w:r>
    </w:p>
    <w:p w14:paraId="1E36364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单位基本支出合计246.98万元，全部为一般公共预算财政拨款支出，严格按照预算批复的用途和范围使用，无超范围、超标准列支情况。其中人员经费233.43万元，占基本支出的94.51％，严格按照国家、省、市规定的工资福利标准和社会保障政策执行，按月足额发放人员工资，按规定比例计提缴纳各项社会保险及住房公积金，保障干部职工合法权益，稳定干部队伍。公用经费13.54万元，占基本支出的5.49％，严格执行厉行节约相关规定，主要用于保障单位日常办公、外勤公务、会议培训、工会福利等基础运转需求，重点保障业务科室下乡督导、基层调研等外勤支出，压减非必要一般性支出，确保公用经费向核心业务倾斜。</w:t>
      </w:r>
    </w:p>
    <w:p w14:paraId="3B846055">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r>
        <w:rPr>
          <w:rFonts w:hint="eastAsia"/>
          <w:color w:val="auto"/>
          <w:sz w:val="29"/>
          <w:szCs w:val="29"/>
          <w:lang w:eastAsia="zh-CN"/>
        </w:rPr>
        <w:t>2.</w:t>
      </w:r>
      <w:r>
        <w:rPr>
          <w:rFonts w:hint="eastAsia" w:ascii="仿宋" w:hAnsi="仿宋" w:eastAsia="仿宋" w:cs="仿宋"/>
          <w:color w:val="auto"/>
          <w:sz w:val="29"/>
          <w:szCs w:val="29"/>
          <w:lang w:eastAsia="zh-CN"/>
        </w:rPr>
        <w:t xml:space="preserve"> </w:t>
      </w:r>
      <w:r>
        <w:rPr>
          <w:color w:val="auto"/>
          <w:sz w:val="29"/>
          <w:szCs w:val="29"/>
        </w:rPr>
        <w:t>基本支出资金管理情况</w:t>
      </w:r>
    </w:p>
    <w:p w14:paraId="45343DD0">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单位严格执行《政府会计制度》《行政单位财务规则》及市级财政资金管理相关规定，建立了完善的基本支出财务管理制度，明确支出审批权限、报销流程、审核标准，实行“经办人申请、科室负责人审核、财务科核验、分管领导审批、主要负责人终审”的五级审批机制，所有支出均需提供合法合规的原始凭证及业务佐证材料，确保每一笔支出真实、合规、有据可查。</w:t>
      </w:r>
    </w:p>
    <w:p w14:paraId="1BFEBB9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单位严格落实“过紧日子”要求，从严控制一般性支出，细化公用经费管控标准，对办公耗材、差旅、会议、接待等支出实行定额管理、事前审批制度，坚持无预算不支出、超预算不支出。严格执行公务卡结算制度，凡纳入公务卡强制结算目录的支出均通过公务卡结算，减少现金支付，提升资金支付透明度。财务部门按月对基本支出执行情况进行统计分析，及时掌握支出进度，优化支出结构，确保资金使用规范高效。</w:t>
      </w:r>
    </w:p>
    <w:p w14:paraId="59AE89CC">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r>
        <w:rPr>
          <w:rFonts w:hint="eastAsia"/>
          <w:color w:val="auto"/>
          <w:sz w:val="29"/>
          <w:szCs w:val="29"/>
          <w:lang w:eastAsia="zh-CN"/>
        </w:rPr>
        <w:t>3.</w:t>
      </w:r>
      <w:r>
        <w:rPr>
          <w:rFonts w:hint="eastAsia" w:ascii="仿宋" w:hAnsi="仿宋" w:eastAsia="仿宋" w:cs="仿宋"/>
          <w:color w:val="auto"/>
          <w:sz w:val="29"/>
          <w:szCs w:val="29"/>
          <w:lang w:eastAsia="zh-CN"/>
        </w:rPr>
        <w:t xml:space="preserve"> </w:t>
      </w:r>
      <w:r>
        <w:rPr>
          <w:color w:val="auto"/>
          <w:sz w:val="29"/>
          <w:szCs w:val="29"/>
        </w:rPr>
        <w:t>“三公”经费使用和管理情况</w:t>
      </w:r>
    </w:p>
    <w:p w14:paraId="5370F15C">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单位“三公”经费实际支出0.55万元，全部为公务接待费，无因公出国（境）费支出，无公务用车购置及运行维护费支出。本年度“三公”经费预算数为1.40万元，实际支出0.55万元，预算执行率为39.29％，较上年度“三公”经费支出1.67万元减少1.12万元，下降幅度达67.07％，“三公”经费压减成效显著。</w:t>
      </w:r>
    </w:p>
    <w:p w14:paraId="6412711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公务接待费严格执行中央八项规定及其实施细则精神，严格落实公务接待审批制度，所有接待均履行事前审批程序，严格控制接待标准、陪同人数，无超标准、超范围接待情况，无公款大吃大喝、无公务接待清单不全等问题。所有接待费用均对应正式公务活动，主要用于上级部门调研督导、兄弟地市交流学习、县市区业务对接等公务接待支出，接待标准严格按照市级党政机关国内公务接待开支标准执行，票据齐全、手续完备。</w:t>
      </w:r>
    </w:p>
    <w:p w14:paraId="128FFD4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单位将“三公”经费管控作为党风廉政建设和厉行节约工作的重要内容，定期在单位内部公示“三公”经费支出情况，接受干部职工监督，确保“三公”经费管理公开透明、规范有序。</w:t>
      </w:r>
    </w:p>
    <w:p w14:paraId="5A205037">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5" w:name="heading_5"/>
      <w:r>
        <w:rPr>
          <w:rFonts w:hint="eastAsia"/>
          <w:color w:val="auto"/>
          <w:sz w:val="29"/>
          <w:szCs w:val="29"/>
          <w:lang w:eastAsia="zh-CN"/>
        </w:rPr>
        <w:t>（二）</w:t>
      </w:r>
      <w:r>
        <w:rPr>
          <w:color w:val="auto"/>
          <w:sz w:val="29"/>
          <w:szCs w:val="29"/>
        </w:rPr>
        <w:t>项目支出</w:t>
      </w:r>
      <w:bookmarkEnd w:id="5"/>
    </w:p>
    <w:p w14:paraId="524EAEC7">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r>
        <w:rPr>
          <w:rFonts w:hint="eastAsia"/>
          <w:color w:val="auto"/>
          <w:sz w:val="29"/>
          <w:szCs w:val="29"/>
          <w:lang w:eastAsia="zh-CN"/>
        </w:rPr>
        <w:t>1.</w:t>
      </w:r>
      <w:r>
        <w:rPr>
          <w:rFonts w:hint="eastAsia" w:ascii="仿宋" w:hAnsi="仿宋" w:eastAsia="仿宋" w:cs="仿宋"/>
          <w:color w:val="auto"/>
          <w:sz w:val="29"/>
          <w:szCs w:val="29"/>
          <w:lang w:eastAsia="zh-CN"/>
        </w:rPr>
        <w:t xml:space="preserve"> </w:t>
      </w:r>
      <w:r>
        <w:rPr>
          <w:color w:val="auto"/>
          <w:sz w:val="29"/>
          <w:szCs w:val="29"/>
        </w:rPr>
        <w:t>项目资金安排落实及总投入情况</w:t>
      </w:r>
    </w:p>
    <w:p w14:paraId="2F306F3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单位纳入预算管理的项目共4个，全部为特定目标类业务项目，均为市级一般公共预算财政拨款项目，无单位自筹资金、社会资本等其他资金投入。项目支出年初预算总额为50.00万元，其中农村产权交易工作专项20.00万元、平安建设（土地仲裁）工作经费5.00万元、农民合作社扶持（引导）资金5.00万元、农村土地制度改革工作经费20.00万元。经市级财政统筹调整，全年项目支出预算核定为41.68万元，较年初预算减少8.32万元，调整原因主要为财政部门统筹优化涉农专项支出结构，压减非刚性支出，调整程序合规，手续完备。</w:t>
      </w:r>
    </w:p>
    <w:p w14:paraId="661F3B6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分项目来看，农村产权交易工作专项全年预算14.01万元，占项目总预算的33.61％；平安建设（土地仲裁）工作经费全年预算4.00万元，占项目总预算的9.60％；农民合作社扶持（引导）资金全年预算4.21万元，占项目总预算的10.10％；农村土地制度改革工作经费全年预算19.46万元，占项目总预算的46.69％。所有项目资金均通过国库集中支付方式拨付至单位，资金拨付进度与项目实施进度相匹配，无资金滞留、截留情况，为各专项工作顺利开展提供了稳定的资金保障。</w:t>
      </w:r>
    </w:p>
    <w:p w14:paraId="273F3CB9">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r>
        <w:rPr>
          <w:rFonts w:hint="eastAsia"/>
          <w:color w:val="auto"/>
          <w:sz w:val="29"/>
          <w:szCs w:val="29"/>
          <w:lang w:eastAsia="zh-CN"/>
        </w:rPr>
        <w:t>2.</w:t>
      </w:r>
      <w:r>
        <w:rPr>
          <w:rFonts w:hint="eastAsia" w:ascii="仿宋" w:hAnsi="仿宋" w:eastAsia="仿宋" w:cs="仿宋"/>
          <w:color w:val="auto"/>
          <w:sz w:val="29"/>
          <w:szCs w:val="29"/>
          <w:lang w:eastAsia="zh-CN"/>
        </w:rPr>
        <w:t xml:space="preserve"> </w:t>
      </w:r>
      <w:r>
        <w:rPr>
          <w:color w:val="auto"/>
          <w:sz w:val="29"/>
          <w:szCs w:val="29"/>
        </w:rPr>
        <w:t>项目资金实际使用情况</w:t>
      </w:r>
    </w:p>
    <w:p w14:paraId="54D0480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截至2025年12月31日，4个项目资金全部执行完毕，整体预算执行率为100％，年末无项目资金结转结余。各项目资金均严格按照预算批复的支出范围列支，全部用于对应专项业务工作，无截留、挤占、挪用、虚列支出等违规情况。</w:t>
      </w:r>
    </w:p>
    <w:p w14:paraId="7D4320E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农村产权交易工作专项全年实际支出14.01万元，其中工资福利支出9.11万元，主要用于从事农村产权交易与集体“三资”管理业务工作人员的配套薪酬及社会保障支出；商品和服务支出3.80万元，具体包括办公费0.02万元、差旅费1.95万元、委托业务费0.20万元、会议费0.22万元、其他交通费用0.41万元、其他商品和服务支出1.00万元，主要用于下乡督导检查、专项调研、会议部署、第三方技术服务、日常办公等支出；对企业补助1.10万元，主要用于购买专项专业服务支出。资金重点保障了农村集体“三资”专项整治、产权交易体系建设、基层站点指导等核心工作。</w:t>
      </w:r>
    </w:p>
    <w:p w14:paraId="7CF00BD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平安建设（土地仲裁）工作经费全年实际支出4.00万元，其中工资福利支出0.64万元，用于土地仲裁业务人员配套薪酬；商品和服务支出3.36万元，具体包括办公费0.31万元、印刷费0.72万元、差旅费0.82万元、培训费0.88万元、其他交通费用0.48万元、其他商品和服务支出0.16万元，主要用于纠纷案件现场核查、仲裁文书印制、调解员培训、公务出行等支出，保障了土地承包纠纷调解仲裁与平安建设工作有序开展。</w:t>
      </w:r>
    </w:p>
    <w:p w14:paraId="73ECAA8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农民合作社扶持（引导）资金全年实际支出4.21万元，其中工资福利支出0.37万元，用于经营主体培育业务人员配套薪酬；商品和服务支出3.83万元，具体包括办公费0.20万元、差旅费2.04万元、培训费0.60万元、劳务费0.32万元、其他交通费用0.06万元、其他商品和服务支出0.55万元，主要用于示范主体核查验收、项目评审、业务培训、专家劳务等支出，支撑了新型农业经营主体培育与扶持工作。</w:t>
      </w:r>
    </w:p>
    <w:p w14:paraId="5D99A54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农村土地制度改革工作经费全年实际支出19.46万元，其中工资福利支出4.37万元，用于土地改革业务专班人员配套薪酬；商品和服务支出15.10万元，具体包括办公费1.04万元、印刷费4.23万元、差旅费5.48万元、租赁费0.28万元、会议费0.23万元、劳务费0.27万元、委托业务费0.31万元、其他交通费用0.43万元、其他商品和服务支出1.67万元，重点保障了二轮土地延包全域督导、改革方案印制、试点调研、第三方技术服务、培训会议等支出，为两项重大土地改革任务落地提供了充足的资金支撑。</w:t>
      </w:r>
    </w:p>
    <w:p w14:paraId="5EC4F8BE">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r>
        <w:rPr>
          <w:rFonts w:hint="eastAsia"/>
          <w:color w:val="auto"/>
          <w:sz w:val="29"/>
          <w:szCs w:val="29"/>
          <w:lang w:eastAsia="zh-CN"/>
        </w:rPr>
        <w:t>3.</w:t>
      </w:r>
      <w:r>
        <w:rPr>
          <w:rFonts w:hint="eastAsia" w:ascii="仿宋" w:hAnsi="仿宋" w:eastAsia="仿宋" w:cs="仿宋"/>
          <w:color w:val="auto"/>
          <w:sz w:val="29"/>
          <w:szCs w:val="29"/>
          <w:lang w:eastAsia="zh-CN"/>
        </w:rPr>
        <w:t xml:space="preserve"> </w:t>
      </w:r>
      <w:r>
        <w:rPr>
          <w:color w:val="auto"/>
          <w:sz w:val="29"/>
          <w:szCs w:val="29"/>
        </w:rPr>
        <w:t>项目资金管理情况分析</w:t>
      </w:r>
    </w:p>
    <w:p w14:paraId="4FE0CE8C">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单位建立了健全的项目资金管理制度体系，严格执行市级农业专项资金管理相关规定，针对每个专项项目均明确了资金使用范围、支出标准、审批流程、监管责任，实行专款专用、专项核算、台账管理，确保项目资金与基本支出分账核算，界限清晰，不相互挤占挪用。</w:t>
      </w:r>
    </w:p>
    <w:p w14:paraId="534AD687">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在资金支付环节，严格执行国库集中支付制度，所有项目支出均履行“业务科室提交申请及佐证材料、财务科室审核票据合规性、分管业务领导审核业务真实性、主要负责人审批”的完整审批流程，单笔1万元以上的大额支出需经单位班子集体研究审议通过后方可支付。对涉及第三方服务采购、批量印刷等支出，严格执行政府采购及内部询价制度，留存完整的报价对比材料、服务合同、验收单据，确保采购过程公开透明，资金支付有据可依。</w:t>
      </w:r>
    </w:p>
    <w:p w14:paraId="03D057B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财务部门定期对项目资金使用情况进行跟踪核查，对照项目进度核对支出匹配度，及时发现并纠正不规范支出苗头，确保资金使用方向与项目绩效目标一致。年度末，财务部门联合业务科室对每个项目的资金使用情况进行全面复盘，开展资金使用效益分析，总结资金管理经验，优化下年度项目资金测算与分配。全年项目资金管理规范有序，未发生任何资金违规使用问题。</w:t>
      </w:r>
    </w:p>
    <w:p w14:paraId="72BDF68E">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bookmarkStart w:id="6" w:name="heading_6"/>
      <w:r>
        <w:rPr>
          <w:rFonts w:hint="eastAsia"/>
          <w:color w:val="auto"/>
          <w:sz w:val="29"/>
          <w:szCs w:val="29"/>
          <w:lang w:eastAsia="zh-CN"/>
        </w:rPr>
        <w:t>三、</w:t>
      </w:r>
      <w:r>
        <w:rPr>
          <w:color w:val="auto"/>
          <w:sz w:val="29"/>
          <w:szCs w:val="29"/>
        </w:rPr>
        <w:t>项目组织实施情况</w:t>
      </w:r>
      <w:bookmarkEnd w:id="6"/>
    </w:p>
    <w:p w14:paraId="76BCE4F8">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7" w:name="heading_7"/>
      <w:r>
        <w:rPr>
          <w:rFonts w:hint="eastAsia"/>
          <w:color w:val="auto"/>
          <w:sz w:val="29"/>
          <w:szCs w:val="29"/>
          <w:lang w:eastAsia="zh-CN"/>
        </w:rPr>
        <w:t>（一）</w:t>
      </w:r>
      <w:r>
        <w:rPr>
          <w:color w:val="auto"/>
          <w:sz w:val="29"/>
          <w:szCs w:val="29"/>
        </w:rPr>
        <w:t>项目组织情况分析</w:t>
      </w:r>
      <w:bookmarkEnd w:id="7"/>
    </w:p>
    <w:p w14:paraId="6F49DC55">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r>
        <w:rPr>
          <w:rFonts w:hint="eastAsia"/>
          <w:color w:val="auto"/>
          <w:sz w:val="29"/>
          <w:szCs w:val="29"/>
          <w:lang w:eastAsia="zh-CN"/>
        </w:rPr>
        <w:t>1.</w:t>
      </w:r>
      <w:r>
        <w:rPr>
          <w:rFonts w:hint="eastAsia" w:ascii="仿宋" w:hAnsi="仿宋" w:eastAsia="仿宋" w:cs="仿宋"/>
          <w:color w:val="auto"/>
          <w:sz w:val="29"/>
          <w:szCs w:val="29"/>
          <w:lang w:eastAsia="zh-CN"/>
        </w:rPr>
        <w:t xml:space="preserve"> </w:t>
      </w:r>
      <w:r>
        <w:rPr>
          <w:color w:val="auto"/>
          <w:sz w:val="29"/>
          <w:szCs w:val="29"/>
        </w:rPr>
        <w:t>项目招投标与采购情况</w:t>
      </w:r>
    </w:p>
    <w:p w14:paraId="31955A1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单位所有涉及服务采购、物资采购的项目支出，均严格按照政府采购相关法律法规及市级政府采购目录标准执行，根据采购金额分别采用公开招标、竞争性磋商、询价比价等方式实施。</w:t>
      </w:r>
    </w:p>
    <w:p w14:paraId="2C57AAC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针对农村土地制度改革、农村乱占耕地建房整治等项目涉及的第三方技术服务、测绘服务、方案编制服务等事项，达到政府采购限额标准的，全部通过政府采购平台公开采购，严格执行采购信息发布、专家评审、结果公示、合同签订等法定程序，确保采购过程公平公正。未达到政府采购限额的小额服务及物资采购，执行单位内部询价制度，由业务科室、财务科室、纪检人员共同参与，选取三家以上供应商进行比价，择优确定合作方，留存完整询价记录，杜绝指定采购、人情采购。</w:t>
      </w:r>
    </w:p>
    <w:p w14:paraId="1F4B4C33">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2025年度，项目涉及的第三方服务采购、批量印刷、培训场地租赁等事项均按规定程序实施，采购流程合规，资料齐全，服务质量符合项目需求，未发生采购纠纷及质量问题。</w:t>
      </w:r>
    </w:p>
    <w:p w14:paraId="7224CA22">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r>
        <w:rPr>
          <w:rFonts w:hint="eastAsia"/>
          <w:color w:val="auto"/>
          <w:sz w:val="29"/>
          <w:szCs w:val="29"/>
          <w:lang w:eastAsia="zh-CN"/>
        </w:rPr>
        <w:t>2.</w:t>
      </w:r>
      <w:r>
        <w:rPr>
          <w:rFonts w:hint="eastAsia" w:ascii="仿宋" w:hAnsi="仿宋" w:eastAsia="仿宋" w:cs="仿宋"/>
          <w:color w:val="auto"/>
          <w:sz w:val="29"/>
          <w:szCs w:val="29"/>
          <w:lang w:eastAsia="zh-CN"/>
        </w:rPr>
        <w:t xml:space="preserve"> </w:t>
      </w:r>
      <w:r>
        <w:rPr>
          <w:color w:val="auto"/>
          <w:sz w:val="29"/>
          <w:szCs w:val="29"/>
        </w:rPr>
        <w:t>项目调整情况</w:t>
      </w:r>
    </w:p>
    <w:p w14:paraId="17B57B0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本年度4个项目的核心工作内容、实施范围、绩效目标均未发生重大调整，仅预算额度因市级财政统筹压减非刚性支出有所调整，调整事项均履行了正规的预算调整审批程序，由财政部门统一下达预算调整通知，单位按调整后的预算执行，未自行调整项目内容及资金用途。</w:t>
      </w:r>
    </w:p>
    <w:p w14:paraId="6EEB03E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项目实施过程中，针对部分县市区工作进度差异、基层实际情况变化，单位对项目实施的具体时序安排、督导频次进行了微观优化，属于项目实施过程中的正常工作调度，不涉及项目整体目标、核心内容、资金规模的调整，均在单位项目管理权限范围内，确保了项目推进贴合基层实际，提升实施成效。</w:t>
      </w:r>
    </w:p>
    <w:p w14:paraId="0491334F">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r>
        <w:rPr>
          <w:rFonts w:hint="eastAsia"/>
          <w:color w:val="auto"/>
          <w:sz w:val="29"/>
          <w:szCs w:val="29"/>
          <w:lang w:eastAsia="zh-CN"/>
        </w:rPr>
        <w:t>3.</w:t>
      </w:r>
      <w:r>
        <w:rPr>
          <w:rFonts w:hint="eastAsia" w:ascii="仿宋" w:hAnsi="仿宋" w:eastAsia="仿宋" w:cs="仿宋"/>
          <w:color w:val="auto"/>
          <w:sz w:val="29"/>
          <w:szCs w:val="29"/>
          <w:lang w:eastAsia="zh-CN"/>
        </w:rPr>
        <w:t xml:space="preserve"> </w:t>
      </w:r>
      <w:r>
        <w:rPr>
          <w:color w:val="auto"/>
          <w:sz w:val="29"/>
          <w:szCs w:val="29"/>
        </w:rPr>
        <w:t>项目竣工验收情况</w:t>
      </w:r>
    </w:p>
    <w:p w14:paraId="5335C407">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末，单位对所有4个项目开展了年度竣工验收工作，成立了由分管领导牵头，业务科室、财务科室、纪检人员共同组成的验收工作小组，对照项目年初设定的绩效目标、工作任务清单，逐一核查任务完成情况、资金使用合规性、成果资料完整性。</w:t>
      </w:r>
    </w:p>
    <w:p w14:paraId="1A712C63">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从验收结果来看，4个项目均全面完成了年度各项工作任务，核心绩效指标全部达标，部分指标超额完成；资金使用合规，支出与业务匹配度高；项目成果资料齐全，档案整理规范。所有项目均通过年度竣工验收，验收结论为合格，其中农村土地制度改革工作经费、农村产权交易工作专项因工作成效突出，获得省级主管部门肯定。项目验收形成了正式的验收意见，作为项目结题、资金清算的重要依据。</w:t>
      </w:r>
    </w:p>
    <w:p w14:paraId="40529451">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8" w:name="heading_8"/>
      <w:r>
        <w:rPr>
          <w:rFonts w:hint="eastAsia"/>
          <w:color w:val="auto"/>
          <w:sz w:val="29"/>
          <w:szCs w:val="29"/>
          <w:lang w:eastAsia="zh-CN"/>
        </w:rPr>
        <w:t>（二）</w:t>
      </w:r>
      <w:r>
        <w:rPr>
          <w:color w:val="auto"/>
          <w:sz w:val="29"/>
          <w:szCs w:val="29"/>
        </w:rPr>
        <w:t>项目管理情况分析</w:t>
      </w:r>
      <w:bookmarkEnd w:id="8"/>
    </w:p>
    <w:p w14:paraId="3380B2A5">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r>
        <w:rPr>
          <w:rFonts w:hint="eastAsia"/>
          <w:color w:val="auto"/>
          <w:sz w:val="29"/>
          <w:szCs w:val="29"/>
          <w:lang w:eastAsia="zh-CN"/>
        </w:rPr>
        <w:t>1.</w:t>
      </w:r>
      <w:r>
        <w:rPr>
          <w:rFonts w:hint="eastAsia" w:ascii="仿宋" w:hAnsi="仿宋" w:eastAsia="仿宋" w:cs="仿宋"/>
          <w:color w:val="auto"/>
          <w:sz w:val="29"/>
          <w:szCs w:val="29"/>
          <w:lang w:eastAsia="zh-CN"/>
        </w:rPr>
        <w:t xml:space="preserve"> </w:t>
      </w:r>
      <w:r>
        <w:rPr>
          <w:color w:val="auto"/>
          <w:sz w:val="29"/>
          <w:szCs w:val="29"/>
        </w:rPr>
        <w:t>项目管理制度建设</w:t>
      </w:r>
    </w:p>
    <w:p w14:paraId="7A440924">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单位高度重视项目管理制度建设，结合农村经营管理工作特点，建立了覆盖项目立项、实施、监管、验收全流程的管理制度体系。先后制定了项目支出绩效管理、专项工作经费使用管理、项目实施进度调度、项目档案管理等相关制度，明确了各科室、各岗位在项目管理中的职责分工，规范了项目从申报到结题的全流程操作标准，为项目规范实施提供了制度保障。</w:t>
      </w:r>
    </w:p>
    <w:p w14:paraId="6AC51AF7">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针对每个具体项目，均制定了专项工作实施方案，明确项目目标、任务分工、实施步骤、时间节点、质量要求、责任人员，实行项目专班负责制，每个项目明确一名班子成员牵头负责，配备专职业务人员，确保项目有人抓、有人管、责任清、任务明。</w:t>
      </w:r>
    </w:p>
    <w:p w14:paraId="46871104">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r>
        <w:rPr>
          <w:rFonts w:hint="eastAsia"/>
          <w:color w:val="auto"/>
          <w:sz w:val="29"/>
          <w:szCs w:val="29"/>
          <w:lang w:eastAsia="zh-CN"/>
        </w:rPr>
        <w:t>2.</w:t>
      </w:r>
      <w:r>
        <w:rPr>
          <w:rFonts w:hint="eastAsia" w:ascii="仿宋" w:hAnsi="仿宋" w:eastAsia="仿宋" w:cs="仿宋"/>
          <w:color w:val="auto"/>
          <w:sz w:val="29"/>
          <w:szCs w:val="29"/>
          <w:lang w:eastAsia="zh-CN"/>
        </w:rPr>
        <w:t xml:space="preserve"> </w:t>
      </w:r>
      <w:r>
        <w:rPr>
          <w:color w:val="auto"/>
          <w:sz w:val="29"/>
          <w:szCs w:val="29"/>
        </w:rPr>
        <w:t>日常检查监督管理</w:t>
      </w:r>
    </w:p>
    <w:p w14:paraId="6B06EA4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单位建立了常态化的项目监督检查机制，实行“月度调度、季度督导、年度考核”的监管模式，对项目实施进度、质量、资金使用情况进行全过程管控。</w:t>
      </w:r>
    </w:p>
    <w:p w14:paraId="665ACB80">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bdr w:val="none" w:sz="0" w:space="0"/>
        </w:rPr>
      </w:pPr>
      <w:r>
        <w:rPr>
          <w:rStyle w:val="19"/>
          <w:rFonts w:hint="eastAsia"/>
          <w:color w:val="auto"/>
          <w:sz w:val="29"/>
          <w:szCs w:val="29"/>
          <w:lang w:eastAsia="zh-CN"/>
        </w:rPr>
        <w:t>（1）</w:t>
      </w:r>
      <w:r>
        <w:rPr>
          <w:rStyle w:val="19"/>
          <w:color w:val="auto"/>
          <w:sz w:val="29"/>
          <w:szCs w:val="29"/>
        </w:rPr>
        <w:t>月度调度机制</w:t>
      </w:r>
      <w:r>
        <w:rPr>
          <w:rFonts w:ascii="Times New Roman" w:hAnsi="Times New Roman" w:eastAsia="仿宋_GB2312" w:cs="仿宋_GB2312"/>
          <w:color w:val="auto"/>
          <w:sz w:val="29"/>
          <w:szCs w:val="29"/>
        </w:rPr>
        <w:t>。各项目专班每月末报送项目进度台账，单位召开月度工作调度会，听取各项目进展情况汇报，梳理存在的问题，研究解决措施，对进度滞后的事项下达督办通知，限期整改，确保项目按时间节点推进。</w:t>
      </w:r>
    </w:p>
    <w:p w14:paraId="09032B76">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bdr w:val="none" w:sz="0" w:space="0"/>
        </w:rPr>
      </w:pPr>
      <w:r>
        <w:rPr>
          <w:rStyle w:val="19"/>
          <w:rFonts w:hint="eastAsia"/>
          <w:color w:val="auto"/>
          <w:sz w:val="29"/>
          <w:szCs w:val="29"/>
          <w:lang w:eastAsia="zh-CN"/>
        </w:rPr>
        <w:t>（2）</w:t>
      </w:r>
      <w:r>
        <w:rPr>
          <w:rStyle w:val="19"/>
          <w:color w:val="auto"/>
          <w:sz w:val="29"/>
          <w:szCs w:val="29"/>
        </w:rPr>
        <w:t>实地督导机制</w:t>
      </w:r>
      <w:r>
        <w:rPr>
          <w:rFonts w:ascii="Times New Roman" w:hAnsi="Times New Roman" w:eastAsia="仿宋_GB2312" w:cs="仿宋_GB2312"/>
          <w:color w:val="auto"/>
          <w:sz w:val="29"/>
          <w:szCs w:val="29"/>
        </w:rPr>
        <w:t>。针对涉及县市区落地的项目，如二轮土地延包、集体“三资”整治、宅基地管理等，单位定期组织业务人员下沉乡镇、村组开展实地督导，现场核查工作落实情况，指导基层解决实操难题，纠正不规范操作，确保项目落地不走样、质量不打折。</w:t>
      </w:r>
    </w:p>
    <w:p w14:paraId="7445C39A">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bdr w:val="none" w:sz="0" w:space="0"/>
        </w:rPr>
      </w:pPr>
      <w:r>
        <w:rPr>
          <w:rStyle w:val="19"/>
          <w:rFonts w:hint="eastAsia"/>
          <w:color w:val="auto"/>
          <w:sz w:val="29"/>
          <w:szCs w:val="29"/>
          <w:lang w:eastAsia="zh-CN"/>
        </w:rPr>
        <w:t>（3）</w:t>
      </w:r>
      <w:r>
        <w:rPr>
          <w:rStyle w:val="19"/>
          <w:color w:val="auto"/>
          <w:sz w:val="29"/>
          <w:szCs w:val="29"/>
        </w:rPr>
        <w:t>财务监督机制</w:t>
      </w:r>
      <w:r>
        <w:rPr>
          <w:rFonts w:ascii="Times New Roman" w:hAnsi="Times New Roman" w:eastAsia="仿宋_GB2312" w:cs="仿宋_GB2312"/>
          <w:color w:val="auto"/>
          <w:sz w:val="29"/>
          <w:szCs w:val="29"/>
        </w:rPr>
        <w:t>。财务科室每季度对项目资金使用情况进行专项检查，核查支出凭证合规性、支出范围匹配性，及时发现并纠正不规范支出，防范资金风险。单位内审人员不定期开展项目资金抽查，强化内部审计监督。</w:t>
      </w:r>
    </w:p>
    <w:p w14:paraId="653C7259">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bdr w:val="none" w:sz="0" w:space="0"/>
        </w:rPr>
      </w:pPr>
      <w:r>
        <w:rPr>
          <w:rStyle w:val="19"/>
          <w:rFonts w:hint="eastAsia"/>
          <w:color w:val="auto"/>
          <w:sz w:val="29"/>
          <w:szCs w:val="29"/>
          <w:lang w:eastAsia="zh-CN"/>
        </w:rPr>
        <w:t>（4）</w:t>
      </w:r>
      <w:r>
        <w:rPr>
          <w:rStyle w:val="19"/>
          <w:color w:val="auto"/>
          <w:sz w:val="29"/>
          <w:szCs w:val="29"/>
        </w:rPr>
        <w:t>考核问责机制</w:t>
      </w:r>
      <w:r>
        <w:rPr>
          <w:rFonts w:ascii="Times New Roman" w:hAnsi="Times New Roman" w:eastAsia="仿宋_GB2312" w:cs="仿宋_GB2312"/>
          <w:color w:val="auto"/>
          <w:sz w:val="29"/>
          <w:szCs w:val="29"/>
        </w:rPr>
        <w:t>。将项目完成情况纳入科室及个人年度绩效考核内容，对推进有力、成效突出的予以表彰，对工作滞后、落实不力的予以通报批评，倒逼责任落实。</w:t>
      </w:r>
    </w:p>
    <w:p w14:paraId="73D22F56">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通过多层次、常态化的监督管理，有效保障了项目实施进度和质量，全年各项目均按计划有序推进，未出现重大工作失误、资金违规等问题。</w:t>
      </w:r>
    </w:p>
    <w:p w14:paraId="1FE714D1">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bookmarkStart w:id="9" w:name="heading_9"/>
      <w:r>
        <w:rPr>
          <w:rFonts w:hint="eastAsia"/>
          <w:color w:val="auto"/>
          <w:sz w:val="29"/>
          <w:szCs w:val="29"/>
          <w:lang w:eastAsia="zh-CN"/>
        </w:rPr>
        <w:t>四、</w:t>
      </w:r>
      <w:r>
        <w:rPr>
          <w:color w:val="auto"/>
          <w:sz w:val="29"/>
          <w:szCs w:val="29"/>
        </w:rPr>
        <w:t>资产管理情况</w:t>
      </w:r>
      <w:bookmarkEnd w:id="9"/>
    </w:p>
    <w:p w14:paraId="51A57747">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10" w:name="heading_10"/>
      <w:r>
        <w:rPr>
          <w:rFonts w:hint="eastAsia"/>
          <w:color w:val="auto"/>
          <w:sz w:val="29"/>
          <w:szCs w:val="29"/>
          <w:lang w:eastAsia="zh-CN"/>
        </w:rPr>
        <w:t>（一）</w:t>
      </w:r>
      <w:r>
        <w:rPr>
          <w:color w:val="auto"/>
          <w:sz w:val="29"/>
          <w:szCs w:val="29"/>
        </w:rPr>
        <w:t>资产管理制度建设</w:t>
      </w:r>
      <w:bookmarkEnd w:id="10"/>
    </w:p>
    <w:p w14:paraId="1841FFA4">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单位严格执行行政事业单位国有资产管理相关规定，结合单位实际制定了固定资产管理、资产日常管理细则等制度，明确了资产配置、使用、处置、盘点、核算等全流程管理要求，建立了“统一领导、归口管理、专人负责、责任到人”的资产管理工作机制。单位办公室为资产管理归口科室，配备专职资产管理员，负责资产日常管理工作，财务科室负责资产价值核算，各业务科室负责本科室使用资产的日常保管，形成了分工明确、相互制约的管理体系。</w:t>
      </w:r>
    </w:p>
    <w:p w14:paraId="78AAFF89">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制度明确规定，资产配置必须符合市级行政事业单位资产配置标准，优先通过内部调剂解决，确需新增的履行政府采购程序；资产处置必须按规定权限报批，严禁私自处置国有资产；每年至少开展一次全面资产盘点，确保账实相符、账账相符。</w:t>
      </w:r>
    </w:p>
    <w:p w14:paraId="78983E77">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11" w:name="heading_11"/>
      <w:r>
        <w:rPr>
          <w:rFonts w:hint="eastAsia"/>
          <w:color w:val="auto"/>
          <w:sz w:val="29"/>
          <w:szCs w:val="29"/>
          <w:lang w:eastAsia="zh-CN"/>
        </w:rPr>
        <w:t>（二）</w:t>
      </w:r>
      <w:r>
        <w:rPr>
          <w:color w:val="auto"/>
          <w:sz w:val="29"/>
          <w:szCs w:val="29"/>
        </w:rPr>
        <w:t>资产管理措施</w:t>
      </w:r>
      <w:bookmarkEnd w:id="11"/>
    </w:p>
    <w:p w14:paraId="02E51810">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单位实行资产信息化管理，依托行政事业单位资产管理信息系统，对所有固定资产进行卡片式登记，详细记录资产名称、规格型号、购置日期、价值、使用人、存放地点等信息，实现资产动态管理。资产领用、交回、内部调剂均履行登记手续，确保资产流向可追溯。</w:t>
      </w:r>
    </w:p>
    <w:p w14:paraId="15317732">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日常管理中，坚持“谁使用、谁负责”的原则，督促使用人妥善保管资产，定期维护保养，降低资产损耗，延长使用年限。对办公设备、电子设备等资产，定期开展巡检维护，保障资产正常使用，提高资产使用效率。严格落实资产安全管理要求，做好防火、防盗、防潮措施，防范资产损失。</w:t>
      </w:r>
    </w:p>
    <w:p w14:paraId="3D036D6E">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12" w:name="heading_12"/>
      <w:r>
        <w:rPr>
          <w:rFonts w:hint="eastAsia"/>
          <w:color w:val="auto"/>
          <w:sz w:val="29"/>
          <w:szCs w:val="29"/>
          <w:lang w:eastAsia="zh-CN"/>
        </w:rPr>
        <w:t>（三）</w:t>
      </w:r>
      <w:r>
        <w:rPr>
          <w:color w:val="auto"/>
          <w:sz w:val="29"/>
          <w:szCs w:val="29"/>
        </w:rPr>
        <w:t>资产配置与处置程序</w:t>
      </w:r>
      <w:bookmarkEnd w:id="12"/>
    </w:p>
    <w:p w14:paraId="059ED502">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资产配置方面，单位严格按照市级资产配置标准编制年度资产购置计划，纳入部门预算统一申报，经财政部门审批后执行。2025年度，单位无新增房屋、车辆、大型设备等资产购置，仅根据办公需要少量补充通用办公设备，均按规定程序采购，配置标准符合规定，无超标准配置、超预算采购情况。</w:t>
      </w:r>
    </w:p>
    <w:p w14:paraId="2F1B30A9">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资产处置方面，本年度单位无国有资产处置事项，无房屋、车辆、专用设备等资产报废、转让、调拨情况。对达到使用年限、无法正常使用的资产，严格履行资产处置报批程序，经单位班子审议、主管部门审核、财政部门审批后进行处置，处置收益按规定上缴国库，无私自处置、截留处置收益情况。</w:t>
      </w:r>
    </w:p>
    <w:p w14:paraId="270C464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截至2025年末，单位无自有办公房屋，无公务用车，无单价50万元以上的专用设备，资产总量与单位履职需求相匹配，资产使用效率良好，账实相符，管理规范。</w:t>
      </w:r>
    </w:p>
    <w:p w14:paraId="0CA3E0FC">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bookmarkStart w:id="13" w:name="heading_13"/>
      <w:r>
        <w:rPr>
          <w:rFonts w:hint="eastAsia"/>
          <w:color w:val="auto"/>
          <w:sz w:val="29"/>
          <w:szCs w:val="29"/>
          <w:lang w:eastAsia="zh-CN"/>
        </w:rPr>
        <w:t>五、</w:t>
      </w:r>
      <w:r>
        <w:rPr>
          <w:color w:val="auto"/>
          <w:sz w:val="29"/>
          <w:szCs w:val="29"/>
        </w:rPr>
        <w:t>政府性基金预算支出情况</w:t>
      </w:r>
      <w:bookmarkEnd w:id="13"/>
    </w:p>
    <w:p w14:paraId="1903751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2025年度，怀化市农村经营事务中心无政府性基金预算拨款收入，无政府性基金预算安排的支出项目，未发生政府性基金预算相关收支业务。</w:t>
      </w:r>
    </w:p>
    <w:p w14:paraId="5B307DEF">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bookmarkStart w:id="14" w:name="heading_14"/>
      <w:r>
        <w:rPr>
          <w:rFonts w:hint="eastAsia"/>
          <w:color w:val="auto"/>
          <w:sz w:val="29"/>
          <w:szCs w:val="29"/>
          <w:lang w:eastAsia="zh-CN"/>
        </w:rPr>
        <w:t>六、</w:t>
      </w:r>
      <w:r>
        <w:rPr>
          <w:color w:val="auto"/>
          <w:sz w:val="29"/>
          <w:szCs w:val="29"/>
        </w:rPr>
        <w:t>国有资本经营预算支出情况</w:t>
      </w:r>
      <w:bookmarkEnd w:id="14"/>
    </w:p>
    <w:p w14:paraId="6F4DFACC">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2025年度，怀化市农村经营事务中心无国有资本经营预算拨款收入，无国有资本经营预算安排的支出项目，未发生国有资本经营预算相关收支业务。</w:t>
      </w:r>
    </w:p>
    <w:p w14:paraId="5DA4A68F">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bookmarkStart w:id="15" w:name="heading_15"/>
      <w:r>
        <w:rPr>
          <w:rFonts w:hint="eastAsia"/>
          <w:color w:val="auto"/>
          <w:sz w:val="29"/>
          <w:szCs w:val="29"/>
          <w:lang w:eastAsia="zh-CN"/>
        </w:rPr>
        <w:t>七、</w:t>
      </w:r>
      <w:r>
        <w:rPr>
          <w:color w:val="auto"/>
          <w:sz w:val="29"/>
          <w:szCs w:val="29"/>
        </w:rPr>
        <w:t>社会保险基金预算支出情况</w:t>
      </w:r>
      <w:bookmarkEnd w:id="15"/>
    </w:p>
    <w:p w14:paraId="1F1691F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怀化市农村经营事务中心无社会保险基金预算拨款收入，无社会保险基金预算安排的支出项目，未发生社会保险基金预算相关收支业务。单位干部职工的各项社会保险缴费通过基本支出中的人员经费列支，不属于社会保险基金预算支出范畴。</w:t>
      </w:r>
    </w:p>
    <w:p w14:paraId="74BA4CBE">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bookmarkStart w:id="16" w:name="heading_16"/>
      <w:r>
        <w:rPr>
          <w:rFonts w:hint="eastAsia"/>
          <w:color w:val="auto"/>
          <w:sz w:val="29"/>
          <w:szCs w:val="29"/>
          <w:lang w:eastAsia="zh-CN"/>
        </w:rPr>
        <w:t>八、</w:t>
      </w:r>
      <w:r>
        <w:rPr>
          <w:color w:val="auto"/>
          <w:sz w:val="29"/>
          <w:szCs w:val="29"/>
        </w:rPr>
        <w:t>部门整体支出绩效情况</w:t>
      </w:r>
      <w:bookmarkEnd w:id="16"/>
    </w:p>
    <w:p w14:paraId="4987A06C">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怀化市农村经营事务中心紧紧围绕市委、市政府及市农业农村局的工作部署，锚定乡村全面振兴目标，以巩固完善农村基本经营制度为主线，依托财政预算资金保障，全面履行农村经营管理各项职能，扎实推进农村土地制度改革、集体产权制度改革、宅基地管理、新型经营主体培育、农民权益维护等重点工作，各项任务圆满完成，履职成效显著，资金使用效益突出，整体绩效水平良好。</w:t>
      </w:r>
    </w:p>
    <w:p w14:paraId="595C13C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结合部门职责履行、行业发展规划，以预算资金管理为主线，综合资产管理与业务开展情况，从运行成本、管理效率、履职效能、社会效应、可持续发展能力、服务对象满意度六个维度，对部门整体支出绩效进行全面评价如下：</w:t>
      </w:r>
    </w:p>
    <w:p w14:paraId="69FC56E5">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17" w:name="heading_17"/>
      <w:r>
        <w:rPr>
          <w:rFonts w:hint="eastAsia"/>
          <w:color w:val="auto"/>
          <w:sz w:val="29"/>
          <w:szCs w:val="29"/>
          <w:lang w:eastAsia="zh-CN"/>
        </w:rPr>
        <w:t>（一）</w:t>
      </w:r>
      <w:r>
        <w:rPr>
          <w:color w:val="auto"/>
          <w:sz w:val="29"/>
          <w:szCs w:val="29"/>
        </w:rPr>
        <w:t>运行成本管控成效良好，资金使用集约高效</w:t>
      </w:r>
      <w:bookmarkEnd w:id="17"/>
    </w:p>
    <w:p w14:paraId="007CF29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部门整体支出年初预算261.80万元，全年预算293.20万元，实际执行288.66万元，预算执行率为98.45％，整体支出控制在全年预算额度内，资金使用总体平稳。从执行结构看，人员经费因年度内调入2名参公人员相应增加，属于政策性增支，符合人员经费保障规定；公用经费严格落实“过紧日子”要求，全年公用经费支出13.54万元，较上年度减少13.09万元，下降幅度达49.15％，一般性支出压减成效显著。</w:t>
      </w:r>
    </w:p>
    <w:p w14:paraId="6A51B962">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三公”经费大幅压减，全年支出0.55万元，较上年下降67.07％，仅为年度预算的39.29％，公务接待标准严格管控，无违规接待、超支浪费情况。会议费支出0.28万元，较上年下降85.3％，大量采用线上会议、视频调度形式，减少现场会议频次，降低会务成本。</w:t>
      </w:r>
    </w:p>
    <w:p w14:paraId="4824465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项目支出层面，4个专项项目均实现100％预算执行率，资金全部用于核心业务支出，无闲置、浪费情况，成本管控精准。所有项目支出均严格执行开支标准，第三方服务、批量印刷等均通过比价采购控制成本，有效提升了资金使用的经济性。</w:t>
      </w:r>
    </w:p>
    <w:p w14:paraId="4AE4F52C">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整体来看，部门运行成本管控严格，在保障核心业务正常开展、重点改革任务落地的前提下，大力压减非刚性、非必要支出，资金使用集约高效，较好地实现了“保运转、保重点、压一般”的预算管理目标。</w:t>
      </w:r>
    </w:p>
    <w:p w14:paraId="4DF504D4">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18" w:name="heading_18"/>
      <w:r>
        <w:rPr>
          <w:rFonts w:hint="eastAsia"/>
          <w:color w:val="auto"/>
          <w:sz w:val="29"/>
          <w:szCs w:val="29"/>
          <w:lang w:eastAsia="zh-CN"/>
        </w:rPr>
        <w:t>（二）</w:t>
      </w:r>
      <w:r>
        <w:rPr>
          <w:color w:val="auto"/>
          <w:sz w:val="29"/>
          <w:szCs w:val="29"/>
        </w:rPr>
        <w:t>管理效率持续提升，履职运转规范顺畅</w:t>
      </w:r>
      <w:bookmarkEnd w:id="18"/>
    </w:p>
    <w:p w14:paraId="057F431B">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bdr w:val="none" w:sz="0" w:space="0"/>
        </w:rPr>
      </w:pPr>
      <w:r>
        <w:rPr>
          <w:rStyle w:val="18"/>
          <w:rFonts w:hint="eastAsia"/>
          <w:color w:val="auto"/>
          <w:sz w:val="29"/>
          <w:szCs w:val="29"/>
          <w:lang w:eastAsia="zh-CN"/>
        </w:rPr>
        <w:t>1.</w:t>
      </w:r>
      <w:r>
        <w:rPr>
          <w:rFonts w:hint="eastAsia" w:ascii="仿宋" w:hAnsi="仿宋" w:eastAsia="仿宋" w:cs="仿宋"/>
          <w:color w:val="auto"/>
          <w:spacing w:val="-6"/>
          <w:sz w:val="29"/>
          <w:szCs w:val="29"/>
          <w:lang w:eastAsia="zh-CN"/>
        </w:rPr>
        <w:t xml:space="preserve"> </w:t>
      </w:r>
      <w:r>
        <w:rPr>
          <w:rStyle w:val="18"/>
          <w:color w:val="auto"/>
          <w:sz w:val="29"/>
          <w:szCs w:val="29"/>
        </w:rPr>
        <w:t>内部管理运转高效</w:t>
      </w:r>
      <w:r>
        <w:rPr>
          <w:rFonts w:ascii="Times New Roman" w:hAnsi="Times New Roman" w:eastAsia="仿宋_GB2312" w:cs="仿宋_GB2312"/>
          <w:color w:val="auto"/>
          <w:sz w:val="29"/>
          <w:szCs w:val="29"/>
        </w:rPr>
        <w:t>。单位内部管理制度健全，岗位职责清晰，工作流程顺畅，形成了决策科学、执行有力、监督到位的内部治理机制。公文办理、会议组织、财务审批、后勤保障等日常工作规范有序，机关运行效率较高，能够快速响应上级部署和基层诉求，保障各项业务指令及时传达落地。</w:t>
      </w:r>
    </w:p>
    <w:p w14:paraId="44B48FE9">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bdr w:val="none" w:sz="0" w:space="0"/>
        </w:rPr>
      </w:pPr>
      <w:r>
        <w:rPr>
          <w:rStyle w:val="18"/>
          <w:rFonts w:hint="eastAsia"/>
          <w:color w:val="auto"/>
          <w:sz w:val="29"/>
          <w:szCs w:val="29"/>
          <w:lang w:eastAsia="zh-CN"/>
        </w:rPr>
        <w:t>2.</w:t>
      </w:r>
      <w:r>
        <w:rPr>
          <w:rFonts w:hint="eastAsia" w:ascii="仿宋" w:hAnsi="仿宋" w:eastAsia="仿宋" w:cs="仿宋"/>
          <w:color w:val="auto"/>
          <w:spacing w:val="-6"/>
          <w:sz w:val="29"/>
          <w:szCs w:val="29"/>
          <w:lang w:eastAsia="zh-CN"/>
        </w:rPr>
        <w:t xml:space="preserve"> </w:t>
      </w:r>
      <w:r>
        <w:rPr>
          <w:rStyle w:val="18"/>
          <w:color w:val="auto"/>
          <w:sz w:val="29"/>
          <w:szCs w:val="29"/>
        </w:rPr>
        <w:t>业务办理效率显著提升</w:t>
      </w:r>
      <w:r>
        <w:rPr>
          <w:rFonts w:ascii="Times New Roman" w:hAnsi="Times New Roman" w:eastAsia="仿宋_GB2312" w:cs="仿宋_GB2312"/>
          <w:color w:val="auto"/>
          <w:sz w:val="29"/>
          <w:szCs w:val="29"/>
        </w:rPr>
        <w:t>。大力推进“互联网＋政务服务”，在农村建房审批领域推行“一网通办”线上审批模式，将审批时限压缩至16个工作日内，较法定时限大幅缩减，实现全流程系统留痕、限时办结，全年累计线上办结农村建房审批7515件，办事效率得到基层和群众广泛认可，该项工作获评全省先进单位。</w:t>
      </w:r>
    </w:p>
    <w:p w14:paraId="7EE4AC96">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bdr w:val="none" w:sz="0" w:space="0"/>
        </w:rPr>
      </w:pPr>
      <w:r>
        <w:rPr>
          <w:rStyle w:val="18"/>
          <w:rFonts w:hint="eastAsia"/>
          <w:color w:val="auto"/>
          <w:sz w:val="29"/>
          <w:szCs w:val="29"/>
          <w:lang w:eastAsia="zh-CN"/>
        </w:rPr>
        <w:t>3.</w:t>
      </w:r>
      <w:r>
        <w:rPr>
          <w:rFonts w:hint="eastAsia" w:ascii="仿宋" w:hAnsi="仿宋" w:eastAsia="仿宋" w:cs="仿宋"/>
          <w:color w:val="auto"/>
          <w:spacing w:val="-6"/>
          <w:sz w:val="29"/>
          <w:szCs w:val="29"/>
          <w:lang w:eastAsia="zh-CN"/>
        </w:rPr>
        <w:t xml:space="preserve"> </w:t>
      </w:r>
      <w:r>
        <w:rPr>
          <w:rStyle w:val="18"/>
          <w:color w:val="auto"/>
          <w:sz w:val="29"/>
          <w:szCs w:val="29"/>
        </w:rPr>
        <w:t>项目推进调度高效</w:t>
      </w:r>
      <w:r>
        <w:rPr>
          <w:rFonts w:ascii="Times New Roman" w:hAnsi="Times New Roman" w:eastAsia="仿宋_GB2312" w:cs="仿宋_GB2312"/>
          <w:color w:val="auto"/>
          <w:sz w:val="29"/>
          <w:szCs w:val="29"/>
        </w:rPr>
        <w:t>。建立了重点工作清单化、项目化管理机制，对重大改革、专项整治等重点任务实行台账管理、挂图作战，明确时间节点、责任人员，按月调度、按季督办，各项工作推进节奏紧凑、落实有力。面对二轮土地延包、“三资”专项整治等时间紧、任务重的全域性工作，能够快速统筹市、县、乡三级力量，协同推进，按期完成阶段性目标，体现了较强的组织协调和执行能力。</w:t>
      </w:r>
    </w:p>
    <w:p w14:paraId="3F4AF373">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bdr w:val="none" w:sz="0" w:space="0"/>
        </w:rPr>
      </w:pPr>
      <w:r>
        <w:rPr>
          <w:rStyle w:val="18"/>
          <w:rFonts w:hint="eastAsia"/>
          <w:color w:val="auto"/>
          <w:sz w:val="29"/>
          <w:szCs w:val="29"/>
          <w:lang w:eastAsia="zh-CN"/>
        </w:rPr>
        <w:t>4.</w:t>
      </w:r>
      <w:r>
        <w:rPr>
          <w:rFonts w:hint="eastAsia" w:ascii="仿宋" w:hAnsi="仿宋" w:eastAsia="仿宋" w:cs="仿宋"/>
          <w:color w:val="auto"/>
          <w:spacing w:val="-6"/>
          <w:sz w:val="29"/>
          <w:szCs w:val="29"/>
          <w:lang w:eastAsia="zh-CN"/>
        </w:rPr>
        <w:t xml:space="preserve"> </w:t>
      </w:r>
      <w:r>
        <w:rPr>
          <w:rStyle w:val="18"/>
          <w:color w:val="auto"/>
          <w:sz w:val="29"/>
          <w:szCs w:val="29"/>
        </w:rPr>
        <w:t>财务管理规范高效</w:t>
      </w:r>
      <w:r>
        <w:rPr>
          <w:rFonts w:ascii="Times New Roman" w:hAnsi="Times New Roman" w:eastAsia="仿宋_GB2312" w:cs="仿宋_GB2312"/>
          <w:color w:val="auto"/>
          <w:sz w:val="29"/>
          <w:szCs w:val="29"/>
        </w:rPr>
        <w:t>。会计核算及时准确，财务报表编制规范，资金支付流程便捷高效，能够保障业务工作资金需求，同时通过预算管控、动态监控，有效防范财务风险，财务管理的规范化、精细化水平持续提升。</w:t>
      </w:r>
    </w:p>
    <w:p w14:paraId="5463FBD9">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19" w:name="heading_19"/>
      <w:r>
        <w:rPr>
          <w:rFonts w:hint="eastAsia"/>
          <w:color w:val="auto"/>
          <w:sz w:val="29"/>
          <w:szCs w:val="29"/>
          <w:lang w:eastAsia="zh-CN"/>
        </w:rPr>
        <w:t>（三）</w:t>
      </w:r>
      <w:r>
        <w:rPr>
          <w:color w:val="auto"/>
          <w:sz w:val="29"/>
          <w:szCs w:val="29"/>
        </w:rPr>
        <w:t>履职效能全面彰显，重点任务成果丰硕</w:t>
      </w:r>
      <w:bookmarkEnd w:id="19"/>
    </w:p>
    <w:p w14:paraId="48527FA0">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2025年，单位全面履行各项法定职责，七大核心业务板块均取得显著成效，重点改革任务实现突破性进展，整体履职质量稳步提升。</w:t>
      </w:r>
    </w:p>
    <w:p w14:paraId="4208B3D4">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r>
        <w:rPr>
          <w:rFonts w:hint="eastAsia"/>
          <w:color w:val="auto"/>
          <w:sz w:val="29"/>
          <w:szCs w:val="29"/>
          <w:lang w:eastAsia="zh-CN"/>
        </w:rPr>
        <w:t>1.</w:t>
      </w:r>
      <w:r>
        <w:rPr>
          <w:rFonts w:hint="eastAsia" w:ascii="仿宋" w:hAnsi="仿宋" w:eastAsia="仿宋" w:cs="仿宋"/>
          <w:color w:val="auto"/>
          <w:sz w:val="29"/>
          <w:szCs w:val="29"/>
          <w:lang w:eastAsia="zh-CN"/>
        </w:rPr>
        <w:t xml:space="preserve"> </w:t>
      </w:r>
      <w:r>
        <w:rPr>
          <w:color w:val="auto"/>
          <w:sz w:val="29"/>
          <w:szCs w:val="29"/>
        </w:rPr>
        <w:t>农村宅基地管理工作稳步推进，管控效能持续增强</w:t>
      </w:r>
    </w:p>
    <w:p w14:paraId="1FD59DB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扎实开展农村违法违规建住房排查整治，截至2025年12月底，全市共摸排农村建住房总数366810宗，其中排查出违法违规住房43360宗，已整治到位7494宗。针对年度重点督办的22个城镇居民、公职人员（含退休干部）占地建房问题，以及1个占地3亩以上建房问题，全部按要求制定整治方案，整治工作全部进入法定程序；对30个剔除出重点整治范围的问题，全部向省专班上报情况说明及佐证依据，做到底数清、情况明、依据足。</w:t>
      </w:r>
    </w:p>
    <w:p w14:paraId="18886F96">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启动农村乱占耕地建房住宅类房屋专项整治试点，市级层面全面完成实施方案制定下发、动员培训和第三方服务采购工作，辰溪、中方两个试点县整治工作方案、社会稳定风险应对预案编制及第三方服务招标工作全部完成，已启动补充调查工作，整体进度位居全省前列。</w:t>
      </w:r>
    </w:p>
    <w:p w14:paraId="1F132556">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高效规范推进农村建房审批管理，联合自然资源和规划等五部门出台工作方案，组建工作专班，开展全市业务培训，参训县乡业务人员达500余人。全面推行线上审批，实现“一件事一次办”，审批效率大幅提升，宅基地审批管理规范化、标准化水平显著提高。</w:t>
      </w:r>
    </w:p>
    <w:p w14:paraId="7EFCD1E2">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扎实推进乱占耕地建房问题核查整改，通过组建专班、交办督办、通报约谈、线索移交等方式，推动督查反馈问题整改，2022－2024年国家例行督查反馈的未整改到位图斑全部按规定纳入持续整改，确保粮安考核不扣分。</w:t>
      </w:r>
    </w:p>
    <w:p w14:paraId="4A8AB77F">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深入开展“三湘安居”专项行动，全面排查农村建房审批领域问题，查处索拿卡要违纪线索，对违纪人员作出处分；认真完成特困供养人员建房情况核查处置，对省级移交的预警信息逐一现场核查、市级复核，按规定规范处置，切实规范了宅基地审批管理秩序。</w:t>
      </w:r>
    </w:p>
    <w:p w14:paraId="7F3DBC16">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r>
        <w:rPr>
          <w:rFonts w:hint="eastAsia"/>
          <w:color w:val="auto"/>
          <w:sz w:val="29"/>
          <w:szCs w:val="29"/>
          <w:lang w:eastAsia="zh-CN"/>
        </w:rPr>
        <w:t>2.</w:t>
      </w:r>
      <w:r>
        <w:rPr>
          <w:rFonts w:hint="eastAsia" w:ascii="仿宋" w:hAnsi="仿宋" w:eastAsia="仿宋" w:cs="仿宋"/>
          <w:color w:val="auto"/>
          <w:sz w:val="29"/>
          <w:szCs w:val="29"/>
          <w:lang w:eastAsia="zh-CN"/>
        </w:rPr>
        <w:t xml:space="preserve"> </w:t>
      </w:r>
      <w:r>
        <w:rPr>
          <w:color w:val="auto"/>
          <w:sz w:val="29"/>
          <w:szCs w:val="29"/>
        </w:rPr>
        <w:t>农村集体产权制度改革有序深化，治理水平不断提升</w:t>
      </w:r>
    </w:p>
    <w:p w14:paraId="7B3EFF7B">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深入开展农村集体“三资”管理突出问题专项整治，印发专项工作方案，明确五大重点任务和六个阶段实施步骤，召开全市专项整治部署会议，全面推进整治工作。全年市县两级累计排查问题6160个，完成整改6152个，整改率达99.87％，移交问题线索313个，整治成效显著。</w:t>
      </w:r>
    </w:p>
    <w:p w14:paraId="34BF861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通过专项整治，有效规范了农村集体资金、资产、资源管理，纠正了一批集体资产流失、财务管理不规范、合同不合法等问题，推进了村务财务公开透明，切实保障了农民群众的知情权、参与权和监督权。农村产权交易流程持续优化，基层产权服务体系逐步完善，交易公开化、规范化水平不断提升，农村集体产权制度改革成果得到进一步巩固深化。</w:t>
      </w:r>
    </w:p>
    <w:p w14:paraId="7155D4A8">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r>
        <w:rPr>
          <w:rFonts w:hint="eastAsia"/>
          <w:color w:val="auto"/>
          <w:sz w:val="29"/>
          <w:szCs w:val="29"/>
          <w:lang w:eastAsia="zh-CN"/>
        </w:rPr>
        <w:t>3.</w:t>
      </w:r>
      <w:r>
        <w:rPr>
          <w:rFonts w:hint="eastAsia" w:ascii="仿宋" w:hAnsi="仿宋" w:eastAsia="仿宋" w:cs="仿宋"/>
          <w:color w:val="auto"/>
          <w:sz w:val="29"/>
          <w:szCs w:val="29"/>
          <w:lang w:eastAsia="zh-CN"/>
        </w:rPr>
        <w:t xml:space="preserve"> </w:t>
      </w:r>
      <w:r>
        <w:rPr>
          <w:color w:val="auto"/>
          <w:sz w:val="29"/>
          <w:szCs w:val="29"/>
        </w:rPr>
        <w:t>农村集体经济发展基础持续夯实，保值增值能力增强</w:t>
      </w:r>
    </w:p>
    <w:p w14:paraId="77302464">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通过集体“三资”专项整治，清收了一批被侵占的集体资产，规范了一批不规范经济合同，盘活了一批闲置集体资源，有效遏制了集体资产流失，提升了集体资产运营效益。指导农村集体经济组织健全财务管理制度，完善收益分配机制，规范集体资产运营行为，农村集体经济组织管理规范化水平持续提升。</w:t>
      </w:r>
    </w:p>
    <w:p w14:paraId="747FD276">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农村产权交易市场体系不断完善，土地经营权、集体资产等产权进场交易规模稳步扩大，交易程序更加规范，促进了集体资产公开公平交易，有效提升了集体资产价值，保障了集体资产保值增值。结合农村土地制度改革、农业社会化服务创新，探索村集体牵头组建服务联盟、土地股份合作社等发展模式，拓宽了村集体经济增收渠道，为集体经济持续壮大注入了动力。</w:t>
      </w:r>
    </w:p>
    <w:p w14:paraId="7DF31711">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r>
        <w:rPr>
          <w:rFonts w:hint="eastAsia"/>
          <w:color w:val="auto"/>
          <w:sz w:val="29"/>
          <w:szCs w:val="29"/>
          <w:lang w:eastAsia="zh-CN"/>
        </w:rPr>
        <w:t>4.</w:t>
      </w:r>
      <w:r>
        <w:rPr>
          <w:rFonts w:hint="eastAsia" w:ascii="仿宋" w:hAnsi="仿宋" w:eastAsia="仿宋" w:cs="仿宋"/>
          <w:color w:val="auto"/>
          <w:sz w:val="29"/>
          <w:szCs w:val="29"/>
          <w:lang w:eastAsia="zh-CN"/>
        </w:rPr>
        <w:t xml:space="preserve"> </w:t>
      </w:r>
      <w:r>
        <w:rPr>
          <w:color w:val="auto"/>
          <w:sz w:val="29"/>
          <w:szCs w:val="29"/>
        </w:rPr>
        <w:t>新型农业经营主体不断发展壮大，质量效益同步提升</w:t>
      </w:r>
    </w:p>
    <w:p w14:paraId="1D903270">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持续加大农民合作社和家庭农场培育力度，全市新型农业经营主体总量稳步增长，发展质量持续提升。截至2025年末，全市共登记注册农民合作社9322家，其中国家级示范社68家、省级示范社250家、市级示范社397家；全市共有家庭农场3881家，其中省级示范性家庭农场248家、市级示范家庭农场444家，经营主体总量较上年实现小幅增长，示范引领体系不断健全。</w:t>
      </w:r>
    </w:p>
    <w:p w14:paraId="30601EA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扎实做好2025年中央财政重点支持项目申报评审工作，严格按照省厅实施方案要求，组织县市区推荐申报，开展市级专家评审和结果公示，最终确定15家农民合作社、30家家庭农场为中央财政重点支持项目主体，有效发挥了财政资金的引导扶持作用，带动经营主体提质增效。</w:t>
      </w:r>
    </w:p>
    <w:p w14:paraId="552EB99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有序开展经营主体名录管理工作，完善全市家庭农场名录系统，大力推广一码通赋码、家庭农场随手记APP应用，按时更新完善重点监测农民合作社、新型经营主体辅导员名录库，经营主体信息化管理水平持续提升。</w:t>
      </w:r>
    </w:p>
    <w:p w14:paraId="380F5F2F">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农业社会化服务能力明显提高，全年完成省级下达的社会化服务机插机抛面积6.41万亩，同比增加1.42万亩，增长率达28.56％；成功推荐沅陵县、溆浦县申报全省经作社会化服务试点县，洪江市申报全省丘陵地区粮食作物社会化服务重点县，农业社会化服务覆盖面持续扩大，服务能力稳步增强。</w:t>
      </w:r>
    </w:p>
    <w:p w14:paraId="010D455E">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r>
        <w:rPr>
          <w:rFonts w:hint="eastAsia"/>
          <w:color w:val="auto"/>
          <w:sz w:val="29"/>
          <w:szCs w:val="29"/>
          <w:lang w:eastAsia="zh-CN"/>
        </w:rPr>
        <w:t>5.</w:t>
      </w:r>
      <w:r>
        <w:rPr>
          <w:rFonts w:hint="eastAsia" w:ascii="仿宋" w:hAnsi="仿宋" w:eastAsia="仿宋" w:cs="仿宋"/>
          <w:color w:val="auto"/>
          <w:sz w:val="29"/>
          <w:szCs w:val="29"/>
          <w:lang w:eastAsia="zh-CN"/>
        </w:rPr>
        <w:t xml:space="preserve"> </w:t>
      </w:r>
      <w:r>
        <w:rPr>
          <w:color w:val="auto"/>
          <w:sz w:val="29"/>
          <w:szCs w:val="29"/>
        </w:rPr>
        <w:t>农村土地“三权分置”改革纵深推进，改革成果突出</w:t>
      </w:r>
    </w:p>
    <w:p w14:paraId="5987C163">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稳妥推进二轮土地承包到期延包试点工作，2025年全市试点覆盖152个乡镇、1984个村、80.83万户农户，涉及土地面积506.78万亩。13个县市区全部完成意向挂网、第三方招标、实施方案审核、红头文件印发、业务培训等前期工作，截至2026年1月12日，全市延包总完成率100％，纠错完成率99.88％、公示率99.81％、数据导入率99.68％、网签率97.6％，延包试点工作取得决定性进展，稳定了农村土地承包关系，给广大农户吃下了“定心丸”。</w:t>
      </w:r>
    </w:p>
    <w:p w14:paraId="699250C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纵深推进承包地“三权”分置改革，市委办公室、市政府办公室正式印发市级改革实施方案，明确改革时间表、路线图和责任分工。中方县、洪江区作为改革试点，成立工作专班，出台本地实施方案，围绕耕地林地权属重叠、土地细碎化、流转不畅等难点问题深入调研，会同多部门专题研讨，形成了一批制度成果，中方县草拟了土地承包权有偿退出协议范本，洪江区落实财政资金保障技术服务和土地股份合作社运转。“三权”分置改革成果作为省农业农村厅重大改革成果正式上报农业农村部，为全省改革提供了可复制、可推广的怀化经验。</w:t>
      </w:r>
    </w:p>
    <w:p w14:paraId="04F54EF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推进农业社会化服务创新试点，“四集”机制改革方案经市委深改委审议通过，明确中方县、溆浦县为试点。中方县铜湾镇试点成效显著，建成数字服务平台、智能温控育秧基地，推行“小田变大田”和土地经营权入股，组建集采联盟降低生产成本，改革创新取得实质性成效，为农业适度规模经营探索了新路径。</w:t>
      </w:r>
    </w:p>
    <w:p w14:paraId="50CC01F0">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r>
        <w:rPr>
          <w:rFonts w:hint="eastAsia"/>
          <w:color w:val="auto"/>
          <w:sz w:val="29"/>
          <w:szCs w:val="29"/>
          <w:lang w:eastAsia="zh-CN"/>
        </w:rPr>
        <w:t>6.</w:t>
      </w:r>
      <w:r>
        <w:rPr>
          <w:rFonts w:hint="eastAsia" w:ascii="仿宋" w:hAnsi="仿宋" w:eastAsia="仿宋" w:cs="仿宋"/>
          <w:color w:val="auto"/>
          <w:sz w:val="29"/>
          <w:szCs w:val="29"/>
          <w:lang w:eastAsia="zh-CN"/>
        </w:rPr>
        <w:t xml:space="preserve"> </w:t>
      </w:r>
      <w:r>
        <w:rPr>
          <w:color w:val="auto"/>
          <w:sz w:val="29"/>
          <w:szCs w:val="29"/>
        </w:rPr>
        <w:t>惠农减负工作常抓不懈，农民权益切实维护</w:t>
      </w:r>
    </w:p>
    <w:p w14:paraId="6D83C92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建立健全县、乡、村三级土地承包纠纷调解仲裁体系，完善纠纷多元化解机制，坚持调解优先、仲裁保障，依法依规调处土地承包纠纷。全年累计调解土地承包纠纷189起，仲裁13起，调解成功率达100％，有效将矛盾化解在基层、化解在萌芽状态，减少了群众信访诉求，维护了农民合法土地权益。</w:t>
      </w:r>
    </w:p>
    <w:p w14:paraId="489C6E4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严格落实农民负担监管职责，持续开展惠农减负政策落实情况督查，坚决纠正加重农民负担的违规行为，保障惠农补贴资金足额发放到农户手中。结合“三湘安居”专项行动，严肃查处农村建房审批领域损害农民利益的违纪行为，切实维护群众切身利益。</w:t>
      </w:r>
    </w:p>
    <w:p w14:paraId="200CCFCF">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规范农村“一事一议”筹资筹劳管理，严格审批程序，加强奖补资金监管，杜绝违规摊派、强制捐资等行为，切实减轻农民负担，保障农民群众合法权益。</w:t>
      </w:r>
    </w:p>
    <w:p w14:paraId="4DE08A73">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r>
        <w:rPr>
          <w:rFonts w:hint="eastAsia"/>
          <w:color w:val="auto"/>
          <w:sz w:val="29"/>
          <w:szCs w:val="29"/>
          <w:lang w:eastAsia="zh-CN"/>
        </w:rPr>
        <w:t>7.</w:t>
      </w:r>
      <w:r>
        <w:rPr>
          <w:rFonts w:hint="eastAsia" w:ascii="仿宋" w:hAnsi="仿宋" w:eastAsia="仿宋" w:cs="仿宋"/>
          <w:color w:val="auto"/>
          <w:sz w:val="29"/>
          <w:szCs w:val="29"/>
          <w:lang w:eastAsia="zh-CN"/>
        </w:rPr>
        <w:t xml:space="preserve"> </w:t>
      </w:r>
      <w:r>
        <w:rPr>
          <w:color w:val="auto"/>
          <w:sz w:val="29"/>
          <w:szCs w:val="29"/>
        </w:rPr>
        <w:t>乡村治理工作稳步开展，基层治理根基夯实</w:t>
      </w:r>
    </w:p>
    <w:p w14:paraId="11AB15DF">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积极参与乡村治理体系建设，配合推进乡村小微权力监督，指导村级健全集体经济组织议事决策机制，规范集体资产财务管理，推进村务财务公开，提升村级治理规范化水平。通过规范农村集体经济运行、化解基层矛盾纠纷、推进宅基地规范管理，有效夯实了乡村治理的经济基础和制度基础，助力提升乡村治理能力。</w:t>
      </w:r>
    </w:p>
    <w:p w14:paraId="0AF53926">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深入推进平安建设，将土地纠纷调处、宅基地管控、集体资产监管与平安乡村建设相结合，从源头减少农村矛盾纠纷，维护农村社会和谐稳定。加强政策宣传引导，提升农民群众法治意识和政策知晓度，引导群众依法依规表达诉求、维护权益，营造了良好的乡村治理氛围。</w:t>
      </w:r>
    </w:p>
    <w:p w14:paraId="4B7D504C">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20" w:name="heading_20"/>
      <w:r>
        <w:rPr>
          <w:rFonts w:hint="eastAsia"/>
          <w:color w:val="auto"/>
          <w:sz w:val="29"/>
          <w:szCs w:val="29"/>
          <w:lang w:eastAsia="zh-CN"/>
        </w:rPr>
        <w:t>（四）</w:t>
      </w:r>
      <w:r>
        <w:rPr>
          <w:color w:val="auto"/>
          <w:sz w:val="29"/>
          <w:szCs w:val="29"/>
        </w:rPr>
        <w:t>社会效应广泛显现，民生福祉持续增进</w:t>
      </w:r>
      <w:bookmarkEnd w:id="20"/>
    </w:p>
    <w:p w14:paraId="5DF74E4D">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bdr w:val="none" w:sz="0" w:space="0"/>
        </w:rPr>
      </w:pPr>
      <w:r>
        <w:rPr>
          <w:rStyle w:val="18"/>
          <w:rFonts w:hint="eastAsia"/>
          <w:color w:val="auto"/>
          <w:sz w:val="29"/>
          <w:szCs w:val="29"/>
          <w:lang w:eastAsia="zh-CN"/>
        </w:rPr>
        <w:t>1.</w:t>
      </w:r>
      <w:r>
        <w:rPr>
          <w:rFonts w:hint="eastAsia" w:ascii="仿宋" w:hAnsi="仿宋" w:eastAsia="仿宋" w:cs="仿宋"/>
          <w:color w:val="auto"/>
          <w:spacing w:val="-6"/>
          <w:sz w:val="29"/>
          <w:szCs w:val="29"/>
          <w:lang w:eastAsia="zh-CN"/>
        </w:rPr>
        <w:t xml:space="preserve"> </w:t>
      </w:r>
      <w:r>
        <w:rPr>
          <w:rStyle w:val="18"/>
          <w:color w:val="auto"/>
          <w:sz w:val="29"/>
          <w:szCs w:val="29"/>
        </w:rPr>
        <w:t>稳定了农村基本经营制度</w:t>
      </w:r>
      <w:r>
        <w:rPr>
          <w:rFonts w:ascii="Times New Roman" w:hAnsi="Times New Roman" w:eastAsia="仿宋_GB2312" w:cs="仿宋_GB2312"/>
          <w:color w:val="auto"/>
          <w:sz w:val="29"/>
          <w:szCs w:val="29"/>
        </w:rPr>
        <w:t>。通过二轮土地延包、“三权”分置改革，进一步巩固了农村土地承包关系，完善了农村基本经营制度，夯实了农村发展的制度根基，对于稳定农民生产预期、激发农业农村发展活力具有长远的社会意义。</w:t>
      </w:r>
    </w:p>
    <w:p w14:paraId="10CCA741">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bdr w:val="none" w:sz="0" w:space="0"/>
        </w:rPr>
      </w:pPr>
      <w:r>
        <w:rPr>
          <w:rStyle w:val="18"/>
          <w:rFonts w:hint="eastAsia"/>
          <w:color w:val="auto"/>
          <w:sz w:val="29"/>
          <w:szCs w:val="29"/>
          <w:lang w:eastAsia="zh-CN"/>
        </w:rPr>
        <w:t>2.</w:t>
      </w:r>
      <w:r>
        <w:rPr>
          <w:rFonts w:hint="eastAsia" w:ascii="仿宋" w:hAnsi="仿宋" w:eastAsia="仿宋" w:cs="仿宋"/>
          <w:color w:val="auto"/>
          <w:spacing w:val="-6"/>
          <w:sz w:val="29"/>
          <w:szCs w:val="29"/>
          <w:lang w:eastAsia="zh-CN"/>
        </w:rPr>
        <w:t xml:space="preserve"> </w:t>
      </w:r>
      <w:r>
        <w:rPr>
          <w:rStyle w:val="18"/>
          <w:color w:val="auto"/>
          <w:sz w:val="29"/>
          <w:szCs w:val="29"/>
        </w:rPr>
        <w:t>维护了农村社会和谐稳定</w:t>
      </w:r>
      <w:r>
        <w:rPr>
          <w:rFonts w:ascii="Times New Roman" w:hAnsi="Times New Roman" w:eastAsia="仿宋_GB2312" w:cs="仿宋_GB2312"/>
          <w:color w:val="auto"/>
          <w:sz w:val="29"/>
          <w:szCs w:val="29"/>
        </w:rPr>
        <w:t>。健全的纠纷调解仲裁体系有效化解了大量土地承包、宅基地使用等农村易发多发矛盾，全年纠纷调解成功率100％，未发生因土地纠纷引发的群体性事件和极端信访事件，切实将矛盾化解在基层，维护了农村社会大局稳定，助力平安怀化建设。</w:t>
      </w:r>
    </w:p>
    <w:p w14:paraId="1D06F997">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bdr w:val="none" w:sz="0" w:space="0"/>
        </w:rPr>
      </w:pPr>
      <w:r>
        <w:rPr>
          <w:rStyle w:val="18"/>
          <w:rFonts w:hint="eastAsia"/>
          <w:color w:val="auto"/>
          <w:sz w:val="29"/>
          <w:szCs w:val="29"/>
          <w:lang w:eastAsia="zh-CN"/>
        </w:rPr>
        <w:t>3.</w:t>
      </w:r>
      <w:r>
        <w:rPr>
          <w:rFonts w:hint="eastAsia" w:ascii="仿宋" w:hAnsi="仿宋" w:eastAsia="仿宋" w:cs="仿宋"/>
          <w:color w:val="auto"/>
          <w:spacing w:val="-6"/>
          <w:sz w:val="29"/>
          <w:szCs w:val="29"/>
          <w:lang w:eastAsia="zh-CN"/>
        </w:rPr>
        <w:t xml:space="preserve"> </w:t>
      </w:r>
      <w:r>
        <w:rPr>
          <w:rStyle w:val="18"/>
          <w:color w:val="auto"/>
          <w:sz w:val="29"/>
          <w:szCs w:val="29"/>
        </w:rPr>
        <w:t>提升了农民群众获得感幸福感</w:t>
      </w:r>
      <w:r>
        <w:rPr>
          <w:rFonts w:ascii="Times New Roman" w:hAnsi="Times New Roman" w:eastAsia="仿宋_GB2312" w:cs="仿宋_GB2312"/>
          <w:color w:val="auto"/>
          <w:sz w:val="29"/>
          <w:szCs w:val="29"/>
        </w:rPr>
        <w:t>。集体“三资”整治追回了集体资产，保障了全体村民的集体收益；新型经营主体培育带动了农民就业增收；宅基地审批简化优化提升了群众办事便利度；惠农减负政策落实保障了农民合法权益。各项工作都直接关系农民切身利益，有效提升了农民群众的获得感、幸福感和安全感。</w:t>
      </w:r>
    </w:p>
    <w:p w14:paraId="621EECA2">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bdr w:val="none" w:sz="0" w:space="0"/>
        </w:rPr>
      </w:pPr>
      <w:r>
        <w:rPr>
          <w:rStyle w:val="18"/>
          <w:rFonts w:hint="eastAsia"/>
          <w:color w:val="auto"/>
          <w:sz w:val="29"/>
          <w:szCs w:val="29"/>
          <w:lang w:eastAsia="zh-CN"/>
        </w:rPr>
        <w:t>4.</w:t>
      </w:r>
      <w:r>
        <w:rPr>
          <w:rFonts w:hint="eastAsia" w:ascii="仿宋" w:hAnsi="仿宋" w:eastAsia="仿宋" w:cs="仿宋"/>
          <w:color w:val="auto"/>
          <w:spacing w:val="-6"/>
          <w:sz w:val="29"/>
          <w:szCs w:val="29"/>
          <w:lang w:eastAsia="zh-CN"/>
        </w:rPr>
        <w:t xml:space="preserve"> </w:t>
      </w:r>
      <w:r>
        <w:rPr>
          <w:rStyle w:val="18"/>
          <w:color w:val="auto"/>
          <w:sz w:val="29"/>
          <w:szCs w:val="29"/>
        </w:rPr>
        <w:t>规范了农村经济发展秩序</w:t>
      </w:r>
      <w:r>
        <w:rPr>
          <w:rFonts w:ascii="Times New Roman" w:hAnsi="Times New Roman" w:eastAsia="仿宋_GB2312" w:cs="仿宋_GB2312"/>
          <w:color w:val="auto"/>
          <w:sz w:val="29"/>
          <w:szCs w:val="29"/>
        </w:rPr>
        <w:t>。通过产权交易规范、集体资产监管、经营主体培育，推动农村各类生产要素有序流动、规范配置，营造了公平公正的农村经济发展环境，为乡村产业振兴、农村经济高质量发展提供了有力支撑。</w:t>
      </w:r>
    </w:p>
    <w:p w14:paraId="41721F4F">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21" w:name="heading_21"/>
      <w:r>
        <w:rPr>
          <w:rFonts w:hint="eastAsia"/>
          <w:color w:val="auto"/>
          <w:sz w:val="29"/>
          <w:szCs w:val="29"/>
          <w:lang w:eastAsia="zh-CN"/>
        </w:rPr>
        <w:t>（五）</w:t>
      </w:r>
      <w:r>
        <w:rPr>
          <w:color w:val="auto"/>
          <w:sz w:val="29"/>
          <w:szCs w:val="29"/>
        </w:rPr>
        <w:t>可持续发展能力稳步增强，长效机制逐步健全</w:t>
      </w:r>
      <w:bookmarkEnd w:id="21"/>
    </w:p>
    <w:p w14:paraId="730751EF">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bdr w:val="none" w:sz="0" w:space="0"/>
        </w:rPr>
      </w:pPr>
      <w:r>
        <w:rPr>
          <w:rStyle w:val="18"/>
          <w:rFonts w:hint="eastAsia"/>
          <w:color w:val="auto"/>
          <w:sz w:val="29"/>
          <w:szCs w:val="29"/>
          <w:lang w:eastAsia="zh-CN"/>
        </w:rPr>
        <w:t>1.</w:t>
      </w:r>
      <w:r>
        <w:rPr>
          <w:rFonts w:hint="eastAsia" w:ascii="仿宋" w:hAnsi="仿宋" w:eastAsia="仿宋" w:cs="仿宋"/>
          <w:color w:val="auto"/>
          <w:spacing w:val="-6"/>
          <w:sz w:val="29"/>
          <w:szCs w:val="29"/>
          <w:lang w:eastAsia="zh-CN"/>
        </w:rPr>
        <w:t xml:space="preserve"> </w:t>
      </w:r>
      <w:r>
        <w:rPr>
          <w:rStyle w:val="18"/>
          <w:color w:val="auto"/>
          <w:sz w:val="29"/>
          <w:szCs w:val="29"/>
        </w:rPr>
        <w:t>制度体系更加完善</w:t>
      </w:r>
      <w:r>
        <w:rPr>
          <w:rFonts w:ascii="Times New Roman" w:hAnsi="Times New Roman" w:eastAsia="仿宋_GB2312" w:cs="仿宋_GB2312"/>
          <w:color w:val="auto"/>
          <w:sz w:val="29"/>
          <w:szCs w:val="29"/>
        </w:rPr>
        <w:t>。2025年出台了一系列农村改革、宅基地管理、集体资产监管的制度文件，形成了较为完备的政策制度体系，各项工作有章可循、有规可依，为今后长期开展农村经营管理工作提供了制度保障。特别是土地“三权”分置、二轮延包等改革形成的制度成果，具有长期适用性，将持续发挥制度效能。</w:t>
      </w:r>
    </w:p>
    <w:p w14:paraId="1378EECB">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bdr w:val="none" w:sz="0" w:space="0"/>
        </w:rPr>
      </w:pPr>
      <w:r>
        <w:rPr>
          <w:rStyle w:val="18"/>
          <w:rFonts w:hint="eastAsia"/>
          <w:color w:val="auto"/>
          <w:sz w:val="29"/>
          <w:szCs w:val="29"/>
          <w:lang w:eastAsia="zh-CN"/>
        </w:rPr>
        <w:t>2.</w:t>
      </w:r>
      <w:r>
        <w:rPr>
          <w:rFonts w:hint="eastAsia" w:ascii="仿宋" w:hAnsi="仿宋" w:eastAsia="仿宋" w:cs="仿宋"/>
          <w:color w:val="auto"/>
          <w:spacing w:val="-6"/>
          <w:sz w:val="29"/>
          <w:szCs w:val="29"/>
          <w:lang w:eastAsia="zh-CN"/>
        </w:rPr>
        <w:t xml:space="preserve"> </w:t>
      </w:r>
      <w:r>
        <w:rPr>
          <w:rStyle w:val="18"/>
          <w:color w:val="auto"/>
          <w:sz w:val="29"/>
          <w:szCs w:val="29"/>
        </w:rPr>
        <w:t>工作机制长效运行</w:t>
      </w:r>
      <w:r>
        <w:rPr>
          <w:rFonts w:ascii="Times New Roman" w:hAnsi="Times New Roman" w:eastAsia="仿宋_GB2312" w:cs="仿宋_GB2312"/>
          <w:color w:val="auto"/>
          <w:sz w:val="29"/>
          <w:szCs w:val="29"/>
        </w:rPr>
        <w:t>。建立了集体“三资”年度整治、土地纠纷常态化调处、经营主体动态监测、宅基地审批规范运行等长效工作机制，各项工作从阶段性专项行动逐步转入常态化管理，工作的连续性、稳定性不断增强。</w:t>
      </w:r>
    </w:p>
    <w:p w14:paraId="1657736D">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bdr w:val="none" w:sz="0" w:space="0"/>
        </w:rPr>
      </w:pPr>
      <w:r>
        <w:rPr>
          <w:rStyle w:val="18"/>
          <w:rFonts w:hint="eastAsia"/>
          <w:color w:val="auto"/>
          <w:sz w:val="29"/>
          <w:szCs w:val="29"/>
          <w:lang w:eastAsia="zh-CN"/>
        </w:rPr>
        <w:t>3.</w:t>
      </w:r>
      <w:r>
        <w:rPr>
          <w:rFonts w:hint="eastAsia" w:ascii="仿宋" w:hAnsi="仿宋" w:eastAsia="仿宋" w:cs="仿宋"/>
          <w:color w:val="auto"/>
          <w:spacing w:val="-6"/>
          <w:sz w:val="29"/>
          <w:szCs w:val="29"/>
          <w:lang w:eastAsia="zh-CN"/>
        </w:rPr>
        <w:t xml:space="preserve"> </w:t>
      </w:r>
      <w:r>
        <w:rPr>
          <w:rStyle w:val="18"/>
          <w:color w:val="auto"/>
          <w:sz w:val="29"/>
          <w:szCs w:val="29"/>
        </w:rPr>
        <w:t>改革经验可复制推广</w:t>
      </w:r>
      <w:r>
        <w:rPr>
          <w:rFonts w:ascii="Times New Roman" w:hAnsi="Times New Roman" w:eastAsia="仿宋_GB2312" w:cs="仿宋_GB2312"/>
          <w:color w:val="auto"/>
          <w:sz w:val="29"/>
          <w:szCs w:val="29"/>
        </w:rPr>
        <w:t>。“三权”分置改革、农业社会化服务“四集”机制、农村建房“一网通办”等创新实践，形成了可复制、可推广的经验模式，不仅能够在全市范围内推广应用，还为全省乃至全国同类地区提供了参考，改革的长期效益将持续释放。</w:t>
      </w:r>
    </w:p>
    <w:p w14:paraId="7B71E0C4">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bdr w:val="none" w:sz="0" w:space="0"/>
        </w:rPr>
      </w:pPr>
      <w:r>
        <w:rPr>
          <w:rStyle w:val="18"/>
          <w:rFonts w:hint="eastAsia"/>
          <w:color w:val="auto"/>
          <w:sz w:val="29"/>
          <w:szCs w:val="29"/>
          <w:lang w:eastAsia="zh-CN"/>
        </w:rPr>
        <w:t>4.</w:t>
      </w:r>
      <w:r>
        <w:rPr>
          <w:rFonts w:hint="eastAsia" w:ascii="仿宋" w:hAnsi="仿宋" w:eastAsia="仿宋" w:cs="仿宋"/>
          <w:color w:val="auto"/>
          <w:spacing w:val="-6"/>
          <w:sz w:val="29"/>
          <w:szCs w:val="29"/>
          <w:lang w:eastAsia="zh-CN"/>
        </w:rPr>
        <w:t xml:space="preserve"> </w:t>
      </w:r>
      <w:r>
        <w:rPr>
          <w:rStyle w:val="18"/>
          <w:color w:val="auto"/>
          <w:sz w:val="29"/>
          <w:szCs w:val="29"/>
        </w:rPr>
        <w:t>信息化支撑持续强化</w:t>
      </w:r>
      <w:r>
        <w:rPr>
          <w:rFonts w:ascii="Times New Roman" w:hAnsi="Times New Roman" w:eastAsia="仿宋_GB2312" w:cs="仿宋_GB2312"/>
          <w:color w:val="auto"/>
          <w:sz w:val="29"/>
          <w:szCs w:val="29"/>
        </w:rPr>
        <w:t>。家庭农场名录系统、农村建房审批系统、土地承包管理信息系统等信息化平台逐步完善，应用范围不断扩大，为农村经营管理数字化转型奠定了基础，将持续提升管理效率和服务能力。</w:t>
      </w:r>
    </w:p>
    <w:p w14:paraId="24606AAA">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hint="eastAsia" w:ascii="仿宋_GB2312" w:hAnsi="仿宋_GB2312" w:eastAsia="仿宋_GB2312" w:cs="仿宋_GB2312"/>
          <w:b w:val="0"/>
          <w:color w:val="auto"/>
          <w:sz w:val="29"/>
          <w:szCs w:val="29"/>
          <w:bdr w:val="none" w:sz="0" w:space="0"/>
        </w:rPr>
      </w:pPr>
      <w:r>
        <w:rPr>
          <w:rStyle w:val="18"/>
          <w:rFonts w:hint="eastAsia"/>
          <w:color w:val="auto"/>
          <w:sz w:val="29"/>
          <w:szCs w:val="29"/>
          <w:lang w:eastAsia="zh-CN"/>
        </w:rPr>
        <w:t>5.</w:t>
      </w:r>
      <w:r>
        <w:rPr>
          <w:rFonts w:hint="eastAsia" w:ascii="仿宋" w:hAnsi="仿宋" w:eastAsia="仿宋" w:cs="仿宋"/>
          <w:color w:val="auto"/>
          <w:spacing w:val="-6"/>
          <w:sz w:val="29"/>
          <w:szCs w:val="29"/>
          <w:lang w:eastAsia="zh-CN"/>
        </w:rPr>
        <w:t xml:space="preserve"> </w:t>
      </w:r>
      <w:r>
        <w:rPr>
          <w:rStyle w:val="18"/>
          <w:color w:val="auto"/>
          <w:sz w:val="29"/>
          <w:szCs w:val="29"/>
        </w:rPr>
        <w:t>队伍能力不断提升</w:t>
      </w:r>
      <w:r>
        <w:rPr>
          <w:rFonts w:ascii="Times New Roman" w:hAnsi="Times New Roman" w:eastAsia="仿宋_GB2312" w:cs="仿宋_GB2312"/>
          <w:color w:val="auto"/>
          <w:sz w:val="29"/>
          <w:szCs w:val="29"/>
        </w:rPr>
        <w:t>。通过集中培训、以干代训、基层指导等方式，市、县、乡三级农经队伍的业务能力持续提升，人才队伍结构不断优化，为农经事业长远发展提供了人才支撑。</w:t>
      </w:r>
    </w:p>
    <w:p w14:paraId="7608E09C">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22" w:name="heading_22"/>
      <w:r>
        <w:rPr>
          <w:rFonts w:hint="eastAsia"/>
          <w:color w:val="auto"/>
          <w:sz w:val="29"/>
          <w:szCs w:val="29"/>
          <w:lang w:eastAsia="zh-CN"/>
        </w:rPr>
        <w:t>（六）</w:t>
      </w:r>
      <w:r>
        <w:rPr>
          <w:color w:val="auto"/>
          <w:sz w:val="29"/>
          <w:szCs w:val="29"/>
        </w:rPr>
        <w:t>服务对象满意度较高，社会评价整体向好</w:t>
      </w:r>
      <w:bookmarkEnd w:id="22"/>
    </w:p>
    <w:p w14:paraId="06D370FF">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通过乡镇座谈、入户走访、线上问卷、办事评价等多种渠道，对基层农经工作人员、村集体经济组织、农民合作社、家庭农场、普通农户等各类服务对象开展满意度调查。结果显示，各类服务对象对农村经营管理工作的综合满意度达93％以上，高于年度设定的90％预期目标。</w:t>
      </w:r>
    </w:p>
    <w:p w14:paraId="571D2AA2">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分领域来看，农村产权交易工作服务对象满意率93.6％，土地仲裁工作服务对象满意率93.5％，农民合作社扶持工作服务对象满意率95.5％，农村土地制度改革工作服务对象满意率93.2％，所有领域满意度均超过90％，反映出服务对象对各项工作的认可度较高。</w:t>
      </w:r>
    </w:p>
    <w:p w14:paraId="672F63DF">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群众普遍认为，近年来农村宅基地审批更便捷了、土地纠纷解决更顺畅了、集体资产更透明了、经营主体扶持政策更实了，各项政策落地见效，服务水平不断提升。同时，基层也提出了希望增加下沉培训频次、简化部分业务流程、加大政策宣传力度等意见建议，为后续改进工作明确了方向。</w:t>
      </w:r>
    </w:p>
    <w:p w14:paraId="380DA0A0">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综上，2025年度怀化市农村经营事务中心整体支出绩效优良，各项绩效目标全面完成，资金使用规范高效，履职成效显著，社会效益、生态效益、长期效益同步显现，圆满完成了年度各项工作任务，为全市乡村全面振兴作出了积极贡献。</w:t>
      </w:r>
    </w:p>
    <w:p w14:paraId="06F79022">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bookmarkStart w:id="23" w:name="heading_23"/>
      <w:r>
        <w:rPr>
          <w:rFonts w:hint="eastAsia"/>
          <w:color w:val="auto"/>
          <w:sz w:val="29"/>
          <w:szCs w:val="29"/>
          <w:lang w:eastAsia="zh-CN"/>
        </w:rPr>
        <w:t>九、</w:t>
      </w:r>
      <w:r>
        <w:rPr>
          <w:color w:val="auto"/>
          <w:sz w:val="29"/>
          <w:szCs w:val="29"/>
        </w:rPr>
        <w:t>存在的问题及原因分析</w:t>
      </w:r>
      <w:bookmarkEnd w:id="23"/>
    </w:p>
    <w:p w14:paraId="75CD1259">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尽管2025年度部门整体支出绩效情况总体良好，各项工作取得了显著成效，但对照更高标准的预算绩效管理要求和基层群众的期盼，仍存在一些不足和短板，具体如下：</w:t>
      </w:r>
    </w:p>
    <w:p w14:paraId="6938F4F5">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24" w:name="heading_24"/>
      <w:r>
        <w:rPr>
          <w:rFonts w:hint="eastAsia"/>
          <w:color w:val="auto"/>
          <w:sz w:val="29"/>
          <w:szCs w:val="29"/>
          <w:lang w:eastAsia="zh-CN"/>
        </w:rPr>
        <w:t>（一）</w:t>
      </w:r>
      <w:r>
        <w:rPr>
          <w:color w:val="auto"/>
          <w:sz w:val="29"/>
          <w:szCs w:val="29"/>
        </w:rPr>
        <w:t>预算编制精准性有待进一步提升</w:t>
      </w:r>
      <w:bookmarkEnd w:id="24"/>
    </w:p>
    <w:p w14:paraId="5F2C080B">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部门整体支出年初预算261.80万元，全年预算调整为293.20万元，年初预算与全年实际预算存在一定差异，预算编制的前瞻性和精准度有待提升。主要原因在于，年度预算编制时无法完全预判年度内人员调整、新增改革任务等政策性增支因素，例如本年度调入2名参公人员带来的人员经费增加，以及部分新增专项工作任务带来的支出需求，难以在年初预算中完全精准测算，导致预算执行过程中需要进行调整。同时，对部分公用支出、项目支出的细化测算不够充分，对非刚性支出的压缩空间预判不足，也在一定程度上影响了预算编制的精准度。</w:t>
      </w:r>
    </w:p>
    <w:p w14:paraId="1D5B928A">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25" w:name="heading_25"/>
      <w:r>
        <w:rPr>
          <w:rFonts w:hint="eastAsia"/>
          <w:color w:val="auto"/>
          <w:sz w:val="29"/>
          <w:szCs w:val="29"/>
          <w:lang w:eastAsia="zh-CN"/>
        </w:rPr>
        <w:t>（二）</w:t>
      </w:r>
      <w:r>
        <w:rPr>
          <w:color w:val="auto"/>
          <w:sz w:val="29"/>
          <w:szCs w:val="29"/>
        </w:rPr>
        <w:t>绩效指标量化程度仍有不足</w:t>
      </w:r>
      <w:bookmarkEnd w:id="25"/>
    </w:p>
    <w:p w14:paraId="66D6B36F">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整体支出及部分项目支出的绩效指标体系中，产出类指标量化程度较高，但效益类、效果类指标仍以定性描述为主，缺乏可量化、可比对的具体数值指标，难以精准衡量长期效益的具体提升幅度，绩效评价的精准度和可比性有待增强。主要原因在于，农村经营管理工作的社会效益、生态效益、长期效益具有滞后性、间接性特点，难以简单通过量化指标完全衡量，同时绩效指标设计的精细化水平还有待提升，对效益类指标的量化研究和探索不够深入。</w:t>
      </w:r>
    </w:p>
    <w:p w14:paraId="4EC3AC46">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26" w:name="heading_26"/>
      <w:r>
        <w:rPr>
          <w:rFonts w:hint="eastAsia"/>
          <w:color w:val="auto"/>
          <w:sz w:val="29"/>
          <w:szCs w:val="29"/>
          <w:lang w:eastAsia="zh-CN"/>
        </w:rPr>
        <w:t>（三）</w:t>
      </w:r>
      <w:r>
        <w:rPr>
          <w:color w:val="auto"/>
          <w:sz w:val="29"/>
          <w:szCs w:val="29"/>
        </w:rPr>
        <w:t>基层农经队伍力量与工作任务不相匹配</w:t>
      </w:r>
      <w:bookmarkEnd w:id="26"/>
    </w:p>
    <w:p w14:paraId="60B23CBB">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当前农村经营管理领域改革任务重、专项工作多、监管责任大，涉及土地改革、宅基地管理、集体“三资”监管、经营主体培育等多项全域性、长期性工作，工作量持续增加。但县乡两级农经队伍普遍存在人员编制少、力量薄弱、人员流动性大、兼职多专职少的问题，部分乡镇甚至没有专职农经工作人员，导致部分基层工作推进力度不足、政策落实不够精细、业务质量参差不齐。单位作为市级业务指导部门，只能通过培训、督导进行业务指导，无法直接解决基层机构编制和人员配备问题，基层力量薄弱成为制约工作提质增效的重要因素。</w:t>
      </w:r>
    </w:p>
    <w:p w14:paraId="7E380827">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27" w:name="heading_27"/>
      <w:r>
        <w:rPr>
          <w:rFonts w:hint="eastAsia"/>
          <w:color w:val="auto"/>
          <w:sz w:val="29"/>
          <w:szCs w:val="29"/>
          <w:lang w:eastAsia="zh-CN"/>
        </w:rPr>
        <w:t>（四）</w:t>
      </w:r>
      <w:r>
        <w:rPr>
          <w:color w:val="auto"/>
          <w:sz w:val="29"/>
          <w:szCs w:val="29"/>
        </w:rPr>
        <w:t>信息化建设整合程度不高</w:t>
      </w:r>
      <w:bookmarkEnd w:id="27"/>
    </w:p>
    <w:p w14:paraId="366CE6D2">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目前农村经营管理各业务领域分别建有对应的信息系统，如土地承包管理系统、家庭农场名录系统、宅基地审批系统、集体资产监管系统等，但各系统之间数据不互通、功能不衔接，存在数据重复填报、信息多头采集的问题，增加了基层工作负担，也不利于数据综合分析利用。信息化建设缺乏顶层统筹规划，各系统分头建设、各自运行，数据共享壁垒尚未完全打通，数字化对业务工作的支撑赋能作用未充分发挥。</w:t>
      </w:r>
    </w:p>
    <w:p w14:paraId="21FC61BD">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28" w:name="heading_28"/>
      <w:r>
        <w:rPr>
          <w:rFonts w:hint="eastAsia"/>
          <w:color w:val="auto"/>
          <w:sz w:val="29"/>
          <w:szCs w:val="29"/>
          <w:lang w:eastAsia="zh-CN"/>
        </w:rPr>
        <w:t>（五）</w:t>
      </w:r>
      <w:r>
        <w:rPr>
          <w:color w:val="auto"/>
          <w:sz w:val="29"/>
          <w:szCs w:val="29"/>
        </w:rPr>
        <w:t>项目资金统筹整合力度有待加强</w:t>
      </w:r>
      <w:bookmarkEnd w:id="28"/>
    </w:p>
    <w:p w14:paraId="3E104F62">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当前项目设置较为细分，4个项目分别对应不同业务板块，资金分别管理、分别核算，虽然有利于单个项目的精准管控，但也在一定程度上造成资金碎片化，统筹调配灵活性不足，难以根据年度工作重点动态调整资金投向，集中财力解决重点难点问题的能力有待提升。同时，部分小额项目管理成本相对较高，资金规模效应未能充分体现。</w:t>
      </w:r>
    </w:p>
    <w:p w14:paraId="080795FA">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bookmarkStart w:id="29" w:name="heading_29"/>
      <w:r>
        <w:rPr>
          <w:rFonts w:hint="eastAsia"/>
          <w:color w:val="auto"/>
          <w:sz w:val="29"/>
          <w:szCs w:val="29"/>
          <w:lang w:eastAsia="zh-CN"/>
        </w:rPr>
        <w:t>十、</w:t>
      </w:r>
      <w:r>
        <w:rPr>
          <w:color w:val="auto"/>
          <w:sz w:val="29"/>
          <w:szCs w:val="29"/>
        </w:rPr>
        <w:t>下一步改进措施</w:t>
      </w:r>
      <w:bookmarkEnd w:id="29"/>
    </w:p>
    <w:p w14:paraId="6204ABD2">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针对上述存在的问题，结合单位工作实际，下一步将从以下几个方面加以改进，持续提升预算绩效管理水平和整体履职效能。</w:t>
      </w:r>
    </w:p>
    <w:p w14:paraId="1EEC8B08">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30" w:name="heading_30"/>
      <w:r>
        <w:rPr>
          <w:rFonts w:hint="eastAsia"/>
          <w:color w:val="auto"/>
          <w:sz w:val="29"/>
          <w:szCs w:val="29"/>
          <w:lang w:eastAsia="zh-CN"/>
        </w:rPr>
        <w:t>（一）</w:t>
      </w:r>
      <w:r>
        <w:rPr>
          <w:color w:val="auto"/>
          <w:sz w:val="29"/>
          <w:szCs w:val="29"/>
        </w:rPr>
        <w:t>科学精准编制预算，提升预算管理水平</w:t>
      </w:r>
      <w:bookmarkEnd w:id="30"/>
    </w:p>
    <w:p w14:paraId="637E75F0">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进一步强化预算编制的前期调研和科学测算，全面梳理年度工作任务，准确预判人员变动、政策调整等增支因素，分科目、分项目细化支出测算，尽可能缩小年初预算与实际执行的差异。加强与财政部门的沟通对接，及时反馈年度工作重点和资金需求，争取预算安排更加贴合实际工作需要。</w:t>
      </w:r>
    </w:p>
    <w:p w14:paraId="572A38C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坚持“零基预算”理念，按照“保基本、保重点、压一般”的原则，优先保障人员经费和重点改革、核心业务支出，大力压缩非刚性、非必要支出，优化支出结构。建立预算执行动态分析机制，按月监控预算执行进度，及时发现执行偏差，采取措施调整优化，提升预算执行的均衡性和精准度。</w:t>
      </w:r>
    </w:p>
    <w:p w14:paraId="22526DD1">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31" w:name="heading_31"/>
      <w:r>
        <w:rPr>
          <w:rFonts w:hint="eastAsia"/>
          <w:color w:val="auto"/>
          <w:sz w:val="29"/>
          <w:szCs w:val="29"/>
          <w:lang w:eastAsia="zh-CN"/>
        </w:rPr>
        <w:t>（二）</w:t>
      </w:r>
      <w:r>
        <w:rPr>
          <w:color w:val="auto"/>
          <w:sz w:val="29"/>
          <w:szCs w:val="29"/>
        </w:rPr>
        <w:t>优化绩效指标体系，强化绩效目标管理</w:t>
      </w:r>
      <w:bookmarkEnd w:id="31"/>
    </w:p>
    <w:p w14:paraId="4D3F618C">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进一步完善整体支出和项目支出绩效指标体系，在科学设置产出指标的基础上，重点优化效益类指标，尽可能将效益目标转化为可量化、可考核、可验证的具体指标，减少定性表述，提升绩效指标的精准性和可比性。例如针对经济效益，设置土地流转面积增长率、农户增收幅度等量化指标；针对社会效益，设置纠纷化解率、群众办事时限压缩比例等指标。</w:t>
      </w:r>
    </w:p>
    <w:p w14:paraId="72128E9F">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加强绩效目标审核把关，确保绩效目标与部门职责、年度工作任务紧密匹配，指标设置科学合理、可落地可考核。强化绩效运行监控，定期跟踪指标完成情况，对进度滞后的指标及时预警、督促整改，确保绩效目标如期实现。</w:t>
      </w:r>
    </w:p>
    <w:p w14:paraId="299DE58B">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32" w:name="heading_32"/>
      <w:r>
        <w:rPr>
          <w:rFonts w:hint="eastAsia"/>
          <w:color w:val="auto"/>
          <w:sz w:val="29"/>
          <w:szCs w:val="29"/>
          <w:lang w:eastAsia="zh-CN"/>
        </w:rPr>
        <w:t>（三）</w:t>
      </w:r>
      <w:r>
        <w:rPr>
          <w:color w:val="auto"/>
          <w:sz w:val="29"/>
          <w:szCs w:val="29"/>
        </w:rPr>
        <w:t>加强基层队伍建设，提升整体业务能力</w:t>
      </w:r>
      <w:bookmarkEnd w:id="32"/>
    </w:p>
    <w:p w14:paraId="15391EC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持续加大对县乡农经工作人员的业务培训力度，丰富培训形式，采用集中培训、巡回宣讲、现场实操、线上授课等多种方式，扩大培训覆盖面，提升培训针对性和实效性。重点加强对改革政策、业务流程、系统操作、法律法规等内容的培训，不断提升基层工作人员的政策水平和业务能力。</w:t>
      </w:r>
    </w:p>
    <w:p w14:paraId="1005303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积极向党委政府及主管部门反映基层农经队伍建设存在的困难，推动健全基层农经工作体系，充实基层工作力量，稳定基层工作队伍。建立市县乡三级业务联动机制，加强市级对基层的对口指导，帮助基层解决实际难题，提升全市农经系统整体履职能力。</w:t>
      </w:r>
    </w:p>
    <w:p w14:paraId="4C8010A7">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33" w:name="heading_33"/>
      <w:r>
        <w:rPr>
          <w:rFonts w:hint="eastAsia"/>
          <w:color w:val="auto"/>
          <w:sz w:val="29"/>
          <w:szCs w:val="29"/>
          <w:lang w:eastAsia="zh-CN"/>
        </w:rPr>
        <w:t>（四）</w:t>
      </w:r>
      <w:r>
        <w:rPr>
          <w:color w:val="auto"/>
          <w:sz w:val="29"/>
          <w:szCs w:val="29"/>
        </w:rPr>
        <w:t>推进信息化整合，加快数字化转型</w:t>
      </w:r>
      <w:bookmarkEnd w:id="33"/>
    </w:p>
    <w:p w14:paraId="074801B4">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统筹推进农村经营管理信息化建设，积极争取上级支持，推动各业务系统数据互联互通、功能整合升级，打破数据壁垒，实现“一次采集、多方共享”，减轻基层重复填报负担。拓展信息化应用场景，推动更多业务实现全流程线上办理，提升办事效率和监管精准度。</w:t>
      </w:r>
    </w:p>
    <w:p w14:paraId="636282B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强化数据统计分析功能，依托整合后的信息数据，开展农村经济运行、经营主体发展、土地流转态势等分析研判，为政策制定、工作决策提供精准数据支撑，以数字化转型推动农村经营管理工作提质增效。</w:t>
      </w:r>
    </w:p>
    <w:p w14:paraId="26CF6FAD">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34" w:name="heading_34"/>
      <w:r>
        <w:rPr>
          <w:rFonts w:hint="eastAsia"/>
          <w:color w:val="auto"/>
          <w:sz w:val="29"/>
          <w:szCs w:val="29"/>
          <w:lang w:eastAsia="zh-CN"/>
        </w:rPr>
        <w:t>（五）</w:t>
      </w:r>
      <w:r>
        <w:rPr>
          <w:color w:val="auto"/>
          <w:sz w:val="29"/>
          <w:szCs w:val="29"/>
        </w:rPr>
        <w:t>统筹整合项目资金，提高资金使用效益</w:t>
      </w:r>
      <w:bookmarkEnd w:id="34"/>
    </w:p>
    <w:p w14:paraId="2BE3D0D4">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在符合专项资金管理规定的前提下，探索推进方向相近、内容相关的项目资金统筹整合，优化项目设置，减少碎片化项目，集中财力保障重点领域和关键环节，提升资金规模效应和使用效益。建立项目资金动态调整机制，根据年度工作任务变化，按规定程序合理调整资金投向，提升资金使用的灵活性和精准度，更好地保障重点工作推进。</w:t>
      </w:r>
    </w:p>
    <w:p w14:paraId="3531477D">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同时，进一步加强项目资金全过程监管，完善资金使用绩效评价机制，将绩效评价结果与资金分配、项目安排直接挂钩，强化绩效导向，倒逼提升资金使用效益，确保每一分财政资金都用在刀刃上。</w:t>
      </w:r>
    </w:p>
    <w:p w14:paraId="11B5E485">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bookmarkStart w:id="35" w:name="heading_35"/>
      <w:r>
        <w:rPr>
          <w:rFonts w:hint="eastAsia"/>
          <w:color w:val="auto"/>
          <w:sz w:val="29"/>
          <w:szCs w:val="29"/>
          <w:lang w:eastAsia="zh-CN"/>
        </w:rPr>
        <w:t>十一、</w:t>
      </w:r>
      <w:r>
        <w:rPr>
          <w:color w:val="auto"/>
          <w:sz w:val="29"/>
          <w:szCs w:val="29"/>
        </w:rPr>
        <w:t>绩效自评结果拟应用和公开情况</w:t>
      </w:r>
      <w:bookmarkEnd w:id="35"/>
    </w:p>
    <w:p w14:paraId="6F7E3F2D">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36" w:name="heading_36"/>
      <w:r>
        <w:rPr>
          <w:rFonts w:hint="eastAsia"/>
          <w:color w:val="auto"/>
          <w:sz w:val="29"/>
          <w:szCs w:val="29"/>
          <w:lang w:eastAsia="zh-CN"/>
        </w:rPr>
        <w:t>（一）</w:t>
      </w:r>
      <w:r>
        <w:rPr>
          <w:color w:val="auto"/>
          <w:sz w:val="29"/>
          <w:szCs w:val="29"/>
        </w:rPr>
        <w:t>绩效自评结果拟应用情况</w:t>
      </w:r>
      <w:bookmarkEnd w:id="36"/>
    </w:p>
    <w:p w14:paraId="056FE33F">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b w:val="0"/>
          <w:color w:val="auto"/>
          <w:sz w:val="29"/>
          <w:szCs w:val="29"/>
          <w:bdr w:val="none" w:sz="0" w:space="0"/>
        </w:rPr>
      </w:pPr>
      <w:r>
        <w:rPr>
          <w:rStyle w:val="18"/>
          <w:rFonts w:hint="eastAsia"/>
          <w:color w:val="auto"/>
          <w:sz w:val="29"/>
          <w:szCs w:val="29"/>
          <w:lang w:eastAsia="zh-CN"/>
        </w:rPr>
        <w:t>1.</w:t>
      </w:r>
      <w:r>
        <w:rPr>
          <w:rFonts w:hint="eastAsia" w:ascii="仿宋" w:hAnsi="仿宋" w:eastAsia="仿宋" w:cs="仿宋"/>
          <w:color w:val="auto"/>
          <w:spacing w:val="-6"/>
          <w:sz w:val="29"/>
          <w:szCs w:val="29"/>
          <w:lang w:eastAsia="zh-CN"/>
        </w:rPr>
        <w:t xml:space="preserve"> </w:t>
      </w:r>
      <w:r>
        <w:rPr>
          <w:rStyle w:val="18"/>
          <w:color w:val="auto"/>
          <w:sz w:val="29"/>
          <w:szCs w:val="29"/>
        </w:rPr>
        <w:t>与预算安排挂钩</w:t>
      </w:r>
      <w:r>
        <w:rPr>
          <w:rFonts w:ascii="Times New Roman" w:hAnsi="Times New Roman" w:eastAsia="仿宋_GB2312" w:cs="仿宋_GB2312"/>
          <w:color w:val="auto"/>
          <w:sz w:val="29"/>
          <w:szCs w:val="29"/>
        </w:rPr>
        <w:t>。将本次整体支出绩效自评结果作为编制下年度部门预算、安排项目资金的重要依据，对绩效评价好、成效突出的业务领域，优先保障资金投入；对绩效一般、存在问题的项目，相应优化调整或压减资金规模，切实发挥绩效评价对预算安排的引导约束作用。</w:t>
      </w:r>
    </w:p>
    <w:p w14:paraId="081F977D">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b w:val="0"/>
          <w:color w:val="auto"/>
          <w:sz w:val="29"/>
          <w:szCs w:val="29"/>
          <w:bdr w:val="none" w:sz="0" w:space="0"/>
        </w:rPr>
      </w:pPr>
      <w:r>
        <w:rPr>
          <w:rStyle w:val="18"/>
          <w:rFonts w:hint="eastAsia"/>
          <w:color w:val="auto"/>
          <w:sz w:val="29"/>
          <w:szCs w:val="29"/>
          <w:lang w:eastAsia="zh-CN"/>
        </w:rPr>
        <w:t>2.</w:t>
      </w:r>
      <w:r>
        <w:rPr>
          <w:rFonts w:hint="eastAsia" w:ascii="仿宋" w:hAnsi="仿宋" w:eastAsia="仿宋" w:cs="仿宋"/>
          <w:color w:val="auto"/>
          <w:spacing w:val="-6"/>
          <w:sz w:val="29"/>
          <w:szCs w:val="29"/>
          <w:lang w:eastAsia="zh-CN"/>
        </w:rPr>
        <w:t xml:space="preserve"> </w:t>
      </w:r>
      <w:r>
        <w:rPr>
          <w:rStyle w:val="18"/>
          <w:color w:val="auto"/>
          <w:sz w:val="29"/>
          <w:szCs w:val="29"/>
        </w:rPr>
        <w:t>与内部考核挂钩</w:t>
      </w:r>
      <w:r>
        <w:rPr>
          <w:rFonts w:ascii="Times New Roman" w:hAnsi="Times New Roman" w:eastAsia="仿宋_GB2312" w:cs="仿宋_GB2312"/>
          <w:color w:val="auto"/>
          <w:sz w:val="29"/>
          <w:szCs w:val="29"/>
        </w:rPr>
        <w:t>。将绩效目标完成情况纳入单位内部科室及工作人员年度绩效考核体系，作为评优评先、奖励分配的重要参考，强化干部职工的绩效意识和责任意识，推动形成“讲绩效、重实效”的工作氛围。</w:t>
      </w:r>
    </w:p>
    <w:p w14:paraId="1739B506">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b w:val="0"/>
          <w:color w:val="auto"/>
          <w:sz w:val="29"/>
          <w:szCs w:val="29"/>
          <w:bdr w:val="none" w:sz="0" w:space="0"/>
        </w:rPr>
      </w:pPr>
      <w:r>
        <w:rPr>
          <w:rStyle w:val="18"/>
          <w:rFonts w:hint="eastAsia"/>
          <w:color w:val="auto"/>
          <w:sz w:val="29"/>
          <w:szCs w:val="29"/>
          <w:lang w:eastAsia="zh-CN"/>
        </w:rPr>
        <w:t>3.</w:t>
      </w:r>
      <w:r>
        <w:rPr>
          <w:rFonts w:hint="eastAsia" w:ascii="仿宋" w:hAnsi="仿宋" w:eastAsia="仿宋" w:cs="仿宋"/>
          <w:color w:val="auto"/>
          <w:spacing w:val="-6"/>
          <w:sz w:val="29"/>
          <w:szCs w:val="29"/>
          <w:lang w:eastAsia="zh-CN"/>
        </w:rPr>
        <w:t xml:space="preserve"> </w:t>
      </w:r>
      <w:r>
        <w:rPr>
          <w:rStyle w:val="18"/>
          <w:color w:val="auto"/>
          <w:sz w:val="29"/>
          <w:szCs w:val="29"/>
        </w:rPr>
        <w:t>用于改进工作管理</w:t>
      </w:r>
      <w:r>
        <w:rPr>
          <w:rFonts w:ascii="Times New Roman" w:hAnsi="Times New Roman" w:eastAsia="仿宋_GB2312" w:cs="仿宋_GB2312"/>
          <w:color w:val="auto"/>
          <w:sz w:val="29"/>
          <w:szCs w:val="29"/>
        </w:rPr>
        <w:t>。针对自评发现的问题和短板，逐项制定整改措施，明确责任科室和整改时限，推动问题整改到位，不断优化内部管理、提升业务工作质效。同时，总结提炼绩效优良项目的经验做法，在单位内部推广应用，提升整体工作水平。</w:t>
      </w:r>
    </w:p>
    <w:p w14:paraId="2B017D51">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b w:val="0"/>
          <w:color w:val="auto"/>
          <w:sz w:val="29"/>
          <w:szCs w:val="29"/>
          <w:bdr w:val="none" w:sz="0" w:space="0"/>
        </w:rPr>
      </w:pPr>
      <w:r>
        <w:rPr>
          <w:rStyle w:val="18"/>
          <w:rFonts w:hint="eastAsia"/>
          <w:color w:val="auto"/>
          <w:sz w:val="29"/>
          <w:szCs w:val="29"/>
          <w:lang w:eastAsia="zh-CN"/>
        </w:rPr>
        <w:t>4.</w:t>
      </w:r>
      <w:r>
        <w:rPr>
          <w:rFonts w:hint="eastAsia" w:ascii="仿宋" w:hAnsi="仿宋" w:eastAsia="仿宋" w:cs="仿宋"/>
          <w:color w:val="auto"/>
          <w:spacing w:val="-6"/>
          <w:sz w:val="29"/>
          <w:szCs w:val="29"/>
          <w:lang w:eastAsia="zh-CN"/>
        </w:rPr>
        <w:t xml:space="preserve"> </w:t>
      </w:r>
      <w:r>
        <w:rPr>
          <w:rStyle w:val="18"/>
          <w:color w:val="auto"/>
          <w:sz w:val="29"/>
          <w:szCs w:val="29"/>
        </w:rPr>
        <w:t>作为政策完善依据</w:t>
      </w:r>
      <w:r>
        <w:rPr>
          <w:rFonts w:ascii="Times New Roman" w:hAnsi="Times New Roman" w:eastAsia="仿宋_GB2312" w:cs="仿宋_GB2312"/>
          <w:color w:val="auto"/>
          <w:sz w:val="29"/>
          <w:szCs w:val="29"/>
        </w:rPr>
        <w:t>。结合绩效评价结果，分析各项政策、改革措施的实施效果，为调整完善农村经营管理相关政策、优化工作部署提供参考依据，提升政策制定的科学性和精准性。</w:t>
      </w:r>
    </w:p>
    <w:p w14:paraId="1FFD2B0A">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37" w:name="heading_37"/>
      <w:r>
        <w:rPr>
          <w:rFonts w:hint="eastAsia"/>
          <w:color w:val="auto"/>
          <w:sz w:val="29"/>
          <w:szCs w:val="29"/>
          <w:lang w:eastAsia="zh-CN"/>
        </w:rPr>
        <w:t>（二）</w:t>
      </w:r>
      <w:r>
        <w:rPr>
          <w:color w:val="auto"/>
          <w:sz w:val="29"/>
          <w:szCs w:val="29"/>
        </w:rPr>
        <w:t>绩效自评结果公开情况</w:t>
      </w:r>
      <w:bookmarkEnd w:id="37"/>
    </w:p>
    <w:p w14:paraId="0A9F11FF">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严格按照市级预算信息公开的相关规定，在规定时限内，通过怀化市人民政府门户网站等官方渠道，向社会公开本单位2025年度整体支出绩效自评报告及相关自评表格，主动接受社会公众监督，确保绩效信息公开透明，回应社</w:t>
      </w:r>
      <w:bookmarkStart w:id="39" w:name="_GoBack"/>
      <w:bookmarkEnd w:id="39"/>
      <w:r>
        <w:rPr>
          <w:rFonts w:ascii="Times New Roman" w:hAnsi="Times New Roman" w:eastAsia="仿宋_GB2312" w:cs="仿宋_GB2312"/>
          <w:color w:val="auto"/>
          <w:sz w:val="29"/>
          <w:szCs w:val="29"/>
        </w:rPr>
        <w:t>会关切。公开内容严格遵守信息公开相关规定，依法依规处理涉密及敏感信息，确保公开内容真实、准确、完整。</w:t>
      </w:r>
    </w:p>
    <w:p w14:paraId="4197AFE9">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bookmarkStart w:id="38" w:name="heading_38"/>
      <w:r>
        <w:rPr>
          <w:rFonts w:hint="eastAsia"/>
          <w:color w:val="auto"/>
          <w:sz w:val="29"/>
          <w:szCs w:val="29"/>
          <w:lang w:eastAsia="zh-CN"/>
        </w:rPr>
        <w:t>十二、</w:t>
      </w:r>
      <w:r>
        <w:rPr>
          <w:color w:val="auto"/>
          <w:sz w:val="29"/>
          <w:szCs w:val="29"/>
        </w:rPr>
        <w:t>其他需要说明的情况</w:t>
      </w:r>
      <w:bookmarkEnd w:id="38"/>
    </w:p>
    <w:p w14:paraId="26D06CAF">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第一，本次绩效自评所使用的所有财务数据、业务数据均来源于单位2025年度财务决算、正式业务台账、工作总结及相关正式文件，数据真实、准确、完整，不存在虚报、瞒报、漏报情况。</w:t>
      </w:r>
    </w:p>
    <w:p w14:paraId="4454A17C">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第二，2025年度单位严格遵守各项财经法律法规和财务管理制度，所有支出均合规合法，未发生任何截留、挤占、挪用财政资金的行为，未发生任何重大违法违纪问题，未收到任何针对资金使用的投诉举报。</w:t>
      </w:r>
    </w:p>
    <w:p w14:paraId="773F1A93">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第三，本年度单位无重大项目变更、重大资产处置、重大诉讼仲裁等事项，无政府债务、对外投资等情况，无楼堂馆所建设项目。</w:t>
      </w:r>
    </w:p>
    <w:p w14:paraId="52DD07B6">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第四，单位无政府性基金预算、国有资本经营预算、社会保险基金预算收支，相关内容均为零，无特殊情况需要说明。</w:t>
      </w:r>
    </w:p>
    <w:p w14:paraId="332C7121">
      <w:pPr>
        <w:pStyle w:val="11"/>
        <w:keepNext w:val="0"/>
        <w:keepLines w:val="0"/>
        <w:pageBreakBefore w:val="0"/>
        <w:widowControl w:val="0"/>
        <w:kinsoku/>
        <w:wordWrap/>
        <w:overflowPunct/>
        <w:topLinePunct w:val="0"/>
        <w:autoSpaceDE/>
        <w:autoSpaceDN/>
        <w:bidi w:val="0"/>
        <w:adjustRightInd/>
        <w:snapToGrid/>
        <w:textAlignment w:val="auto"/>
        <w:rPr>
          <w:color w:val="auto"/>
        </w:rPr>
      </w:pPr>
      <w:r>
        <w:rPr>
          <w:rFonts w:ascii="Times New Roman" w:hAnsi="Times New Roman" w:eastAsia="仿宋_GB2312" w:cs="仿宋_GB2312"/>
          <w:color w:val="auto"/>
          <w:sz w:val="29"/>
          <w:szCs w:val="29"/>
        </w:rPr>
        <w:t>第五，本次自评工作严格按照市级财政部门的统一要求和规范流程开展，自评程序合规，评价结论客观公正，无其他需要特别说明的重大事项。</w:t>
      </w:r>
    </w:p>
    <w:sectPr>
      <w:headerReference r:id="rId3" w:type="default"/>
      <w:footerReference r:id="rId5" w:type="default"/>
      <w:headerReference r:id="rId4" w:type="even"/>
      <w:footerReference r:id="rId6" w:type="even"/>
      <w:pgSz w:w="11905" w:h="16840"/>
      <w:pgMar w:top="2098" w:right="1474" w:bottom="1984" w:left="1587" w:header="851" w:footer="1417" w:gutter="0"/>
      <w:pgNumType w:fmt="decimal" w:start="1"/>
      <w:cols w:space="720"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1A330">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3F95A8BF">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vert="horz" wrap="none" lIns="203200" tIns="0" rIns="203200" bIns="0" anchor="t" anchorCtr="0" upright="0">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DEvjmXRAAAA&#10;BgEAAA8AAAAAAAAAAQAgAAAAIgAAAGRycy9kb3ducmV2LnhtbFBLAQIUABQAAAAIAIdO4kCNsDni&#10;6wEAANEDAAAOAAAAAAAAAAEAIAAAACABAABkcnMvZTJvRG9jLnhtbFBLBQYAAAAABgAGAFkBAAB9&#10;BQAAAAA=&#10;">
              <v:fill on="f" focussize="0,0"/>
              <v:stroke on="f"/>
              <v:imagedata o:title=""/>
              <o:lock v:ext="edit" aspectratio="f"/>
              <v:textbox inset="16pt,0mm,16pt,0mm" style="mso-fit-shape-to-text:t;">
                <w:txbxContent>
                  <w:p w14:paraId="3F95A8BF">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B9A9BB">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37F325E6">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vert="horz" wrap="none" lIns="203200" tIns="0" rIns="203200" bIns="0" anchor="t" anchorCtr="0" upright="0">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xL45l0QAA&#10;AAYBAAAPAAAAAAAAAAEAIAAAACIAAABkcnMvZG93bnJldi54bWxQSwECFAAUAAAACACHTuJA+0dY&#10;1+wBAADRAwAADgAAAAAAAAABACAAAAAgAQAAZHJzL2Uyb0RvYy54bWxQSwUGAAAAAAYABgBZAQAA&#10;fgUAAAAA&#10;">
              <v:fill on="f" focussize="0,0"/>
              <v:stroke on="f"/>
              <v:imagedata o:title=""/>
              <o:lock v:ext="edit" aspectratio="f"/>
              <v:textbox inset="16pt,0mm,16pt,0mm" style="mso-fit-shape-to-text:t;">
                <w:txbxContent>
                  <w:p w14:paraId="37F325E6">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016DC">
    <w:pPr>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C248F">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evenAndOddHeaders w:val="1"/>
  <w:drawingGridHorizontalSpacing w:val="158"/>
  <w:drawingGridVerticalSpacing w:val="290"/>
  <w:displayHorizontalDrawingGridEvery w:val="2"/>
  <w:displayVerticalDrawingGridEvery w:val="2"/>
  <w:hdrShapeDefaults>
    <o:shapelayout v:ext="edit">
      <o:idmap v:ext="edit" data="2"/>
    </o:shapelayout>
  </w:hdrShapeDefault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B9D79F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link w:val="18"/>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link w:val="19"/>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Body Tex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uiPriority w:val="0"/>
    <w:pPr>
      <w:tabs>
        <w:tab w:val="center" w:pos="4153"/>
        <w:tab w:val="right" w:pos="8306"/>
      </w:tabs>
      <w:snapToGrid w:val="0"/>
      <w:jc w:val="left"/>
    </w:pPr>
    <w:rPr>
      <w:sz w:val="18"/>
    </w:rPr>
  </w:style>
  <w:style w:type="paragraph" w:styleId="1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character" w:customStyle="1" w:styleId="18">
    <w:name w:val="标题 3 Char"/>
    <w:link w:val="4"/>
    <w:uiPriority w:val="0"/>
    <w:rPr>
      <w:rFonts w:ascii="Times New Roman" w:hAnsi="Times New Roman" w:eastAsia="仿宋_GB2312" w:cs="仿宋_GB2312"/>
      <w:sz w:val="32"/>
      <w:szCs w:val="32"/>
    </w:rPr>
  </w:style>
  <w:style w:type="character" w:customStyle="1" w:styleId="19">
    <w:name w:val="标题 4 Char"/>
    <w:link w:val="5"/>
    <w:uiPriority w:val="0"/>
    <w:rPr>
      <w:rFonts w:ascii="Times New Roman" w:hAnsi="Times New Roman" w:eastAsia="仿宋_GB2312" w:cs="仿宋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30</Pages>
  <Words>17018</Words>
  <Characters>17594</Characters>
  <TotalTime>4</TotalTime>
  <ScaleCrop>false</ScaleCrop>
  <LinksUpToDate>false</LinksUpToDate>
  <CharactersWithSpaces>18013</CharactersWithSpaces>
  <Application>WPS Office_12.1.0.26375_F1E327BC-269C-435d-A152-05C5408002CA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2026-07-12T19:39:00Z</dcterms:created>
  <dc:creator>Apache POI</dc:creator>
  <cp:lastModifiedBy>超级豆丁</cp:lastModifiedBy>
  <dcterms:modified xsi:type="dcterms:W3CDTF">2026-07-12T19:44:14Z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{"Label":"1","ContentProducer":"001191110102MACQD9K64010000","ProduceID":"7661727875372911847","ReservedCode1":"","ContentPropagator":"","PropagateID":"","ReservedCode2":""}</vt:lpwstr>
  </property>
  <property fmtid="{D5CDD505-2E9C-101B-9397-08002B2CF9AE}" pid="3" name="KSOTemplateDocerSaveRecord">
    <vt:lpwstr>eyJoZGlkIjoiOGQyOWU3ZmJlZGI4OGMxYWZmNzc1ODM1OWUwMzAxNTciLCJ1c2VySWQiOiIxNjQwNTUxMjk3In0=</vt:lpwstr>
  </property>
  <property fmtid="{D5CDD505-2E9C-101B-9397-08002B2CF9AE}" pid="4" name="KSOProductBuildVer">
    <vt:lpwstr>2052-12.1.0.26375</vt:lpwstr>
  </property>
  <property fmtid="{D5CDD505-2E9C-101B-9397-08002B2CF9AE}" pid="5" name="ICV">
    <vt:lpwstr>0ECBA9D75F9049E68FBB8EDD0DFBC55B_13</vt:lpwstr>
  </property>
</Properties>
</file>