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7E1C3">
      <w:pPr>
        <w:pStyle w:val="15"/>
        <w:jc w:val="center"/>
        <w:rPr>
          <w:sz w:val="56"/>
          <w:szCs w:val="56"/>
        </w:rPr>
      </w:pPr>
    </w:p>
    <w:p w14:paraId="7CFBA4E9">
      <w:pPr>
        <w:pStyle w:val="15"/>
        <w:jc w:val="center"/>
        <w:rPr>
          <w:sz w:val="56"/>
          <w:szCs w:val="56"/>
        </w:rPr>
      </w:pPr>
    </w:p>
    <w:p w14:paraId="15A3D23E">
      <w:pPr>
        <w:pStyle w:val="15"/>
        <w:jc w:val="center"/>
        <w:rPr>
          <w:sz w:val="84"/>
          <w:szCs w:val="84"/>
        </w:rPr>
      </w:pPr>
    </w:p>
    <w:p w14:paraId="688EE07A">
      <w:pPr>
        <w:pStyle w:val="15"/>
        <w:jc w:val="center"/>
        <w:rPr>
          <w:sz w:val="84"/>
          <w:szCs w:val="84"/>
        </w:rPr>
      </w:pPr>
    </w:p>
    <w:p w14:paraId="2E75B41D">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14:paraId="414E425F">
      <w:pPr>
        <w:pStyle w:val="15"/>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怀化市农机事务中心</w:t>
      </w:r>
    </w:p>
    <w:p w14:paraId="01407EE5">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16775CF8">
      <w:pPr>
        <w:pStyle w:val="15"/>
        <w:jc w:val="center"/>
        <w:rPr>
          <w:rFonts w:hint="eastAsia" w:ascii="方正小标宋_GBK" w:hAnsi="方正小标宋_GBK" w:eastAsia="方正小标宋_GBK" w:cs="方正小标宋_GBK"/>
          <w:sz w:val="56"/>
          <w:szCs w:val="56"/>
        </w:rPr>
      </w:pPr>
    </w:p>
    <w:p w14:paraId="442BE64F">
      <w:pPr>
        <w:pStyle w:val="15"/>
        <w:jc w:val="center"/>
        <w:rPr>
          <w:sz w:val="56"/>
          <w:szCs w:val="56"/>
        </w:rPr>
      </w:pPr>
    </w:p>
    <w:p w14:paraId="62421A11">
      <w:pPr>
        <w:pStyle w:val="15"/>
        <w:jc w:val="center"/>
        <w:rPr>
          <w:sz w:val="56"/>
          <w:szCs w:val="56"/>
        </w:rPr>
      </w:pPr>
    </w:p>
    <w:p w14:paraId="2100F9B2">
      <w:pPr>
        <w:pStyle w:val="15"/>
        <w:jc w:val="center"/>
        <w:rPr>
          <w:sz w:val="56"/>
          <w:szCs w:val="56"/>
        </w:rPr>
      </w:pPr>
    </w:p>
    <w:p w14:paraId="4A15C381">
      <w:pPr>
        <w:pStyle w:val="15"/>
        <w:jc w:val="center"/>
        <w:rPr>
          <w:sz w:val="32"/>
          <w:szCs w:val="32"/>
        </w:rPr>
      </w:pPr>
    </w:p>
    <w:p w14:paraId="791F673E">
      <w:pPr>
        <w:pStyle w:val="15"/>
        <w:jc w:val="center"/>
        <w:rPr>
          <w:sz w:val="32"/>
          <w:szCs w:val="32"/>
        </w:rPr>
      </w:pPr>
    </w:p>
    <w:p w14:paraId="1E09699B">
      <w:pPr>
        <w:pStyle w:val="15"/>
        <w:jc w:val="center"/>
        <w:rPr>
          <w:sz w:val="32"/>
          <w:szCs w:val="32"/>
        </w:rPr>
      </w:pPr>
    </w:p>
    <w:p w14:paraId="7DB953E9">
      <w:pPr>
        <w:pStyle w:val="15"/>
        <w:jc w:val="center"/>
        <w:rPr>
          <w:sz w:val="32"/>
          <w:szCs w:val="32"/>
        </w:rPr>
      </w:pPr>
    </w:p>
    <w:p w14:paraId="5A10BB45">
      <w:pPr>
        <w:pStyle w:val="15"/>
        <w:jc w:val="center"/>
        <w:rPr>
          <w:sz w:val="32"/>
          <w:szCs w:val="32"/>
        </w:rPr>
      </w:pPr>
    </w:p>
    <w:p w14:paraId="5A8D5F28">
      <w:pPr>
        <w:pStyle w:val="15"/>
        <w:spacing w:line="540" w:lineRule="exact"/>
        <w:jc w:val="center"/>
        <w:rPr>
          <w:sz w:val="56"/>
          <w:szCs w:val="56"/>
        </w:rPr>
      </w:pPr>
    </w:p>
    <w:p w14:paraId="7AD6CDA1">
      <w:pPr>
        <w:pStyle w:val="15"/>
        <w:spacing w:line="500" w:lineRule="exact"/>
        <w:jc w:val="both"/>
        <w:rPr>
          <w:b/>
          <w:sz w:val="36"/>
          <w:szCs w:val="28"/>
        </w:rPr>
      </w:pPr>
    </w:p>
    <w:p w14:paraId="047EB3F4">
      <w:pPr>
        <w:pStyle w:val="15"/>
        <w:spacing w:line="500" w:lineRule="exact"/>
        <w:jc w:val="center"/>
        <w:rPr>
          <w:b/>
          <w:sz w:val="36"/>
          <w:szCs w:val="28"/>
        </w:rPr>
      </w:pPr>
      <w:r>
        <w:rPr>
          <w:rFonts w:hint="eastAsia"/>
          <w:b/>
          <w:sz w:val="36"/>
          <w:szCs w:val="28"/>
        </w:rPr>
        <w:t>目录</w:t>
      </w:r>
    </w:p>
    <w:p w14:paraId="6C441370">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hAnsi="黑体" w:cs="黑体"/>
          <w:b w:val="0"/>
          <w:bCs/>
          <w:sz w:val="28"/>
          <w:szCs w:val="28"/>
          <w:lang w:val="en-US" w:eastAsia="zh-CN"/>
        </w:rPr>
        <w:t xml:space="preserve"> 怀化市农机事务中心</w:t>
      </w:r>
      <w:r>
        <w:rPr>
          <w:rFonts w:hint="eastAsia" w:ascii="黑体" w:hAnsi="黑体" w:eastAsia="黑体" w:cs="黑体"/>
          <w:b w:val="0"/>
          <w:bCs/>
          <w:sz w:val="28"/>
          <w:szCs w:val="28"/>
        </w:rPr>
        <w:t>概况</w:t>
      </w:r>
    </w:p>
    <w:p w14:paraId="1A8B8EB1">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4C3C4B4C">
      <w:pPr>
        <w:pStyle w:val="15"/>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46F81B55">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0E6C3EE3">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41C76CF8">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108941A4">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1C834630">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48D0EF62">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2F8564FF">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041DB480">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6568E428">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11DE6468">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7755D95E">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5932E1C8">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716C50ED">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05A5001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4DA4327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1354157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6B1E470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3C70798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三公</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经费支出决算情况说明</w:t>
      </w:r>
    </w:p>
    <w:p w14:paraId="5D4EA86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377014D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w:t>
      </w:r>
      <w:r>
        <w:rPr>
          <w:rFonts w:hint="eastAsia" w:ascii="仿宋_GB2312" w:hAnsi="仿宋_GB2312" w:eastAsia="仿宋_GB2312" w:cs="仿宋_GB2312"/>
          <w:color w:val="000000"/>
          <w:kern w:val="0"/>
          <w:sz w:val="28"/>
          <w:szCs w:val="28"/>
          <w:lang w:eastAsia="zh-CN"/>
        </w:rPr>
        <w:t>国有资本经营预算</w:t>
      </w:r>
      <w:r>
        <w:rPr>
          <w:rFonts w:hint="eastAsia" w:ascii="仿宋_GB2312" w:hAnsi="仿宋_GB2312" w:eastAsia="仿宋_GB2312" w:cs="仿宋_GB2312"/>
          <w:color w:val="000000"/>
          <w:kern w:val="0"/>
          <w:sz w:val="28"/>
          <w:szCs w:val="28"/>
        </w:rPr>
        <w:t>收入支出决算情况</w:t>
      </w:r>
    </w:p>
    <w:p w14:paraId="0D3EAE4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574E8F1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0E41F62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0171FC11">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十三、关于国有资产占用情况说明</w:t>
      </w:r>
    </w:p>
    <w:p w14:paraId="4A53B4DC">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w:t>
      </w:r>
      <w:r>
        <w:rPr>
          <w:rFonts w:hint="eastAsia" w:ascii="仿宋_GB2312" w:hAnsi="仿宋_GB2312" w:eastAsia="仿宋_GB2312" w:cs="仿宋_GB2312"/>
          <w:sz w:val="28"/>
          <w:szCs w:val="28"/>
          <w:lang w:eastAsia="zh-CN"/>
        </w:rPr>
        <w:t>四</w:t>
      </w:r>
      <w:r>
        <w:rPr>
          <w:rFonts w:hint="eastAsia" w:ascii="仿宋_GB2312" w:hAnsi="仿宋_GB2312" w:eastAsia="仿宋_GB2312" w:cs="仿宋_GB2312"/>
          <w:sz w:val="28"/>
          <w:szCs w:val="28"/>
        </w:rPr>
        <w:t>、关于</w:t>
      </w:r>
      <w:r>
        <w:rPr>
          <w:rFonts w:hint="eastAsia" w:ascii="仿宋_GB2312" w:hAnsi="仿宋_GB2312" w:eastAsia="仿宋_GB2312" w:cs="仿宋_GB2312"/>
          <w:sz w:val="28"/>
          <w:szCs w:val="28"/>
          <w:lang w:val="en-US" w:eastAsia="zh-CN"/>
        </w:rPr>
        <w:t>2025年度</w:t>
      </w:r>
      <w:r>
        <w:rPr>
          <w:rFonts w:hint="eastAsia" w:ascii="仿宋_GB2312" w:hAnsi="仿宋_GB2312" w:eastAsia="仿宋_GB2312" w:cs="仿宋_GB2312"/>
          <w:sz w:val="28"/>
          <w:szCs w:val="28"/>
        </w:rPr>
        <w:t>预算绩效情况的说明</w:t>
      </w:r>
    </w:p>
    <w:p w14:paraId="0662C931">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352117B0">
      <w:pPr>
        <w:pStyle w:val="15"/>
        <w:spacing w:line="500" w:lineRule="exact"/>
        <w:rPr>
          <w:rFonts w:hint="default" w:ascii="黑体" w:hAnsi="黑体" w:eastAsia="黑体" w:cs="黑体"/>
          <w:b w:val="0"/>
          <w:bCs/>
          <w:sz w:val="28"/>
          <w:szCs w:val="28"/>
          <w:lang w:val="en-US" w:eastAsia="zh-CN"/>
        </w:rPr>
      </w:pPr>
      <w:r>
        <w:rPr>
          <w:rFonts w:hint="eastAsia" w:hAnsi="黑体" w:cs="黑体"/>
          <w:b w:val="0"/>
          <w:bCs/>
          <w:sz w:val="28"/>
          <w:szCs w:val="28"/>
          <w:lang w:eastAsia="zh-CN"/>
        </w:rPr>
        <w:t>第五部分</w:t>
      </w:r>
      <w:r>
        <w:rPr>
          <w:rFonts w:hint="eastAsia" w:hAnsi="黑体" w:cs="黑体"/>
          <w:b w:val="0"/>
          <w:bCs/>
          <w:sz w:val="28"/>
          <w:szCs w:val="28"/>
          <w:lang w:val="en-US" w:eastAsia="zh-CN"/>
        </w:rPr>
        <w:t xml:space="preserve"> 附件</w:t>
      </w:r>
    </w:p>
    <w:p w14:paraId="3EFC8CDA">
      <w:pPr>
        <w:jc w:val="center"/>
        <w:rPr>
          <w:sz w:val="72"/>
          <w:szCs w:val="72"/>
        </w:rPr>
      </w:pPr>
    </w:p>
    <w:p w14:paraId="0F204557">
      <w:pPr>
        <w:jc w:val="center"/>
        <w:rPr>
          <w:sz w:val="72"/>
          <w:szCs w:val="72"/>
        </w:rPr>
      </w:pPr>
    </w:p>
    <w:p w14:paraId="74FF7903">
      <w:pPr>
        <w:jc w:val="center"/>
        <w:rPr>
          <w:sz w:val="72"/>
          <w:szCs w:val="72"/>
        </w:rPr>
      </w:pPr>
    </w:p>
    <w:p w14:paraId="1BDFA944">
      <w:pPr>
        <w:jc w:val="center"/>
        <w:rPr>
          <w:sz w:val="72"/>
          <w:szCs w:val="72"/>
        </w:rPr>
      </w:pPr>
    </w:p>
    <w:p w14:paraId="5B57ED9C">
      <w:pPr>
        <w:rPr>
          <w:rFonts w:hint="eastAsia" w:ascii="方正小标宋_GBK" w:hAnsi="方正小标宋_GBK" w:eastAsia="方正小标宋_GBK" w:cs="方正小标宋_GBK"/>
          <w:sz w:val="72"/>
          <w:szCs w:val="72"/>
        </w:rPr>
      </w:pPr>
    </w:p>
    <w:p w14:paraId="47AF9B2D">
      <w:pPr>
        <w:pStyle w:val="15"/>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 xml:space="preserve">第一部分 </w:t>
      </w:r>
    </w:p>
    <w:p w14:paraId="45298C82">
      <w:pPr>
        <w:pStyle w:val="15"/>
        <w:spacing w:line="360" w:lineRule="auto"/>
        <w:jc w:val="center"/>
        <w:rPr>
          <w:rFonts w:hint="eastAsia" w:ascii="Times New Roman" w:hAnsi="Times New Roman" w:eastAsia="方正小标宋_GBK" w:cs="Times New Roman"/>
          <w:sz w:val="52"/>
          <w:szCs w:val="52"/>
        </w:rPr>
      </w:pPr>
    </w:p>
    <w:p w14:paraId="38A9C5A8">
      <w:pPr>
        <w:pStyle w:val="15"/>
        <w:spacing w:line="360" w:lineRule="auto"/>
        <w:jc w:val="center"/>
        <w:rPr>
          <w:rFonts w:hint="eastAsia" w:ascii="方正小标宋_GBK" w:hAnsi="方正小标宋_GBK" w:eastAsia="方正小标宋_GBK" w:cs="方正小标宋_GBK"/>
          <w:sz w:val="84"/>
          <w:szCs w:val="84"/>
        </w:rPr>
      </w:pPr>
      <w:r>
        <w:rPr>
          <w:rFonts w:hint="eastAsia" w:ascii="Times New Roman" w:hAnsi="Times New Roman" w:eastAsia="方正小标宋_GBK" w:cs="Times New Roman"/>
          <w:sz w:val="52"/>
          <w:szCs w:val="52"/>
          <w:lang w:eastAsia="zh-CN"/>
        </w:rPr>
        <w:t>怀化市农机事务中心</w:t>
      </w:r>
      <w:r>
        <w:rPr>
          <w:rFonts w:hint="eastAsia" w:ascii="Times New Roman" w:hAnsi="Times New Roman" w:eastAsia="方正小标宋_GBK" w:cs="Times New Roman"/>
          <w:sz w:val="52"/>
          <w:szCs w:val="52"/>
        </w:rPr>
        <w:t>概况</w:t>
      </w:r>
    </w:p>
    <w:p w14:paraId="2316B250">
      <w:pPr>
        <w:jc w:val="center"/>
        <w:rPr>
          <w:rFonts w:hint="eastAsia" w:ascii="方正小标宋_GBK" w:hAnsi="方正小标宋_GBK" w:eastAsia="方正小标宋_GBK" w:cs="方正小标宋_GBK"/>
          <w:sz w:val="72"/>
          <w:szCs w:val="72"/>
        </w:rPr>
      </w:pPr>
    </w:p>
    <w:p w14:paraId="45562E16">
      <w:pPr>
        <w:jc w:val="center"/>
        <w:rPr>
          <w:rFonts w:hint="eastAsia" w:ascii="方正小标宋_GBK" w:hAnsi="方正小标宋_GBK" w:eastAsia="方正小标宋_GBK" w:cs="方正小标宋_GBK"/>
          <w:sz w:val="72"/>
          <w:szCs w:val="72"/>
        </w:rPr>
      </w:pPr>
    </w:p>
    <w:p w14:paraId="62C4657B">
      <w:pPr>
        <w:jc w:val="center"/>
        <w:rPr>
          <w:sz w:val="72"/>
          <w:szCs w:val="72"/>
        </w:rPr>
      </w:pPr>
    </w:p>
    <w:p w14:paraId="4510EB3F">
      <w:pPr>
        <w:jc w:val="center"/>
        <w:rPr>
          <w:sz w:val="72"/>
          <w:szCs w:val="72"/>
        </w:rPr>
      </w:pPr>
    </w:p>
    <w:p w14:paraId="32CE17D0">
      <w:pPr>
        <w:jc w:val="center"/>
        <w:rPr>
          <w:sz w:val="72"/>
          <w:szCs w:val="72"/>
        </w:rPr>
      </w:pPr>
    </w:p>
    <w:p w14:paraId="6B7D68EF">
      <w:pPr>
        <w:pStyle w:val="16"/>
        <w:numPr>
          <w:ilvl w:val="0"/>
          <w:numId w:val="0"/>
        </w:numPr>
        <w:ind w:leftChars="0"/>
        <w:jc w:val="left"/>
        <w:rPr>
          <w:rFonts w:hint="eastAsia" w:ascii="黑体" w:hAnsi="黑体" w:eastAsia="黑体" w:cs="黑体"/>
          <w:b w:val="0"/>
          <w:bCs w:val="0"/>
          <w:sz w:val="32"/>
          <w:szCs w:val="32"/>
        </w:rPr>
      </w:pPr>
    </w:p>
    <w:p w14:paraId="0E3C4629">
      <w:pPr>
        <w:pStyle w:val="16"/>
        <w:numPr>
          <w:ilvl w:val="0"/>
          <w:numId w:val="0"/>
        </w:numPr>
        <w:ind w:leftChars="0" w:firstLine="640" w:firstLineChars="200"/>
        <w:jc w:val="left"/>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部门职责</w:t>
      </w:r>
    </w:p>
    <w:p w14:paraId="1AED078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（一）</w:t>
      </w:r>
      <w:r>
        <w:rPr>
          <w:rFonts w:hint="eastAsia" w:ascii="仿宋_GB2312" w:hAnsi="仿宋_GB2312" w:eastAsia="仿宋_GB2312" w:cs="仿宋_GB2312"/>
          <w:color w:val="000000"/>
          <w:kern w:val="0"/>
          <w:sz w:val="28"/>
          <w:szCs w:val="28"/>
          <w:lang w:eastAsia="zh-CN"/>
        </w:rPr>
        <w:t>为全市农业机械化发展提供技术性支撑和公益性、事务性服务。</w:t>
      </w:r>
    </w:p>
    <w:p w14:paraId="230DF5A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二</w:t>
      </w:r>
      <w:r>
        <w:rPr>
          <w:rFonts w:hint="eastAsia" w:ascii="仿宋_GB2312" w:hAnsi="仿宋_GB2312" w:eastAsia="仿宋_GB2312" w:cs="仿宋_GB2312"/>
          <w:color w:val="000000"/>
          <w:kern w:val="0"/>
          <w:sz w:val="28"/>
          <w:szCs w:val="28"/>
          <w:lang w:eastAsia="zh-CN"/>
        </w:rPr>
        <w:t>）承担全市农业机械化事业发展规划和有关标准、技术规范的研究工作，调查研究农业机械社会化服务和产业化发展的经济、技术问题，开展相关评估论证，提出对策建议。</w:t>
      </w:r>
    </w:p>
    <w:p w14:paraId="7A9BBC3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三</w:t>
      </w:r>
      <w:r>
        <w:rPr>
          <w:rFonts w:hint="eastAsia" w:ascii="仿宋_GB2312" w:hAnsi="仿宋_GB2312" w:eastAsia="仿宋_GB2312" w:cs="仿宋_GB2312"/>
          <w:color w:val="000000"/>
          <w:kern w:val="0"/>
          <w:sz w:val="28"/>
          <w:szCs w:val="28"/>
          <w:lang w:eastAsia="zh-CN"/>
        </w:rPr>
        <w:t>）为全市农业机械化生产、农机社会化服务、农机维修、农机抗灾救灾、农机安全生产监管等相关工作提供技术支持、服务保障和相关公益服务。承担农业机械从业人员教育培训和职业技能开发工作。</w:t>
      </w:r>
    </w:p>
    <w:p w14:paraId="09B7FD37">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四</w:t>
      </w:r>
      <w:r>
        <w:rPr>
          <w:rFonts w:hint="eastAsia" w:ascii="仿宋_GB2312" w:hAnsi="仿宋_GB2312" w:eastAsia="仿宋_GB2312" w:cs="仿宋_GB2312"/>
          <w:color w:val="000000"/>
          <w:kern w:val="0"/>
          <w:sz w:val="28"/>
          <w:szCs w:val="28"/>
          <w:lang w:eastAsia="zh-CN"/>
        </w:rPr>
        <w:t>）承担农业机械补贴政策实施相关事务性工作。</w:t>
      </w:r>
    </w:p>
    <w:p w14:paraId="3178557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五</w:t>
      </w:r>
      <w:r>
        <w:rPr>
          <w:rFonts w:hint="eastAsia" w:ascii="仿宋_GB2312" w:hAnsi="仿宋_GB2312" w:eastAsia="仿宋_GB2312" w:cs="仿宋_GB2312"/>
          <w:color w:val="000000"/>
          <w:kern w:val="0"/>
          <w:sz w:val="28"/>
          <w:szCs w:val="28"/>
          <w:lang w:eastAsia="zh-CN"/>
        </w:rPr>
        <w:t>）承担农业机械化信息网络建设运行、农业机械化生产信息统计工作。</w:t>
      </w:r>
    </w:p>
    <w:p w14:paraId="300432F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六</w:t>
      </w:r>
      <w:r>
        <w:rPr>
          <w:rFonts w:hint="eastAsia" w:ascii="仿宋_GB2312" w:hAnsi="仿宋_GB2312" w:eastAsia="仿宋_GB2312" w:cs="仿宋_GB2312"/>
          <w:color w:val="000000"/>
          <w:kern w:val="0"/>
          <w:sz w:val="28"/>
          <w:szCs w:val="28"/>
          <w:lang w:eastAsia="zh-CN"/>
        </w:rPr>
        <w:t>）承担农业机械化新机具、新技术的引进和示范推广等相关技术性、事务性工作。</w:t>
      </w:r>
    </w:p>
    <w:p w14:paraId="3B350BC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lang w:val="en-US" w:eastAsia="zh-CN"/>
        </w:rPr>
        <w:t>（七）指导、服务农机合作社等新型农机服务组织建设与发展。</w:t>
      </w:r>
    </w:p>
    <w:p w14:paraId="5C61691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八</w:t>
      </w:r>
      <w:r>
        <w:rPr>
          <w:rFonts w:hint="eastAsia" w:ascii="仿宋_GB2312" w:hAnsi="仿宋_GB2312" w:eastAsia="仿宋_GB2312" w:cs="仿宋_GB2312"/>
          <w:color w:val="000000"/>
          <w:kern w:val="0"/>
          <w:sz w:val="28"/>
          <w:szCs w:val="28"/>
          <w:lang w:eastAsia="zh-CN"/>
        </w:rPr>
        <w:t>）对县市区农机事务中心进行业务和技术指导，联系市农机行业协会等社会组织。</w:t>
      </w:r>
    </w:p>
    <w:p w14:paraId="2A76EC5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九</w:t>
      </w:r>
      <w:r>
        <w:rPr>
          <w:rFonts w:hint="eastAsia" w:ascii="仿宋_GB2312" w:hAnsi="仿宋_GB2312" w:eastAsia="仿宋_GB2312" w:cs="仿宋_GB2312"/>
          <w:color w:val="000000"/>
          <w:kern w:val="0"/>
          <w:sz w:val="28"/>
          <w:szCs w:val="28"/>
          <w:lang w:eastAsia="zh-CN"/>
        </w:rPr>
        <w:t>）承担市农业农村局交办的其他事项。</w:t>
      </w:r>
    </w:p>
    <w:p w14:paraId="2CB3564C">
      <w:pPr>
        <w:widowControl/>
        <w:spacing w:line="600" w:lineRule="exact"/>
        <w:ind w:firstLine="640" w:firstLineChars="200"/>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75C8895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lang w:eastAsia="zh-CN"/>
        </w:rPr>
        <w:t>（一）内设机构设置。怀化市农机事务中心作为怀化市农业农村局的二级部门预算单位，内设科室包括：综合部、人事和财务部、生产服务部、产业发展部、安全监理部。</w:t>
      </w:r>
    </w:p>
    <w:p w14:paraId="29F3DE07">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lang w:eastAsia="zh-CN"/>
        </w:rPr>
        <w:t>（二）决算单位构成。怀化市农机事务中心20</w:t>
      </w:r>
      <w:r>
        <w:rPr>
          <w:rFonts w:hint="eastAsia" w:ascii="仿宋_GB2312" w:hAnsi="仿宋_GB2312" w:eastAsia="仿宋_GB2312" w:cs="仿宋_GB2312"/>
          <w:color w:val="000000"/>
          <w:kern w:val="0"/>
          <w:sz w:val="28"/>
          <w:szCs w:val="28"/>
          <w:lang w:val="en-US" w:eastAsia="zh-CN"/>
        </w:rPr>
        <w:t>24</w:t>
      </w:r>
      <w:r>
        <w:rPr>
          <w:rFonts w:hint="eastAsia" w:ascii="仿宋_GB2312" w:hAnsi="仿宋_GB2312" w:eastAsia="仿宋_GB2312" w:cs="仿宋_GB2312"/>
          <w:color w:val="000000"/>
          <w:kern w:val="0"/>
          <w:sz w:val="28"/>
          <w:szCs w:val="28"/>
          <w:lang w:eastAsia="zh-CN"/>
        </w:rPr>
        <w:t>年部门决算汇总公开单位构成包括：怀化市农机事务中心。</w:t>
      </w:r>
    </w:p>
    <w:p w14:paraId="4290618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lang w:eastAsia="zh-CN"/>
        </w:rPr>
      </w:pPr>
    </w:p>
    <w:p w14:paraId="61AEA709">
      <w:pPr>
        <w:jc w:val="left"/>
        <w:rPr>
          <w:rFonts w:ascii="仿宋_GB2312" w:eastAsia="仿宋_GB2312" w:hAnsiTheme="minorEastAsia"/>
          <w:sz w:val="28"/>
          <w:szCs w:val="32"/>
        </w:rPr>
      </w:pPr>
    </w:p>
    <w:p w14:paraId="5631D8FD">
      <w:pPr>
        <w:jc w:val="center"/>
        <w:rPr>
          <w:rFonts w:ascii="黑体" w:hAnsi="黑体" w:eastAsia="黑体"/>
          <w:sz w:val="28"/>
          <w:szCs w:val="28"/>
        </w:rPr>
      </w:pPr>
    </w:p>
    <w:p w14:paraId="5B32C35C">
      <w:pPr>
        <w:jc w:val="center"/>
        <w:rPr>
          <w:rFonts w:ascii="黑体" w:hAnsi="黑体" w:eastAsia="黑体"/>
          <w:sz w:val="28"/>
          <w:szCs w:val="28"/>
        </w:rPr>
      </w:pPr>
    </w:p>
    <w:p w14:paraId="27DDD3FA">
      <w:pPr>
        <w:jc w:val="center"/>
        <w:rPr>
          <w:rFonts w:ascii="黑体" w:hAnsi="黑体" w:eastAsia="黑体"/>
          <w:sz w:val="28"/>
          <w:szCs w:val="28"/>
        </w:rPr>
      </w:pPr>
    </w:p>
    <w:p w14:paraId="176DC8C9">
      <w:pPr>
        <w:jc w:val="center"/>
        <w:rPr>
          <w:rFonts w:ascii="黑体" w:hAnsi="黑体" w:eastAsia="黑体"/>
          <w:sz w:val="28"/>
          <w:szCs w:val="28"/>
        </w:rPr>
      </w:pPr>
    </w:p>
    <w:p w14:paraId="487E8E0B">
      <w:pPr>
        <w:jc w:val="center"/>
        <w:rPr>
          <w:rFonts w:ascii="黑体" w:hAnsi="黑体" w:eastAsia="黑体"/>
          <w:sz w:val="28"/>
          <w:szCs w:val="28"/>
        </w:rPr>
      </w:pPr>
    </w:p>
    <w:p w14:paraId="317DDE93">
      <w:pPr>
        <w:jc w:val="center"/>
        <w:rPr>
          <w:rFonts w:ascii="黑体" w:hAnsi="黑体" w:eastAsia="黑体"/>
          <w:sz w:val="28"/>
          <w:szCs w:val="28"/>
        </w:rPr>
      </w:pPr>
    </w:p>
    <w:p w14:paraId="0042787E">
      <w:pPr>
        <w:pStyle w:val="15"/>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第二部分</w:t>
      </w:r>
    </w:p>
    <w:p w14:paraId="26395E7C">
      <w:pPr>
        <w:pStyle w:val="15"/>
        <w:spacing w:line="360" w:lineRule="auto"/>
        <w:jc w:val="center"/>
        <w:rPr>
          <w:rFonts w:hint="eastAsia" w:ascii="Times New Roman" w:hAnsi="Times New Roman" w:eastAsia="方正小标宋_GBK" w:cs="Times New Roman"/>
          <w:sz w:val="52"/>
          <w:szCs w:val="52"/>
        </w:rPr>
      </w:pPr>
    </w:p>
    <w:p w14:paraId="35A26E91">
      <w:pPr>
        <w:pStyle w:val="15"/>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部门决算表</w:t>
      </w:r>
    </w:p>
    <w:p w14:paraId="1FA601AB">
      <w:pPr>
        <w:jc w:val="center"/>
        <w:rPr>
          <w:rFonts w:hint="eastAsia"/>
          <w:sz w:val="72"/>
          <w:szCs w:val="72"/>
          <w:lang w:eastAsia="zh-CN"/>
        </w:rPr>
      </w:pPr>
    </w:p>
    <w:p w14:paraId="00C4AD11">
      <w:pPr>
        <w:jc w:val="center"/>
        <w:rPr>
          <w:sz w:val="56"/>
          <w:szCs w:val="56"/>
        </w:rPr>
        <w:sectPr>
          <w:pgSz w:w="11906" w:h="16838"/>
          <w:pgMar w:top="720" w:right="720" w:bottom="720" w:left="720" w:header="851" w:footer="992" w:gutter="0"/>
          <w:cols w:space="425" w:num="1"/>
          <w:docGrid w:type="lines" w:linePitch="312" w:charSpace="0"/>
        </w:sectPr>
      </w:pPr>
      <w:r>
        <w:rPr>
          <w:rFonts w:hint="eastAsia"/>
          <w:sz w:val="44"/>
          <w:szCs w:val="44"/>
          <w:lang w:eastAsia="zh-CN"/>
        </w:rPr>
        <w:t>（见附件</w:t>
      </w:r>
      <w:bookmarkStart w:id="1" w:name="_GoBack"/>
      <w:bookmarkEnd w:id="1"/>
      <w:r>
        <w:rPr>
          <w:rFonts w:hint="eastAsia"/>
          <w:sz w:val="52"/>
          <w:szCs w:val="52"/>
          <w:lang w:eastAsia="zh-CN"/>
        </w:rPr>
        <w:t>）</w:t>
      </w:r>
      <w:bookmarkStart w:id="0" w:name="RANGE!A1:I22"/>
      <w:bookmarkEnd w:id="0"/>
    </w:p>
    <w:p w14:paraId="15E28DA9">
      <w:pPr>
        <w:pStyle w:val="15"/>
        <w:rPr>
          <w:sz w:val="72"/>
          <w:szCs w:val="72"/>
        </w:rPr>
      </w:pPr>
    </w:p>
    <w:p w14:paraId="7CB4D24C">
      <w:pPr>
        <w:pStyle w:val="15"/>
        <w:rPr>
          <w:sz w:val="72"/>
          <w:szCs w:val="72"/>
        </w:rPr>
      </w:pPr>
    </w:p>
    <w:p w14:paraId="45943A96">
      <w:pPr>
        <w:pStyle w:val="15"/>
        <w:rPr>
          <w:sz w:val="72"/>
          <w:szCs w:val="72"/>
        </w:rPr>
      </w:pPr>
    </w:p>
    <w:p w14:paraId="1FC53B10">
      <w:pPr>
        <w:pStyle w:val="15"/>
        <w:jc w:val="center"/>
        <w:rPr>
          <w:sz w:val="72"/>
          <w:szCs w:val="72"/>
        </w:rPr>
      </w:pPr>
    </w:p>
    <w:p w14:paraId="220EBC85">
      <w:pPr>
        <w:pStyle w:val="15"/>
        <w:jc w:val="center"/>
        <w:rPr>
          <w:rFonts w:hint="eastAsia" w:ascii="方正小标宋_GBK" w:hAnsi="方正小标宋_GBK" w:eastAsia="方正小标宋_GBK" w:cs="方正小标宋_GBK"/>
          <w:sz w:val="72"/>
          <w:szCs w:val="72"/>
        </w:rPr>
      </w:pPr>
    </w:p>
    <w:p w14:paraId="0170AAF7">
      <w:pPr>
        <w:pStyle w:val="15"/>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第三部分</w:t>
      </w:r>
    </w:p>
    <w:p w14:paraId="384456F5">
      <w:pPr>
        <w:pStyle w:val="15"/>
        <w:spacing w:line="360" w:lineRule="auto"/>
        <w:jc w:val="center"/>
        <w:rPr>
          <w:rFonts w:hint="eastAsia" w:ascii="Times New Roman" w:hAnsi="Times New Roman" w:eastAsia="方正小标宋_GBK" w:cs="Times New Roman"/>
          <w:sz w:val="52"/>
          <w:szCs w:val="52"/>
        </w:rPr>
      </w:pPr>
    </w:p>
    <w:p w14:paraId="40CEAE33">
      <w:pPr>
        <w:pStyle w:val="15"/>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hint="eastAsia" w:ascii="Times New Roman" w:hAnsi="Times New Roman" w:eastAsia="方正小标宋_GBK" w:cs="Times New Roman"/>
          <w:sz w:val="52"/>
          <w:szCs w:val="52"/>
        </w:rPr>
        <w:t>年度部门决算情况说明</w:t>
      </w:r>
    </w:p>
    <w:p w14:paraId="37C55CD4">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537A2BE2">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697F2253">
      <w:pPr>
        <w:pStyle w:val="15"/>
        <w:keepNext w:val="0"/>
        <w:keepLines w:val="0"/>
        <w:pageBreakBefore w:val="0"/>
        <w:kinsoku/>
        <w:wordWrap/>
        <w:overflowPunct/>
        <w:topLinePunct w:val="0"/>
        <w:bidi w:val="0"/>
        <w:adjustRightInd/>
        <w:snapToGrid/>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度收、支总计</w:t>
      </w:r>
      <w:r>
        <w:rPr>
          <w:rFonts w:hint="eastAsia" w:ascii="Times New Roman" w:hAnsi="Times New Roman" w:eastAsia="仿宋_GB2312"/>
          <w:sz w:val="32"/>
          <w:szCs w:val="32"/>
          <w:lang w:val="en-US" w:eastAsia="zh-CN"/>
        </w:rPr>
        <w:t>419.43</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77.2</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22.56</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：一是</w:t>
      </w:r>
      <w:r>
        <w:rPr>
          <w:rFonts w:hint="eastAsia" w:ascii="Times New Roman" w:hAnsi="Times New Roman" w:eastAsia="仿宋_GB2312"/>
          <w:sz w:val="32"/>
          <w:szCs w:val="32"/>
          <w:highlight w:val="none"/>
          <w:lang w:val="en-US" w:eastAsia="zh-CN"/>
        </w:rPr>
        <w:t>2025年人员</w:t>
      </w:r>
      <w:r>
        <w:rPr>
          <w:rFonts w:hint="eastAsia" w:ascii="Times New Roman" w:hAnsi="Times New Roman" w:eastAsia="仿宋_GB2312"/>
          <w:sz w:val="32"/>
          <w:szCs w:val="32"/>
          <w:highlight w:val="none"/>
        </w:rPr>
        <w:t>经费</w:t>
      </w:r>
      <w:r>
        <w:rPr>
          <w:rFonts w:hint="eastAsia" w:ascii="Times New Roman" w:hAnsi="Times New Roman" w:eastAsia="仿宋_GB2312"/>
          <w:sz w:val="32"/>
          <w:szCs w:val="32"/>
          <w:highlight w:val="none"/>
          <w:lang w:eastAsia="zh-CN"/>
        </w:rPr>
        <w:t>增加，二是</w:t>
      </w:r>
      <w:r>
        <w:rPr>
          <w:rFonts w:hint="eastAsia" w:ascii="Times New Roman" w:hAnsi="Times New Roman" w:eastAsia="仿宋_GB2312"/>
          <w:sz w:val="32"/>
          <w:szCs w:val="32"/>
          <w:highlight w:val="none"/>
          <w:lang w:val="en-US" w:eastAsia="zh-CN"/>
        </w:rPr>
        <w:t>2025年度用于原振龙公司遗留问题处理专项资金增加。</w:t>
      </w:r>
    </w:p>
    <w:p w14:paraId="3C51C3F9">
      <w:pPr>
        <w:pStyle w:val="15"/>
        <w:overflowPunct w:val="0"/>
        <w:autoSpaceDE/>
        <w:autoSpaceDN/>
        <w:spacing w:line="600" w:lineRule="exact"/>
        <w:ind w:firstLine="640" w:firstLineChars="200"/>
        <w:jc w:val="both"/>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s="Times New Roman"/>
          <w:color w:val="auto"/>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color w:val="auto"/>
          <w:sz w:val="32"/>
          <w:szCs w:val="32"/>
          <w:lang w:eastAsia="zh-CN"/>
        </w:rPr>
        <w:t>人员经费</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日常业务运行</w:t>
      </w:r>
      <w:r>
        <w:rPr>
          <w:rFonts w:hint="eastAsia" w:ascii="Times New Roman" w:hAnsi="Times New Roman" w:eastAsia="仿宋_GB2312" w:cs="Times New Roman"/>
          <w:color w:val="auto"/>
          <w:sz w:val="32"/>
          <w:szCs w:val="32"/>
        </w:rPr>
        <w:t>等重点支出，体现在有关支出科目中。</w:t>
      </w:r>
    </w:p>
    <w:p w14:paraId="710657A6">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68ED874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度收入合计</w:t>
      </w:r>
      <w:r>
        <w:rPr>
          <w:rFonts w:hint="eastAsia" w:ascii="Times New Roman" w:hAnsi="Times New Roman" w:eastAsia="仿宋_GB2312"/>
          <w:color w:val="auto"/>
          <w:sz w:val="32"/>
          <w:szCs w:val="32"/>
          <w:lang w:val="en-US" w:eastAsia="zh-CN"/>
        </w:rPr>
        <w:t>419.43</w:t>
      </w:r>
      <w:r>
        <w:rPr>
          <w:rFonts w:hint="eastAsia" w:ascii="Times New Roman" w:hAnsi="Times New Roman" w:eastAsia="仿宋_GB2312"/>
          <w:sz w:val="32"/>
          <w:szCs w:val="32"/>
        </w:rPr>
        <w:t>万元，其中：财政拨款收入</w:t>
      </w:r>
      <w:r>
        <w:rPr>
          <w:rFonts w:hint="eastAsia" w:ascii="Times New Roman" w:hAnsi="Times New Roman" w:eastAsia="仿宋_GB2312"/>
          <w:color w:val="auto"/>
          <w:sz w:val="32"/>
          <w:szCs w:val="32"/>
          <w:lang w:val="en-US" w:eastAsia="zh-CN"/>
        </w:rPr>
        <w:t>340.21</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81.11</w:t>
      </w:r>
      <w:r>
        <w:rPr>
          <w:rFonts w:hint="eastAsia" w:ascii="Times New Roman" w:hAnsi="Times New Roman" w:eastAsia="仿宋_GB2312"/>
          <w:color w:val="auto"/>
          <w:sz w:val="32"/>
          <w:szCs w:val="32"/>
        </w:rPr>
        <w:t>%；上级补助收入</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%；事业收入</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%；经营收入</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%；附属单位上缴收入</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%；其他收入</w:t>
      </w:r>
      <w:r>
        <w:rPr>
          <w:rFonts w:hint="eastAsia" w:ascii="Times New Roman" w:hAnsi="Times New Roman" w:eastAsia="仿宋_GB2312"/>
          <w:color w:val="auto"/>
          <w:sz w:val="32"/>
          <w:szCs w:val="32"/>
          <w:lang w:val="en-US" w:eastAsia="zh-CN"/>
        </w:rPr>
        <w:t>79.22</w:t>
      </w:r>
      <w:r>
        <w:rPr>
          <w:rFonts w:hint="eastAsia" w:ascii="Times New Roman" w:hAnsi="Times New Roman" w:eastAsia="仿宋_GB2312"/>
          <w:color w:val="auto"/>
          <w:sz w:val="32"/>
          <w:szCs w:val="32"/>
        </w:rPr>
        <w:t>万元，占</w:t>
      </w:r>
      <w:r>
        <w:rPr>
          <w:rFonts w:hint="eastAsia" w:ascii="Times New Roman" w:hAnsi="Times New Roman" w:eastAsia="仿宋_GB2312"/>
          <w:color w:val="auto"/>
          <w:sz w:val="32"/>
          <w:szCs w:val="32"/>
          <w:lang w:val="en-US" w:eastAsia="zh-CN"/>
        </w:rPr>
        <w:t>18.89</w:t>
      </w:r>
      <w:r>
        <w:rPr>
          <w:rFonts w:hint="eastAsia" w:ascii="Times New Roman" w:hAnsi="Times New Roman" w:eastAsia="仿宋_GB2312"/>
          <w:color w:val="auto"/>
          <w:sz w:val="32"/>
          <w:szCs w:val="32"/>
        </w:rPr>
        <w:t>%。</w:t>
      </w:r>
    </w:p>
    <w:p w14:paraId="1DAC777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33172B14">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419.43</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317.2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75.63</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102.22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24.37</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66545D62">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0763BE5E">
      <w:pPr>
        <w:pStyle w:val="15"/>
        <w:keepNext w:val="0"/>
        <w:keepLines w:val="0"/>
        <w:pageBreakBefore w:val="0"/>
        <w:kinsoku/>
        <w:wordWrap/>
        <w:overflowPunct/>
        <w:topLinePunct w:val="0"/>
        <w:bidi w:val="0"/>
        <w:adjustRightInd/>
        <w:snapToGrid/>
        <w:ind w:firstLine="640" w:firstLineChars="200"/>
        <w:textAlignment w:val="auto"/>
        <w:rPr>
          <w:rFonts w:hint="eastAsia" w:ascii="Times New Roman" w:hAnsi="Times New Roman" w:eastAsia="仿宋_GB2312"/>
          <w:sz w:val="32"/>
          <w:szCs w:val="32"/>
          <w:highlight w:val="none"/>
          <w:lang w:eastAsia="zh-CN"/>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度财政拨款收、支总计</w:t>
      </w:r>
      <w:r>
        <w:rPr>
          <w:rFonts w:hint="eastAsia" w:ascii="Times New Roman" w:hAnsi="Times New Roman" w:eastAsia="仿宋_GB2312"/>
          <w:color w:val="auto"/>
          <w:sz w:val="32"/>
          <w:szCs w:val="32"/>
          <w:lang w:val="en-US" w:eastAsia="zh-CN"/>
        </w:rPr>
        <w:t>340.21</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增加</w:t>
      </w:r>
      <w:r>
        <w:rPr>
          <w:rFonts w:hint="eastAsia" w:ascii="Times New Roman" w:hAnsi="Times New Roman" w:eastAsia="仿宋_GB2312"/>
          <w:color w:val="auto"/>
          <w:sz w:val="32"/>
          <w:szCs w:val="32"/>
          <w:lang w:val="en-US" w:eastAsia="zh-CN"/>
        </w:rPr>
        <w:t>3.47</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1.03</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整体</w:t>
      </w:r>
      <w:r>
        <w:rPr>
          <w:rFonts w:hint="eastAsia" w:ascii="Times New Roman" w:hAnsi="Times New Roman" w:eastAsia="仿宋_GB2312"/>
          <w:sz w:val="32"/>
          <w:szCs w:val="32"/>
          <w:highlight w:val="none"/>
          <w:lang w:eastAsia="zh-CN"/>
        </w:rPr>
        <w:t>人员经费增加。</w:t>
      </w:r>
    </w:p>
    <w:p w14:paraId="66CF3686">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5352FCB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（一）财政拨款支出决算总体情况</w:t>
      </w:r>
    </w:p>
    <w:p w14:paraId="48F86F6C">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w:t>
      </w:r>
      <w:r>
        <w:rPr>
          <w:rFonts w:hint="eastAsia" w:ascii="Times New Roman" w:hAnsi="Times New Roman" w:eastAsia="仿宋_GB2312"/>
          <w:color w:val="auto"/>
          <w:sz w:val="32"/>
          <w:szCs w:val="32"/>
          <w:lang w:val="en-US" w:eastAsia="zh-CN"/>
        </w:rPr>
        <w:t>340.21</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81.11</w:t>
      </w:r>
      <w:r>
        <w:rPr>
          <w:rFonts w:hint="eastAsia" w:ascii="Times New Roman" w:hAnsi="Times New Roman" w:eastAsia="仿宋_GB2312"/>
          <w:sz w:val="32"/>
          <w:szCs w:val="32"/>
        </w:rPr>
        <w:t>%，与上年相比，财政拨款</w:t>
      </w:r>
      <w:r>
        <w:rPr>
          <w:rFonts w:hint="eastAsia" w:ascii="Times New Roman" w:hAnsi="Times New Roman" w:eastAsia="仿宋_GB2312"/>
          <w:sz w:val="32"/>
          <w:szCs w:val="32"/>
          <w:lang w:eastAsia="zh-CN"/>
        </w:rPr>
        <w:t>支出增加</w:t>
      </w:r>
      <w:r>
        <w:rPr>
          <w:rFonts w:hint="eastAsia" w:ascii="Times New Roman" w:hAnsi="Times New Roman" w:eastAsia="仿宋_GB2312"/>
          <w:color w:val="auto"/>
          <w:sz w:val="32"/>
          <w:szCs w:val="32"/>
          <w:lang w:val="en-US" w:eastAsia="zh-CN"/>
        </w:rPr>
        <w:t>3.47</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1.03</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整体</w:t>
      </w:r>
      <w:r>
        <w:rPr>
          <w:rFonts w:hint="eastAsia" w:ascii="Times New Roman" w:hAnsi="Times New Roman" w:eastAsia="仿宋_GB2312"/>
          <w:sz w:val="32"/>
          <w:szCs w:val="32"/>
          <w:highlight w:val="none"/>
          <w:lang w:eastAsia="zh-CN"/>
        </w:rPr>
        <w:t>人员经费增加。</w:t>
      </w:r>
    </w:p>
    <w:p w14:paraId="06F395BB">
      <w:pPr>
        <w:pStyle w:val="1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（二）财政拨款支出决算结构情况</w:t>
      </w:r>
    </w:p>
    <w:p w14:paraId="7F526296">
      <w:pPr>
        <w:pStyle w:val="15"/>
        <w:keepNext w:val="0"/>
        <w:keepLines w:val="0"/>
        <w:pageBreakBefore w:val="0"/>
        <w:kinsoku/>
        <w:wordWrap/>
        <w:overflowPunct/>
        <w:topLinePunct w:val="0"/>
        <w:bidi w:val="0"/>
        <w:adjustRightInd/>
        <w:snapToGrid/>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340.21</w:t>
      </w:r>
      <w:r>
        <w:rPr>
          <w:rFonts w:hint="eastAsia" w:ascii="Times New Roman" w:hAnsi="Times New Roman" w:eastAsia="仿宋_GB2312"/>
          <w:sz w:val="32"/>
          <w:szCs w:val="32"/>
        </w:rPr>
        <w:t>万元，主要用于以下方面：</w:t>
      </w:r>
      <w:r>
        <w:rPr>
          <w:rFonts w:hint="eastAsia" w:ascii="Times New Roman" w:hAnsi="Times New Roman" w:eastAsia="仿宋_GB2312"/>
          <w:sz w:val="32"/>
          <w:szCs w:val="32"/>
          <w:lang w:eastAsia="zh-CN"/>
        </w:rPr>
        <w:t>一般公共服务（类）支出</w:t>
      </w:r>
      <w:r>
        <w:rPr>
          <w:rFonts w:hint="eastAsia" w:ascii="Times New Roman" w:hAnsi="Times New Roman" w:eastAsia="仿宋_GB2312"/>
          <w:sz w:val="32"/>
          <w:szCs w:val="32"/>
          <w:lang w:val="en-US" w:eastAsia="zh-CN"/>
        </w:rPr>
        <w:t>22.55万元，占6.63%；</w:t>
      </w:r>
      <w:r>
        <w:rPr>
          <w:rFonts w:hint="eastAsia" w:ascii="Times New Roman" w:hAnsi="Times New Roman" w:eastAsia="仿宋_GB2312"/>
          <w:sz w:val="32"/>
          <w:szCs w:val="32"/>
        </w:rPr>
        <w:t>社会保障和就业（类）支出</w:t>
      </w:r>
      <w:r>
        <w:rPr>
          <w:rFonts w:hint="eastAsia" w:ascii="Times New Roman" w:hAnsi="Times New Roman" w:eastAsia="仿宋_GB2312"/>
          <w:sz w:val="32"/>
          <w:szCs w:val="32"/>
          <w:lang w:val="en-US" w:eastAsia="zh-CN"/>
        </w:rPr>
        <w:t>69.76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20.5</w:t>
      </w:r>
      <w:r>
        <w:rPr>
          <w:rFonts w:hint="eastAsia" w:ascii="Times New Roman" w:hAnsi="Times New Roman" w:eastAsia="仿宋_GB2312"/>
          <w:sz w:val="32"/>
          <w:szCs w:val="32"/>
        </w:rPr>
        <w:t>%；卫生健康（类）支出</w:t>
      </w:r>
      <w:r>
        <w:rPr>
          <w:rFonts w:hint="eastAsia" w:ascii="Times New Roman" w:hAnsi="Times New Roman" w:eastAsia="仿宋_GB2312"/>
          <w:sz w:val="32"/>
          <w:szCs w:val="32"/>
          <w:lang w:val="en-US" w:eastAsia="zh-CN"/>
        </w:rPr>
        <w:t>9.54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2.8</w:t>
      </w:r>
      <w:r>
        <w:rPr>
          <w:rFonts w:hint="eastAsia" w:ascii="Times New Roman" w:hAnsi="Times New Roman" w:eastAsia="仿宋_GB2312"/>
          <w:sz w:val="32"/>
          <w:szCs w:val="32"/>
        </w:rPr>
        <w:t>%;农林水（类）支出</w:t>
      </w:r>
      <w:r>
        <w:rPr>
          <w:rFonts w:hint="eastAsia" w:ascii="Times New Roman" w:hAnsi="Times New Roman" w:eastAsia="仿宋_GB2312"/>
          <w:sz w:val="32"/>
          <w:szCs w:val="32"/>
          <w:lang w:val="en-US" w:eastAsia="zh-CN"/>
        </w:rPr>
        <w:t>218.72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64.29</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；住房保障（类）支出</w:t>
      </w:r>
      <w:r>
        <w:rPr>
          <w:rFonts w:hint="eastAsia" w:ascii="Times New Roman" w:hAnsi="Times New Roman" w:eastAsia="仿宋_GB2312"/>
          <w:sz w:val="32"/>
          <w:szCs w:val="32"/>
          <w:lang w:val="en-US" w:eastAsia="zh-CN"/>
        </w:rPr>
        <w:t>19.64万元，占5.78%</w:t>
      </w:r>
      <w:r>
        <w:rPr>
          <w:rFonts w:hint="eastAsia" w:ascii="Times New Roman" w:hAnsi="Times New Roman" w:eastAsia="仿宋_GB2312"/>
          <w:sz w:val="32"/>
          <w:szCs w:val="32"/>
          <w:lang w:eastAsia="zh-CN"/>
        </w:rPr>
        <w:t>。</w:t>
      </w:r>
    </w:p>
    <w:p w14:paraId="0FCC3973">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（三）财政拨款支出决算具体情况</w:t>
      </w:r>
    </w:p>
    <w:p w14:paraId="28DF8CA3">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度财政拨款支出年初预算数为</w:t>
      </w:r>
      <w:r>
        <w:rPr>
          <w:rFonts w:hint="eastAsia" w:ascii="Times New Roman" w:hAnsi="Times New Roman" w:eastAsia="仿宋_GB2312"/>
          <w:sz w:val="32"/>
          <w:szCs w:val="32"/>
          <w:lang w:val="en-US" w:eastAsia="zh-CN"/>
        </w:rPr>
        <w:t>364.39</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340.21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93.36</w:t>
      </w:r>
      <w:r>
        <w:rPr>
          <w:rFonts w:hint="eastAsia" w:ascii="Times New Roman" w:hAnsi="Times New Roman" w:eastAsia="仿宋_GB2312"/>
          <w:sz w:val="32"/>
          <w:szCs w:val="32"/>
        </w:rPr>
        <w:t>%，其中：</w:t>
      </w:r>
    </w:p>
    <w:p w14:paraId="63B60F6D">
      <w:pPr>
        <w:pStyle w:val="15"/>
        <w:keepNext w:val="0"/>
        <w:keepLines w:val="0"/>
        <w:pageBreakBefore w:val="0"/>
        <w:numPr>
          <w:ilvl w:val="0"/>
          <w:numId w:val="0"/>
        </w:numPr>
        <w:kinsoku/>
        <w:wordWrap/>
        <w:overflowPunct/>
        <w:topLinePunct w:val="0"/>
        <w:bidi w:val="0"/>
        <w:adjustRightInd/>
        <w:snapToGrid/>
        <w:ind w:firstLine="640" w:firstLine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sz w:val="32"/>
          <w:szCs w:val="32"/>
          <w:highlight w:val="none"/>
          <w:lang w:val="en-US" w:eastAsia="zh-CN"/>
        </w:rPr>
        <w:t>1、一般公共服务支出（类）其他一般公共服务支出（款）</w:t>
      </w:r>
      <w:r>
        <w:rPr>
          <w:rFonts w:hint="eastAsia" w:ascii="Times New Roman" w:hAnsi="Times New Roman" w:eastAsia="仿宋_GB2312"/>
          <w:color w:val="auto"/>
          <w:sz w:val="32"/>
          <w:szCs w:val="32"/>
          <w:highlight w:val="none"/>
          <w:lang w:val="en-US" w:eastAsia="zh-CN"/>
        </w:rPr>
        <w:t>其他一般公共服务支出（项）。</w:t>
      </w:r>
    </w:p>
    <w:p w14:paraId="3E58B085">
      <w:pPr>
        <w:pStyle w:val="15"/>
        <w:keepNext w:val="0"/>
        <w:keepLines w:val="0"/>
        <w:pageBreakBefore w:val="0"/>
        <w:kinsoku/>
        <w:wordWrap/>
        <w:overflowPunct/>
        <w:topLinePunct w:val="0"/>
        <w:bidi w:val="0"/>
        <w:adjustRightInd/>
        <w:snapToGrid/>
        <w:ind w:firstLine="640" w:firstLineChars="200"/>
        <w:textAlignment w:val="auto"/>
        <w:rPr>
          <w:rFonts w:hint="eastAsia" w:ascii="Times New Roman" w:hAnsi="Times New Roman" w:eastAsia="仿宋_GB2312"/>
          <w:color w:val="FF0000"/>
          <w:sz w:val="32"/>
          <w:szCs w:val="32"/>
        </w:rPr>
      </w:pPr>
      <w:r>
        <w:rPr>
          <w:rFonts w:hint="eastAsia" w:ascii="Times New Roman" w:hAnsi="Times New Roman" w:eastAsia="仿宋_GB2312"/>
          <w:sz w:val="32"/>
          <w:szCs w:val="32"/>
          <w:highlight w:val="none"/>
          <w:lang w:val="en-US" w:eastAsia="zh-CN"/>
        </w:rPr>
        <w:t xml:space="preserve"> </w:t>
      </w:r>
      <w:r>
        <w:rPr>
          <w:rFonts w:hint="eastAsia" w:ascii="Times New Roman" w:hAnsi="Times New Roman" w:eastAsia="仿宋_GB2312"/>
          <w:sz w:val="32"/>
          <w:szCs w:val="32"/>
          <w:lang w:val="en-US" w:eastAsia="zh-CN"/>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sz w:val="32"/>
          <w:szCs w:val="32"/>
          <w:lang w:val="en-US" w:eastAsia="zh-CN"/>
        </w:rPr>
        <w:t>万元，支出决算为22.55万元，决算数大于年初预算的主要原因是：年中财政统发部分工资类支出所用指标款项。</w:t>
      </w:r>
    </w:p>
    <w:p w14:paraId="15484942">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、社会保障和就业支出（类）行政事业单位养老支出（款）事业单位离退休（项）。</w:t>
      </w:r>
    </w:p>
    <w:p w14:paraId="77C872A6">
      <w:pPr>
        <w:pStyle w:val="15"/>
        <w:keepNext w:val="0"/>
        <w:keepLines w:val="0"/>
        <w:pageBreakBefore w:val="0"/>
        <w:kinsoku/>
        <w:wordWrap/>
        <w:overflowPunct/>
        <w:topLinePunct w:val="0"/>
        <w:bidi w:val="0"/>
        <w:adjustRightInd/>
        <w:snapToGrid/>
        <w:ind w:firstLine="640" w:firstLineChars="200"/>
        <w:textAlignment w:val="auto"/>
        <w:rPr>
          <w:rFonts w:hint="eastAsia" w:ascii="Times New Roman" w:hAnsi="Times New Roman" w:eastAsia="仿宋_GB2312"/>
          <w:color w:val="FF0000"/>
          <w:sz w:val="32"/>
          <w:szCs w:val="32"/>
          <w:highlight w:val="none"/>
        </w:rPr>
      </w:pPr>
      <w:r>
        <w:rPr>
          <w:rFonts w:hint="eastAsia" w:ascii="Times New Roman" w:hAnsi="Times New Roman" w:eastAsia="仿宋_GB2312"/>
          <w:sz w:val="32"/>
          <w:szCs w:val="32"/>
        </w:rPr>
        <w:t>年初预算为</w:t>
      </w:r>
      <w:r>
        <w:rPr>
          <w:rFonts w:hint="eastAsia" w:ascii="Times New Roman" w:hAnsi="Times New Roman" w:eastAsia="仿宋_GB2312"/>
          <w:color w:val="auto"/>
          <w:sz w:val="32"/>
          <w:szCs w:val="32"/>
          <w:lang w:val="en-US" w:eastAsia="zh-CN"/>
        </w:rPr>
        <w:t>46.33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44.29</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完成年初预算的</w:t>
      </w:r>
      <w:r>
        <w:rPr>
          <w:rFonts w:hint="eastAsia" w:ascii="Times New Roman" w:hAnsi="Times New Roman" w:eastAsia="仿宋_GB2312"/>
          <w:color w:val="auto"/>
          <w:sz w:val="32"/>
          <w:szCs w:val="32"/>
          <w:lang w:val="en-US" w:eastAsia="zh-CN"/>
        </w:rPr>
        <w:t>95.6</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r>
        <w:rPr>
          <w:rFonts w:hint="eastAsia" w:ascii="Times New Roman" w:hAnsi="Times New Roman" w:eastAsia="仿宋_GB2312"/>
          <w:sz w:val="32"/>
          <w:szCs w:val="32"/>
          <w:lang w:val="en-US" w:eastAsia="zh-CN"/>
        </w:rPr>
        <w:t>决算数小于年初预算的主要原因是：离退休人员李拂尘按月统发的补助列入其他一般公共服务支出</w:t>
      </w:r>
      <w:r>
        <w:rPr>
          <w:rFonts w:hint="eastAsia" w:ascii="Times New Roman" w:hAnsi="Times New Roman" w:eastAsia="仿宋_GB2312"/>
          <w:sz w:val="32"/>
          <w:szCs w:val="32"/>
          <w:lang w:eastAsia="zh-CN"/>
        </w:rPr>
        <w:t>。</w:t>
      </w:r>
    </w:p>
    <w:p w14:paraId="7D5B9C9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社会保障和就业支出（类）行政事业单位养老支出（款）机关事业单位基本养老保险缴费支出（项）。</w:t>
      </w:r>
    </w:p>
    <w:p w14:paraId="78B17A1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FF0000"/>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color w:val="auto"/>
          <w:sz w:val="32"/>
          <w:szCs w:val="32"/>
          <w:lang w:val="en-US" w:eastAsia="zh-CN"/>
        </w:rPr>
        <w:t>21.02</w:t>
      </w:r>
      <w:r>
        <w:rPr>
          <w:rFonts w:hint="eastAsia" w:ascii="Times New Roman" w:hAnsi="Times New Roman" w:eastAsia="仿宋_GB2312"/>
          <w:color w:val="auto"/>
          <w:sz w:val="32"/>
          <w:szCs w:val="32"/>
        </w:rPr>
        <w:t>万</w:t>
      </w:r>
      <w:r>
        <w:rPr>
          <w:rFonts w:hint="eastAsia" w:ascii="Times New Roman" w:hAnsi="Times New Roman" w:eastAsia="仿宋_GB2312"/>
          <w:sz w:val="32"/>
          <w:szCs w:val="32"/>
        </w:rPr>
        <w:t>元，支出决算为</w:t>
      </w:r>
      <w:r>
        <w:rPr>
          <w:rFonts w:hint="eastAsia" w:ascii="Times New Roman" w:hAnsi="Times New Roman" w:eastAsia="仿宋_GB2312"/>
          <w:sz w:val="32"/>
          <w:szCs w:val="32"/>
          <w:lang w:val="en-US" w:eastAsia="zh-CN"/>
        </w:rPr>
        <w:t>22.16</w:t>
      </w:r>
      <w:r>
        <w:rPr>
          <w:rFonts w:hint="eastAsia" w:ascii="Times New Roman" w:hAnsi="Times New Roman" w:eastAsia="仿宋_GB2312"/>
          <w:sz w:val="32"/>
          <w:szCs w:val="32"/>
        </w:rPr>
        <w:t>万元，完成年初预算</w:t>
      </w:r>
      <w:r>
        <w:rPr>
          <w:rFonts w:hint="eastAsia" w:ascii="Times New Roman" w:hAnsi="Times New Roman" w:eastAsia="仿宋_GB2312"/>
          <w:sz w:val="32"/>
          <w:szCs w:val="32"/>
          <w:lang w:eastAsia="zh-CN"/>
        </w:rPr>
        <w:t>的</w:t>
      </w:r>
      <w:r>
        <w:rPr>
          <w:rFonts w:hint="eastAsia" w:ascii="Times New Roman" w:hAnsi="Times New Roman" w:eastAsia="仿宋_GB2312"/>
          <w:color w:val="auto"/>
          <w:sz w:val="32"/>
          <w:szCs w:val="32"/>
          <w:lang w:val="en-US" w:eastAsia="zh-CN"/>
        </w:rPr>
        <w:t>105.42</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r>
        <w:rPr>
          <w:rFonts w:hint="eastAsia" w:ascii="Times New Roman" w:hAnsi="Times New Roman" w:eastAsia="仿宋_GB2312"/>
          <w:sz w:val="32"/>
          <w:szCs w:val="32"/>
          <w:lang w:val="en-US" w:eastAsia="zh-CN"/>
        </w:rPr>
        <w:t>决算数大于年初预算的主要原因是：</w:t>
      </w:r>
      <w:r>
        <w:rPr>
          <w:rFonts w:hint="eastAsia" w:ascii="Times New Roman" w:hAnsi="Times New Roman" w:eastAsia="仿宋_GB2312"/>
          <w:color w:val="auto"/>
          <w:sz w:val="32"/>
          <w:szCs w:val="32"/>
          <w:lang w:val="en-US" w:eastAsia="zh-CN"/>
        </w:rPr>
        <w:t>2025年度有</w:t>
      </w:r>
      <w:r>
        <w:rPr>
          <w:rFonts w:hint="eastAsia" w:ascii="Times New Roman" w:hAnsi="Times New Roman" w:eastAsia="仿宋_GB2312"/>
          <w:color w:val="auto"/>
          <w:sz w:val="32"/>
          <w:szCs w:val="32"/>
          <w:lang w:eastAsia="zh-CN"/>
        </w:rPr>
        <w:t>新增人员，相应的人员经费支出增加。</w:t>
      </w:r>
    </w:p>
    <w:p w14:paraId="351E0818">
      <w:pPr>
        <w:pStyle w:val="15"/>
        <w:keepNext w:val="0"/>
        <w:keepLines w:val="0"/>
        <w:pageBreakBefore w:val="0"/>
        <w:widowControl w:val="0"/>
        <w:numPr>
          <w:ilvl w:val="0"/>
          <w:numId w:val="1"/>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卫生健康支出（类）行政事业单位医疗（款）</w:t>
      </w:r>
      <w:r>
        <w:rPr>
          <w:rFonts w:hint="eastAsia" w:ascii="Times New Roman" w:hAnsi="Times New Roman" w:eastAsia="仿宋_GB2312"/>
          <w:sz w:val="32"/>
          <w:szCs w:val="32"/>
          <w:lang w:eastAsia="zh-CN"/>
        </w:rPr>
        <w:t>行政</w:t>
      </w:r>
      <w:r>
        <w:rPr>
          <w:rFonts w:hint="eastAsia" w:ascii="Times New Roman" w:hAnsi="Times New Roman" w:eastAsia="仿宋_GB2312"/>
          <w:sz w:val="32"/>
          <w:szCs w:val="32"/>
        </w:rPr>
        <w:t>单位医疗（项）。</w:t>
      </w:r>
    </w:p>
    <w:p w14:paraId="0AFFE03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FF0000"/>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0.52</w:t>
      </w:r>
      <w:r>
        <w:rPr>
          <w:rFonts w:hint="eastAsia" w:ascii="Times New Roman" w:hAnsi="Times New Roman" w:eastAsia="仿宋_GB2312"/>
          <w:sz w:val="32"/>
          <w:szCs w:val="32"/>
        </w:rPr>
        <w:t>万元，完成年初预算的</w:t>
      </w:r>
      <w:r>
        <w:rPr>
          <w:rFonts w:hint="eastAsia" w:ascii="Times New Roman" w:hAnsi="Times New Roman" w:eastAsia="仿宋_GB2312"/>
          <w:color w:val="auto"/>
          <w:sz w:val="32"/>
          <w:szCs w:val="32"/>
          <w:lang w:val="en-US" w:eastAsia="zh-CN"/>
        </w:rPr>
        <w:t>106.33</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r>
        <w:rPr>
          <w:rFonts w:hint="eastAsia" w:ascii="Times New Roman" w:hAnsi="Times New Roman" w:eastAsia="仿宋_GB2312"/>
          <w:sz w:val="32"/>
          <w:szCs w:val="32"/>
          <w:lang w:val="en-US" w:eastAsia="zh-CN"/>
        </w:rPr>
        <w:t>决算数大于年初预算的主要原因是：</w:t>
      </w:r>
      <w:r>
        <w:rPr>
          <w:rFonts w:hint="eastAsia" w:ascii="Times New Roman" w:hAnsi="Times New Roman" w:eastAsia="仿宋_GB2312"/>
          <w:color w:val="auto"/>
          <w:sz w:val="32"/>
          <w:szCs w:val="32"/>
          <w:lang w:val="en-US" w:eastAsia="zh-CN"/>
        </w:rPr>
        <w:t>2025年度有</w:t>
      </w:r>
      <w:r>
        <w:rPr>
          <w:rFonts w:hint="eastAsia" w:ascii="Times New Roman" w:hAnsi="Times New Roman" w:eastAsia="仿宋_GB2312"/>
          <w:color w:val="auto"/>
          <w:sz w:val="32"/>
          <w:szCs w:val="32"/>
          <w:lang w:eastAsia="zh-CN"/>
        </w:rPr>
        <w:t>新增人员，相应的人员经费支出增加。</w:t>
      </w:r>
    </w:p>
    <w:p w14:paraId="2EA9972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、卫生健康支出（类）行政事业单位医疗（款）</w:t>
      </w:r>
      <w:r>
        <w:rPr>
          <w:rFonts w:hint="eastAsia" w:ascii="Times New Roman" w:hAnsi="Times New Roman" w:eastAsia="仿宋_GB2312"/>
          <w:sz w:val="32"/>
          <w:szCs w:val="32"/>
          <w:lang w:eastAsia="zh-CN"/>
        </w:rPr>
        <w:t>事业</w:t>
      </w:r>
      <w:r>
        <w:rPr>
          <w:rFonts w:hint="eastAsia" w:ascii="Times New Roman" w:hAnsi="Times New Roman" w:eastAsia="仿宋_GB2312"/>
          <w:sz w:val="32"/>
          <w:szCs w:val="32"/>
        </w:rPr>
        <w:t>单位医疗（项）。</w:t>
      </w:r>
    </w:p>
    <w:p w14:paraId="6E2F6E0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color w:val="auto"/>
          <w:sz w:val="32"/>
          <w:szCs w:val="32"/>
          <w:lang w:val="en-US" w:eastAsia="zh-CN"/>
        </w:rPr>
        <w:t>8.22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8.22</w:t>
      </w:r>
      <w:r>
        <w:rPr>
          <w:rFonts w:hint="eastAsia" w:ascii="Times New Roman" w:hAnsi="Times New Roman" w:eastAsia="仿宋_GB2312"/>
          <w:sz w:val="32"/>
          <w:szCs w:val="32"/>
        </w:rPr>
        <w:t>万元，完成年初预算的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sz w:val="32"/>
          <w:szCs w:val="32"/>
          <w:lang w:eastAsia="zh-CN"/>
        </w:rPr>
        <w:t>。</w:t>
      </w:r>
    </w:p>
    <w:p w14:paraId="1CC8CE0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卫生健康支出（类）行政事业单位医疗（款）</w:t>
      </w:r>
      <w:r>
        <w:rPr>
          <w:rFonts w:hint="eastAsia" w:ascii="Times New Roman" w:hAnsi="Times New Roman" w:eastAsia="仿宋_GB2312"/>
          <w:sz w:val="32"/>
          <w:szCs w:val="32"/>
          <w:lang w:eastAsia="zh-CN"/>
        </w:rPr>
        <w:t>其他行政事业单位医疗支出</w:t>
      </w:r>
      <w:r>
        <w:rPr>
          <w:rFonts w:hint="eastAsia" w:ascii="Times New Roman" w:hAnsi="Times New Roman" w:eastAsia="仿宋_GB2312"/>
          <w:sz w:val="32"/>
          <w:szCs w:val="32"/>
        </w:rPr>
        <w:t>（项）。</w:t>
      </w:r>
    </w:p>
    <w:p w14:paraId="321D6E8A">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heme="minorEastAsia" w:hAnsiTheme="minorEastAsia" w:eastAsiaTheme="minorEastAsia"/>
          <w:sz w:val="32"/>
          <w:szCs w:val="32"/>
          <w:highlight w:val="lightGray"/>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0.8</w:t>
      </w:r>
      <w:r>
        <w:rPr>
          <w:rFonts w:hint="eastAsia" w:ascii="Times New Roman" w:hAnsi="Times New Roman" w:eastAsia="仿宋_GB2312"/>
          <w:sz w:val="32"/>
          <w:szCs w:val="32"/>
        </w:rPr>
        <w:t>万元，决算数大于年初预算数的主要原因是：</w:t>
      </w:r>
      <w:r>
        <w:rPr>
          <w:rFonts w:hint="eastAsia" w:ascii="Times New Roman" w:hAnsi="Times New Roman" w:eastAsia="仿宋_GB2312"/>
          <w:sz w:val="32"/>
          <w:szCs w:val="32"/>
          <w:lang w:eastAsia="zh-CN"/>
        </w:rPr>
        <w:t>年初预算未包含建国初期参加工作离退休人员专项医疗补助。</w:t>
      </w:r>
    </w:p>
    <w:p w14:paraId="14D9195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、农林水支出（类）农业农村（款）</w:t>
      </w:r>
      <w:r>
        <w:rPr>
          <w:rFonts w:hint="eastAsia" w:ascii="Times New Roman" w:hAnsi="Times New Roman" w:eastAsia="仿宋_GB2312"/>
          <w:sz w:val="32"/>
          <w:szCs w:val="32"/>
          <w:lang w:eastAsia="zh-CN"/>
        </w:rPr>
        <w:t>事业</w:t>
      </w:r>
      <w:r>
        <w:rPr>
          <w:rFonts w:hint="eastAsia" w:ascii="Times New Roman" w:hAnsi="Times New Roman" w:eastAsia="仿宋_GB2312"/>
          <w:sz w:val="32"/>
          <w:szCs w:val="32"/>
        </w:rPr>
        <w:t>运行（项）。</w:t>
      </w:r>
    </w:p>
    <w:p w14:paraId="6713204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FF0000"/>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color w:val="auto"/>
          <w:sz w:val="32"/>
          <w:szCs w:val="32"/>
          <w:lang w:val="en-US" w:eastAsia="zh-CN"/>
        </w:rPr>
        <w:t>192.95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199.87</w:t>
      </w:r>
      <w:r>
        <w:rPr>
          <w:rFonts w:hint="eastAsia" w:ascii="Times New Roman" w:hAnsi="Times New Roman" w:eastAsia="仿宋_GB2312"/>
          <w:sz w:val="32"/>
          <w:szCs w:val="32"/>
        </w:rPr>
        <w:t>万元，完成年初预算的</w:t>
      </w:r>
      <w:r>
        <w:rPr>
          <w:rFonts w:hint="eastAsia" w:ascii="Times New Roman" w:hAnsi="Times New Roman" w:eastAsia="仿宋_GB2312"/>
          <w:color w:val="auto"/>
          <w:sz w:val="32"/>
          <w:szCs w:val="32"/>
          <w:lang w:val="en-US" w:eastAsia="zh-CN"/>
        </w:rPr>
        <w:t>103.59</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color w:val="auto"/>
          <w:sz w:val="32"/>
          <w:szCs w:val="32"/>
          <w:lang w:val="en-US" w:eastAsia="zh-CN"/>
        </w:rPr>
        <w:t>2025年度有</w:t>
      </w:r>
      <w:r>
        <w:rPr>
          <w:rFonts w:hint="eastAsia" w:ascii="Times New Roman" w:hAnsi="Times New Roman" w:eastAsia="仿宋_GB2312"/>
          <w:color w:val="auto"/>
          <w:sz w:val="32"/>
          <w:szCs w:val="32"/>
          <w:lang w:eastAsia="zh-CN"/>
        </w:rPr>
        <w:t>新增人员，相应的人员经费支出增加。</w:t>
      </w:r>
    </w:p>
    <w:p w14:paraId="7E2B370A">
      <w:pPr>
        <w:pStyle w:val="15"/>
        <w:keepNext w:val="0"/>
        <w:keepLines w:val="0"/>
        <w:pageBreakBefore w:val="0"/>
        <w:widowControl w:val="0"/>
        <w:tabs>
          <w:tab w:val="left" w:pos="4620"/>
        </w:tabs>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农林水支出（类）农业农村（款）科技转化与推广服务（项）。</w:t>
      </w:r>
    </w:p>
    <w:p w14:paraId="0DF7BD9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color w:val="auto"/>
          <w:sz w:val="32"/>
          <w:szCs w:val="32"/>
          <w:lang w:val="en-US" w:eastAsia="zh-CN"/>
        </w:rPr>
        <w:t>10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302CA333">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农林水支出（类）农业农村（款）农业生产发展（项）。</w:t>
      </w:r>
    </w:p>
    <w:p w14:paraId="221ECAB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3.85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38.5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的主要原因是：差旅、“三公”经费等指标相应减少。</w:t>
      </w:r>
    </w:p>
    <w:p w14:paraId="17892AA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农林水支出（类）农业农村（款）</w:t>
      </w:r>
      <w:r>
        <w:rPr>
          <w:rFonts w:hint="eastAsia" w:ascii="Times New Roman" w:hAnsi="Times New Roman" w:eastAsia="仿宋_GB2312"/>
          <w:sz w:val="32"/>
          <w:szCs w:val="32"/>
          <w:lang w:eastAsia="zh-CN"/>
        </w:rPr>
        <w:t>执法监管</w:t>
      </w:r>
      <w:r>
        <w:rPr>
          <w:rFonts w:hint="eastAsia" w:ascii="Times New Roman" w:hAnsi="Times New Roman" w:eastAsia="仿宋_GB2312"/>
          <w:sz w:val="32"/>
          <w:szCs w:val="32"/>
        </w:rPr>
        <w:t>（项）。</w:t>
      </w:r>
    </w:p>
    <w:p w14:paraId="5D7F308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color w:val="auto"/>
          <w:sz w:val="32"/>
          <w:szCs w:val="32"/>
          <w:lang w:val="en-US" w:eastAsia="zh-CN"/>
        </w:rPr>
        <w:t>58.3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年中由财政统筹进行转移支付至各县，不列在本单位决算支出。</w:t>
      </w:r>
    </w:p>
    <w:p w14:paraId="5D4251E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农林水支出（类）农业农村（款）</w:t>
      </w:r>
      <w:r>
        <w:rPr>
          <w:rFonts w:hint="eastAsia" w:ascii="Times New Roman" w:hAnsi="Times New Roman" w:eastAsia="仿宋_GB2312"/>
          <w:sz w:val="32"/>
          <w:szCs w:val="32"/>
          <w:lang w:eastAsia="zh-CN"/>
        </w:rPr>
        <w:t>其他农林水支出</w:t>
      </w:r>
      <w:r>
        <w:rPr>
          <w:rFonts w:hint="eastAsia" w:ascii="Times New Roman" w:hAnsi="Times New Roman" w:eastAsia="仿宋_GB2312"/>
          <w:sz w:val="32"/>
          <w:szCs w:val="32"/>
        </w:rPr>
        <w:t>（项）。</w:t>
      </w:r>
    </w:p>
    <w:p w14:paraId="223026C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FF0000"/>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color w:val="auto"/>
          <w:sz w:val="32"/>
          <w:szCs w:val="32"/>
          <w:lang w:eastAsia="zh-CN"/>
        </w:rPr>
        <w:t>年中追加资金。</w:t>
      </w:r>
    </w:p>
    <w:p w14:paraId="7F978623">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12、住房保障支出（类）住房改革支出（款）住房公积金（项）。</w:t>
      </w:r>
    </w:p>
    <w:p w14:paraId="674A8CC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sz w:val="32"/>
          <w:szCs w:val="32"/>
          <w:lang w:val="en-US" w:eastAsia="zh-CN"/>
        </w:rPr>
        <w:t>年初预算为</w:t>
      </w:r>
      <w:r>
        <w:rPr>
          <w:rFonts w:hint="eastAsia" w:ascii="Times New Roman" w:hAnsi="Times New Roman" w:eastAsia="仿宋_GB2312"/>
          <w:color w:val="auto"/>
          <w:sz w:val="32"/>
          <w:szCs w:val="32"/>
          <w:lang w:val="en-US" w:eastAsia="zh-CN"/>
        </w:rPr>
        <w:t>17.57</w:t>
      </w:r>
      <w:r>
        <w:rPr>
          <w:rFonts w:hint="eastAsia" w:ascii="Times New Roman" w:hAnsi="Times New Roman" w:eastAsia="仿宋_GB2312"/>
          <w:sz w:val="32"/>
          <w:szCs w:val="32"/>
          <w:lang w:val="en-US" w:eastAsia="zh-CN"/>
        </w:rPr>
        <w:t>万元，支出决算为19.6万元，</w:t>
      </w:r>
      <w:r>
        <w:rPr>
          <w:rFonts w:hint="eastAsia" w:ascii="Times New Roman" w:hAnsi="Times New Roman" w:eastAsia="仿宋_GB2312"/>
          <w:sz w:val="32"/>
          <w:szCs w:val="32"/>
        </w:rPr>
        <w:t>完成年初预算的</w:t>
      </w:r>
      <w:r>
        <w:rPr>
          <w:rFonts w:hint="eastAsia" w:ascii="Times New Roman" w:hAnsi="Times New Roman" w:eastAsia="仿宋_GB2312"/>
          <w:sz w:val="32"/>
          <w:szCs w:val="32"/>
          <w:lang w:val="en-US" w:eastAsia="zh-CN"/>
        </w:rPr>
        <w:t>111.55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决算数大于年初预算的主要原因是：</w:t>
      </w:r>
      <w:r>
        <w:rPr>
          <w:rFonts w:hint="eastAsia" w:ascii="Times New Roman" w:hAnsi="Times New Roman" w:eastAsia="仿宋_GB2312"/>
          <w:color w:val="auto"/>
          <w:sz w:val="32"/>
          <w:szCs w:val="32"/>
          <w:lang w:val="en-US" w:eastAsia="zh-CN"/>
        </w:rPr>
        <w:t>2025年度有</w:t>
      </w:r>
      <w:r>
        <w:rPr>
          <w:rFonts w:hint="eastAsia" w:ascii="Times New Roman" w:hAnsi="Times New Roman" w:eastAsia="仿宋_GB2312"/>
          <w:color w:val="auto"/>
          <w:sz w:val="32"/>
          <w:szCs w:val="32"/>
          <w:lang w:eastAsia="zh-CN"/>
        </w:rPr>
        <w:t>新增人员，相应的支出增加。</w:t>
      </w:r>
    </w:p>
    <w:p w14:paraId="0924E805">
      <w:pPr>
        <w:pStyle w:val="15"/>
        <w:overflowPunct w:val="0"/>
        <w:autoSpaceDE/>
        <w:autoSpaceDN/>
        <w:spacing w:line="600" w:lineRule="exact"/>
        <w:ind w:firstLine="640" w:firstLineChars="200"/>
        <w:jc w:val="both"/>
        <w:rPr>
          <w:rFonts w:hint="eastAsia" w:ascii="Times New Roman" w:hAnsi="Times New Roman" w:eastAsia="仿宋_GB2312"/>
          <w:color w:val="auto"/>
          <w:sz w:val="32"/>
          <w:szCs w:val="32"/>
          <w:lang w:val="en-US" w:eastAsia="zh-CN"/>
        </w:rPr>
      </w:pPr>
      <w:r>
        <w:rPr>
          <w:rFonts w:hint="eastAsia" w:ascii="Times New Roman" w:hAnsi="Times New Roman" w:eastAsia="仿宋_GB2312" w:cs="Times New Roman"/>
          <w:color w:val="auto"/>
          <w:sz w:val="32"/>
          <w:szCs w:val="32"/>
        </w:rPr>
        <w:t>按照支出功能分类，</w:t>
      </w:r>
      <w:r>
        <w:rPr>
          <w:rFonts w:hint="eastAsia" w:ascii="Times New Roman" w:hAnsi="Times New Roman" w:eastAsia="仿宋_GB2312"/>
          <w:sz w:val="32"/>
          <w:szCs w:val="32"/>
        </w:rPr>
        <w:t>农林水支出（类）农业农村（款）</w:t>
      </w:r>
      <w:r>
        <w:rPr>
          <w:rFonts w:hint="eastAsia" w:ascii="Times New Roman" w:hAnsi="Times New Roman" w:eastAsia="仿宋_GB2312"/>
          <w:sz w:val="32"/>
          <w:szCs w:val="32"/>
          <w:lang w:eastAsia="zh-CN"/>
        </w:rPr>
        <w:t>事业</w:t>
      </w:r>
      <w:r>
        <w:rPr>
          <w:rFonts w:hint="eastAsia" w:ascii="Times New Roman" w:hAnsi="Times New Roman" w:eastAsia="仿宋_GB2312"/>
          <w:sz w:val="32"/>
          <w:szCs w:val="32"/>
        </w:rPr>
        <w:t>运行（项）</w:t>
      </w:r>
      <w:r>
        <w:rPr>
          <w:rFonts w:hint="eastAsia" w:ascii="Times New Roman" w:hAnsi="Times New Roman" w:eastAsia="仿宋_GB2312" w:cs="Times New Roman"/>
          <w:color w:val="auto"/>
          <w:sz w:val="32"/>
          <w:szCs w:val="32"/>
        </w:rPr>
        <w:t>方面的支出规模较大</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，主要是：</w:t>
      </w:r>
      <w:r>
        <w:rPr>
          <w:rFonts w:hint="eastAsia" w:ascii="Times New Roman" w:hAnsi="Times New Roman" w:eastAsia="仿宋_GB2312" w:cs="Times New Roman"/>
          <w:color w:val="auto"/>
          <w:sz w:val="32"/>
          <w:szCs w:val="32"/>
          <w:lang w:eastAsia="zh-CN"/>
        </w:rPr>
        <w:t>工资福利支出</w:t>
      </w:r>
      <w:r>
        <w:rPr>
          <w:rFonts w:hint="eastAsia" w:ascii="Times New Roman" w:hAnsi="Times New Roman" w:eastAsia="仿宋_GB2312" w:cs="Times New Roman"/>
          <w:color w:val="auto"/>
          <w:sz w:val="32"/>
          <w:szCs w:val="32"/>
        </w:rPr>
        <w:t>2025年度决算数为</w:t>
      </w:r>
      <w:r>
        <w:rPr>
          <w:rFonts w:hint="eastAsia" w:ascii="Times New Roman" w:hAnsi="Times New Roman" w:eastAsia="仿宋_GB2312" w:cs="Times New Roman"/>
          <w:color w:val="auto"/>
          <w:sz w:val="32"/>
          <w:szCs w:val="32"/>
          <w:lang w:val="en-US" w:eastAsia="zh-CN"/>
        </w:rPr>
        <w:t>167.97</w:t>
      </w:r>
      <w:r>
        <w:rPr>
          <w:rFonts w:hint="eastAsia" w:ascii="Times New Roman" w:hAnsi="Times New Roman" w:eastAsia="仿宋_GB2312" w:cs="Times New Roman"/>
          <w:color w:val="auto"/>
          <w:sz w:val="32"/>
          <w:szCs w:val="32"/>
        </w:rPr>
        <w:t>万元，占财政拨款支出总额的</w:t>
      </w:r>
      <w:r>
        <w:rPr>
          <w:rFonts w:hint="eastAsia" w:ascii="Times New Roman" w:hAnsi="Times New Roman" w:eastAsia="仿宋_GB2312" w:cs="Times New Roman"/>
          <w:color w:val="auto"/>
          <w:sz w:val="32"/>
          <w:szCs w:val="32"/>
          <w:lang w:val="en-US" w:eastAsia="zh-CN"/>
        </w:rPr>
        <w:t>49.37</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主要用于单位人员工资、奖金、社会保障缴费等方面；商品和服务支出</w:t>
      </w:r>
      <w:r>
        <w:rPr>
          <w:rFonts w:hint="eastAsia" w:ascii="Times New Roman" w:hAnsi="Times New Roman" w:eastAsia="仿宋_GB2312" w:cs="Times New Roman"/>
          <w:color w:val="auto"/>
          <w:sz w:val="32"/>
          <w:szCs w:val="32"/>
          <w:lang w:val="en-US" w:eastAsia="zh-CN"/>
        </w:rPr>
        <w:t>2025年度决算数为29.2万元，主要用于单位工会活动经费、在职人员的交通补助等方面；对个人和家庭的补助支出2025年度决算数为2.7万元，</w:t>
      </w:r>
      <w:r>
        <w:rPr>
          <w:rFonts w:hint="eastAsia" w:ascii="Times New Roman" w:hAnsi="Times New Roman" w:eastAsia="仿宋_GB2312" w:cs="Times New Roman"/>
          <w:color w:val="auto"/>
          <w:sz w:val="32"/>
          <w:szCs w:val="32"/>
        </w:rPr>
        <w:t>主要用于</w:t>
      </w:r>
      <w:r>
        <w:rPr>
          <w:rFonts w:hint="eastAsia" w:ascii="Times New Roman" w:hAnsi="Times New Roman" w:eastAsia="仿宋_GB2312" w:cs="Times New Roman"/>
          <w:color w:val="auto"/>
          <w:sz w:val="32"/>
          <w:szCs w:val="32"/>
          <w:lang w:eastAsia="zh-CN"/>
        </w:rPr>
        <w:t>离退休老人独生子女奖励金、其他对个人的慰问补助等方面</w:t>
      </w:r>
      <w:r>
        <w:rPr>
          <w:rFonts w:hint="eastAsia" w:ascii="Times New Roman" w:hAnsi="Times New Roman" w:eastAsia="楷体_GB2312" w:cs="Times New Roman"/>
          <w:b/>
          <w:bCs/>
          <w:i/>
          <w:color w:val="auto"/>
          <w:sz w:val="32"/>
          <w:szCs w:val="32"/>
        </w:rPr>
        <w:t>。</w:t>
      </w:r>
    </w:p>
    <w:p w14:paraId="38C9205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1ED1709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317.21</w:t>
      </w:r>
      <w:r>
        <w:rPr>
          <w:rFonts w:hint="eastAsia" w:ascii="Times New Roman" w:hAnsi="Times New Roman" w:eastAsia="仿宋_GB2312"/>
          <w:sz w:val="32"/>
          <w:szCs w:val="32"/>
        </w:rPr>
        <w:t>万元，其中：</w:t>
      </w:r>
    </w:p>
    <w:p w14:paraId="068CD84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286.34</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90.27</w:t>
      </w:r>
      <w:r>
        <w:rPr>
          <w:rFonts w:hint="eastAsia" w:ascii="Times New Roman" w:hAnsi="Times New Roman" w:eastAsia="仿宋_GB2312"/>
          <w:sz w:val="32"/>
          <w:szCs w:val="32"/>
        </w:rPr>
        <w:t>%,主要包括基本工资、津贴补贴、奖金、伙食补助费</w:t>
      </w:r>
      <w:r>
        <w:rPr>
          <w:rFonts w:hint="eastAsia" w:ascii="Times New Roman" w:hAnsi="Times New Roman" w:eastAsia="仿宋_GB2312"/>
          <w:sz w:val="32"/>
          <w:szCs w:val="32"/>
          <w:lang w:eastAsia="zh-CN"/>
        </w:rPr>
        <w:t>、机关事业单位基本养老保险缴费、职工基本医疗保险缴费、其他社会保障缴费、住房公积金、其他工资福利支出、对个人和家庭的补助等。</w:t>
      </w:r>
    </w:p>
    <w:p w14:paraId="7310075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30.87</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9.73</w:t>
      </w:r>
      <w:r>
        <w:rPr>
          <w:rFonts w:hint="eastAsia" w:ascii="Times New Roman" w:hAnsi="Times New Roman" w:eastAsia="仿宋_GB2312"/>
          <w:sz w:val="32"/>
          <w:szCs w:val="32"/>
        </w:rPr>
        <w:t>%，主要包括</w:t>
      </w:r>
      <w:r>
        <w:rPr>
          <w:rFonts w:hint="eastAsia" w:ascii="Times New Roman" w:hAnsi="Times New Roman" w:eastAsia="仿宋_GB2312"/>
          <w:sz w:val="32"/>
          <w:szCs w:val="32"/>
          <w:lang w:eastAsia="zh-CN"/>
        </w:rPr>
        <w:t>邮电</w:t>
      </w:r>
      <w:r>
        <w:rPr>
          <w:rFonts w:hint="eastAsia" w:ascii="Times New Roman" w:hAnsi="Times New Roman" w:eastAsia="仿宋_GB2312"/>
          <w:sz w:val="32"/>
          <w:szCs w:val="32"/>
        </w:rPr>
        <w:t>费、</w:t>
      </w:r>
      <w:r>
        <w:rPr>
          <w:rFonts w:hint="eastAsia" w:ascii="Times New Roman" w:hAnsi="Times New Roman" w:eastAsia="仿宋_GB2312"/>
          <w:sz w:val="32"/>
          <w:szCs w:val="32"/>
          <w:lang w:eastAsia="zh-CN"/>
        </w:rPr>
        <w:t>工会经费、差旅费、福利费、其他交通费用（车补）、其他商品和服务支出</w:t>
      </w:r>
      <w:r>
        <w:rPr>
          <w:rFonts w:hint="eastAsia" w:ascii="Times New Roman" w:hAnsi="Times New Roman" w:eastAsia="仿宋_GB2312"/>
          <w:sz w:val="32"/>
          <w:szCs w:val="32"/>
        </w:rPr>
        <w:t>。</w:t>
      </w:r>
    </w:p>
    <w:p w14:paraId="603F47D6">
      <w:pPr>
        <w:pStyle w:val="15"/>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14:paraId="47FF585A">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楷体" w:hAnsi="楷体" w:eastAsia="楷体" w:cs="楷体"/>
          <w:b/>
          <w:bCs w:val="0"/>
          <w:color w:val="auto"/>
          <w:sz w:val="32"/>
          <w:szCs w:val="32"/>
        </w:rPr>
      </w:pPr>
      <w:r>
        <w:rPr>
          <w:rFonts w:hint="eastAsia" w:ascii="楷体" w:hAnsi="楷体" w:eastAsia="楷体" w:cs="楷体"/>
          <w:b/>
          <w:bCs w:val="0"/>
          <w:color w:val="auto"/>
          <w:sz w:val="32"/>
          <w:szCs w:val="32"/>
        </w:rPr>
        <w:t>（一）“三公”经费财政拨款支出决算总体情况说明</w:t>
      </w:r>
    </w:p>
    <w:p w14:paraId="40FA89E2">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sz w:val="32"/>
          <w:szCs w:val="32"/>
        </w:rPr>
        <w:t>万元，支出决算为</w:t>
      </w:r>
      <w:r>
        <w:rPr>
          <w:rFonts w:hint="eastAsia" w:ascii="Times New Roman" w:hAnsi="Times New Roman" w:eastAsia="仿宋_GB2312"/>
          <w:color w:val="auto"/>
          <w:sz w:val="32"/>
          <w:szCs w:val="32"/>
          <w:lang w:val="en-US" w:eastAsia="zh-CN"/>
        </w:rPr>
        <w:t>1.33</w:t>
      </w:r>
      <w:r>
        <w:rPr>
          <w:rFonts w:hint="eastAsia" w:ascii="Times New Roman" w:hAnsi="Times New Roman" w:eastAsia="仿宋_GB2312"/>
          <w:sz w:val="32"/>
          <w:szCs w:val="32"/>
        </w:rPr>
        <w:t>万元，完成预算的</w:t>
      </w:r>
      <w:r>
        <w:rPr>
          <w:rFonts w:hint="eastAsia" w:ascii="Times New Roman" w:hAnsi="Times New Roman" w:eastAsia="仿宋_GB2312"/>
          <w:color w:val="auto"/>
          <w:sz w:val="32"/>
          <w:szCs w:val="32"/>
          <w:lang w:val="en-US" w:eastAsia="zh-CN"/>
        </w:rPr>
        <w:t>26.6</w:t>
      </w:r>
      <w:r>
        <w:rPr>
          <w:rFonts w:hint="eastAsia" w:ascii="Times New Roman" w:hAnsi="Times New Roman" w:eastAsia="仿宋_GB2312"/>
          <w:sz w:val="32"/>
          <w:szCs w:val="32"/>
        </w:rPr>
        <w:t>%，其中：</w:t>
      </w:r>
    </w:p>
    <w:p w14:paraId="2EF4E5EB">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与上年相比无增减变动。</w:t>
      </w:r>
    </w:p>
    <w:p w14:paraId="705A2C7F">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color w:val="auto"/>
          <w:sz w:val="32"/>
          <w:szCs w:val="32"/>
          <w:lang w:val="en-US" w:eastAsia="zh-CN"/>
        </w:rPr>
        <w:t>1.4</w:t>
      </w:r>
      <w:r>
        <w:rPr>
          <w:rFonts w:hint="eastAsia" w:ascii="Times New Roman" w:hAnsi="Times New Roman" w:eastAsia="仿宋_GB2312"/>
          <w:sz w:val="32"/>
          <w:szCs w:val="32"/>
        </w:rPr>
        <w:t>万元，支出决算为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color w:val="auto"/>
          <w:sz w:val="32"/>
          <w:szCs w:val="32"/>
        </w:rPr>
        <w:t>与上年相比</w:t>
      </w:r>
      <w:r>
        <w:rPr>
          <w:rFonts w:hint="eastAsia" w:ascii="Times New Roman" w:hAnsi="Times New Roman" w:eastAsia="仿宋_GB2312"/>
          <w:color w:val="auto"/>
          <w:sz w:val="32"/>
          <w:szCs w:val="32"/>
          <w:lang w:eastAsia="zh-CN"/>
        </w:rPr>
        <w:t>减少</w:t>
      </w:r>
      <w:r>
        <w:rPr>
          <w:rFonts w:hint="eastAsia" w:ascii="Times New Roman" w:hAnsi="Times New Roman" w:eastAsia="仿宋_GB2312"/>
          <w:color w:val="auto"/>
          <w:sz w:val="32"/>
          <w:szCs w:val="32"/>
          <w:lang w:val="en-US" w:eastAsia="zh-CN"/>
        </w:rPr>
        <w:t>1.4</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减少</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，减少</w:t>
      </w:r>
      <w:r>
        <w:rPr>
          <w:rFonts w:hint="eastAsia" w:ascii="Times New Roman" w:hAnsi="Times New Roman" w:eastAsia="仿宋_GB2312"/>
          <w:color w:val="auto"/>
          <w:sz w:val="32"/>
          <w:szCs w:val="32"/>
        </w:rPr>
        <w:t>的主要原因是</w:t>
      </w:r>
      <w:r>
        <w:rPr>
          <w:rFonts w:hint="eastAsia" w:ascii="Times New Roman" w:hAnsi="Times New Roman" w:eastAsia="仿宋_GB2312"/>
          <w:color w:val="auto"/>
          <w:sz w:val="32"/>
          <w:szCs w:val="32"/>
          <w:lang w:eastAsia="zh-CN"/>
        </w:rPr>
        <w:t>公务接待制度改革，厉行节约，压缩“三公”经费。</w:t>
      </w:r>
    </w:p>
    <w:p w14:paraId="30EE1DC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0万</w:t>
      </w:r>
      <w:r>
        <w:rPr>
          <w:rFonts w:hint="eastAsia" w:ascii="Times New Roman" w:hAnsi="Times New Roman" w:eastAsia="仿宋_GB2312"/>
          <w:sz w:val="32"/>
          <w:szCs w:val="32"/>
        </w:rPr>
        <w:t>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与上年相比无增减变动。</w:t>
      </w:r>
    </w:p>
    <w:p w14:paraId="55A91285">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3.6</w:t>
      </w:r>
      <w:r>
        <w:rPr>
          <w:rFonts w:hint="eastAsia" w:ascii="Times New Roman" w:hAnsi="Times New Roman" w:eastAsia="仿宋_GB2312"/>
          <w:sz w:val="32"/>
          <w:szCs w:val="32"/>
        </w:rPr>
        <w:t>万元，支出决算为</w:t>
      </w:r>
      <w:r>
        <w:rPr>
          <w:rFonts w:hint="eastAsia" w:ascii="Times New Roman" w:hAnsi="Times New Roman" w:eastAsia="仿宋_GB2312"/>
          <w:color w:val="auto"/>
          <w:sz w:val="32"/>
          <w:szCs w:val="32"/>
          <w:lang w:val="en-US" w:eastAsia="zh-CN"/>
        </w:rPr>
        <w:t>1.33</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36.94</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2.27</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63.06</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rPr>
        <w:t>的主要原因是</w:t>
      </w:r>
      <w:r>
        <w:rPr>
          <w:rFonts w:hint="eastAsia" w:ascii="Times New Roman" w:hAnsi="Times New Roman" w:eastAsia="仿宋_GB2312"/>
          <w:sz w:val="32"/>
          <w:szCs w:val="32"/>
          <w:lang w:eastAsia="zh-CN"/>
        </w:rPr>
        <w:t>厉行节约，压缩“三公”经费。</w:t>
      </w:r>
    </w:p>
    <w:p w14:paraId="60B27A4A">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465C33E3">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度“三公”经费财政拨款支出决算中，公务接待费支出决算</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1.33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14:paraId="240E258B">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val="en-US"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14:paraId="10A0CA4B">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2、公务接待费支出决算为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sz w:val="32"/>
          <w:szCs w:val="32"/>
        </w:rPr>
        <w:t>万元，全年共接待来访团组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sz w:val="32"/>
          <w:szCs w:val="32"/>
        </w:rPr>
        <w:t>个</w:t>
      </w:r>
      <w:r>
        <w:rPr>
          <w:rFonts w:hint="eastAsia" w:ascii="Times New Roman" w:hAnsi="Times New Roman" w:eastAsia="仿宋_GB2312"/>
          <w:sz w:val="32"/>
          <w:szCs w:val="32"/>
          <w:lang w:eastAsia="zh-CN"/>
        </w:rPr>
        <w:t>。</w:t>
      </w:r>
    </w:p>
    <w:p w14:paraId="51F8A49B">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color w:val="auto"/>
          <w:sz w:val="32"/>
          <w:szCs w:val="32"/>
          <w:lang w:val="en-US" w:eastAsia="zh-CN"/>
        </w:rPr>
        <w:t>1.33</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万元，更新公务用车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1.33</w:t>
      </w:r>
      <w:r>
        <w:rPr>
          <w:rFonts w:hint="eastAsia" w:ascii="Times New Roman" w:hAnsi="Times New Roman" w:eastAsia="仿宋_GB2312"/>
          <w:sz w:val="32"/>
          <w:szCs w:val="32"/>
        </w:rPr>
        <w:t>万元，主要是</w:t>
      </w:r>
      <w:r>
        <w:rPr>
          <w:rFonts w:hint="eastAsia" w:ascii="Times New Roman" w:hAnsi="Times New Roman" w:eastAsia="仿宋_GB2312"/>
          <w:sz w:val="32"/>
          <w:szCs w:val="32"/>
          <w:lang w:val="en-US" w:eastAsia="zh-CN"/>
        </w:rPr>
        <w:t>车辆维修费、保险费及过路费等支出</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截至202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12月31日，我单位开支财政拨款的公务用车保有量为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w:t>
      </w:r>
    </w:p>
    <w:p w14:paraId="5BE366E3">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rPr>
        <w:t>八、政府性基金预算收入支出决算情况</w:t>
      </w:r>
      <w:r>
        <w:rPr>
          <w:rFonts w:hint="eastAsia" w:hAnsi="黑体" w:cs="黑体"/>
          <w:b w:val="0"/>
          <w:bCs/>
          <w:sz w:val="32"/>
          <w:szCs w:val="32"/>
          <w:lang w:eastAsia="zh-CN"/>
        </w:rPr>
        <w:t>说明</w:t>
      </w:r>
    </w:p>
    <w:p w14:paraId="1CD4A21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w:t>
      </w:r>
      <w:r>
        <w:rPr>
          <w:rFonts w:hint="eastAsia" w:ascii="Times New Roman" w:hAnsi="Times New Roman" w:eastAsia="仿宋_GB2312"/>
          <w:sz w:val="32"/>
          <w:szCs w:val="32"/>
          <w:lang w:eastAsia="zh-CN"/>
        </w:rPr>
        <w:t>本单位无政府性基金收支。</w:t>
      </w:r>
    </w:p>
    <w:p w14:paraId="536447A2">
      <w:pPr>
        <w:pStyle w:val="15"/>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国有资本经营预算</w:t>
      </w:r>
      <w:r>
        <w:rPr>
          <w:rFonts w:hint="eastAsia" w:hAnsi="黑体" w:cs="黑体"/>
          <w:b w:val="0"/>
          <w:bCs/>
          <w:sz w:val="32"/>
          <w:szCs w:val="32"/>
          <w:lang w:eastAsia="zh-CN"/>
        </w:rPr>
        <w:t>收入支出</w:t>
      </w:r>
      <w:r>
        <w:rPr>
          <w:rFonts w:hint="eastAsia" w:ascii="黑体" w:hAnsi="黑体" w:eastAsia="黑体" w:cs="黑体"/>
          <w:b w:val="0"/>
          <w:bCs/>
          <w:sz w:val="32"/>
          <w:szCs w:val="32"/>
          <w:lang w:eastAsia="zh-CN"/>
        </w:rPr>
        <w:t>情况说明</w:t>
      </w:r>
    </w:p>
    <w:p w14:paraId="736FD812">
      <w:pPr>
        <w:pStyle w:val="15"/>
        <w:keepNext w:val="0"/>
        <w:keepLines w:val="0"/>
        <w:pageBreakBefore w:val="0"/>
        <w:kinsoku/>
        <w:wordWrap/>
        <w:overflowPunct/>
        <w:topLinePunct w:val="0"/>
        <w:bidi w:val="0"/>
        <w:adjustRightInd/>
        <w:snapToGrid/>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2025年度本单位无国有资本经营收支。</w:t>
      </w:r>
    </w:p>
    <w:p w14:paraId="1B9BCC8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十</w:t>
      </w:r>
      <w:r>
        <w:rPr>
          <w:rFonts w:hint="eastAsia" w:ascii="黑体" w:hAnsi="黑体" w:eastAsia="黑体" w:cs="黑体"/>
          <w:b w:val="0"/>
          <w:bCs/>
          <w:sz w:val="32"/>
          <w:szCs w:val="32"/>
        </w:rPr>
        <w:t>、关于机关运行经费支出说明</w:t>
      </w:r>
    </w:p>
    <w:p w14:paraId="19077093">
      <w:pPr>
        <w:pStyle w:val="15"/>
        <w:keepNext w:val="0"/>
        <w:keepLines w:val="0"/>
        <w:pageBreakBefore w:val="0"/>
        <w:kinsoku/>
        <w:wordWrap/>
        <w:overflowPunct/>
        <w:topLinePunct w:val="0"/>
        <w:bidi w:val="0"/>
        <w:adjustRightInd/>
        <w:snapToGrid/>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度机关运行经费支出</w:t>
      </w:r>
      <w:r>
        <w:rPr>
          <w:rFonts w:hint="eastAsia" w:ascii="Times New Roman" w:hAnsi="Times New Roman" w:eastAsia="仿宋_GB2312"/>
          <w:sz w:val="32"/>
          <w:szCs w:val="32"/>
          <w:lang w:val="en-US" w:eastAsia="zh-CN"/>
        </w:rPr>
        <w:t>30.87</w:t>
      </w:r>
      <w:r>
        <w:rPr>
          <w:rFonts w:hint="eastAsia" w:ascii="Times New Roman" w:hAnsi="Times New Roman" w:eastAsia="仿宋_GB2312"/>
          <w:sz w:val="32"/>
          <w:szCs w:val="32"/>
        </w:rPr>
        <w:t>万元，比上年决算数</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0.67</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2.22</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工会经费、其他交通费用、福利费等费用增加。</w:t>
      </w:r>
    </w:p>
    <w:p w14:paraId="196719B6">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69FE9873">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0.44</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全市农机化重点工作推进</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eastAsia="zh-CN"/>
        </w:rPr>
        <w:t>及全市农机报废更新补贴政策宣传会</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eastAsia="zh-CN"/>
        </w:rPr>
        <w:t>共</w:t>
      </w:r>
      <w:r>
        <w:rPr>
          <w:rFonts w:hint="eastAsia" w:ascii="Times New Roman" w:hAnsi="Times New Roman" w:eastAsia="仿宋_GB2312" w:cs="Times New Roman"/>
          <w:sz w:val="32"/>
          <w:szCs w:val="32"/>
          <w:lang w:val="en-US" w:eastAsia="zh-CN"/>
        </w:rPr>
        <w:t>102</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全市农机安全生产农机“两新”暨当前农机化重点工作推进及当前农机报废更新补贴政策宣传</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事业单位工勤人员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，内容为专业务学习教育培训</w:t>
      </w:r>
      <w:r>
        <w:rPr>
          <w:rFonts w:ascii="Times New Roman" w:hAnsi="Times New Roman" w:eastAsia="仿宋_GB2312" w:cs="Times New Roman"/>
          <w:sz w:val="32"/>
          <w:szCs w:val="32"/>
        </w:rPr>
        <w:t>；</w:t>
      </w:r>
      <w:r>
        <w:rPr>
          <w:rFonts w:hint="eastAsia" w:ascii="Times New Roman" w:hAnsi="Times New Roman" w:eastAsia="仿宋_GB2312"/>
          <w:sz w:val="32"/>
          <w:szCs w:val="32"/>
          <w:lang w:eastAsia="zh-CN"/>
        </w:rPr>
        <w:t>未</w:t>
      </w:r>
      <w:r>
        <w:rPr>
          <w:rFonts w:hint="eastAsia" w:ascii="Times New Roman" w:hAnsi="Times New Roman" w:eastAsia="仿宋_GB2312"/>
          <w:sz w:val="32"/>
          <w:szCs w:val="32"/>
        </w:rPr>
        <w:t>举办节庆、晚会、论坛、赛事</w:t>
      </w:r>
      <w:r>
        <w:rPr>
          <w:rFonts w:hint="eastAsia" w:ascii="Times New Roman" w:hAnsi="Times New Roman" w:eastAsia="仿宋_GB2312"/>
          <w:sz w:val="32"/>
          <w:szCs w:val="32"/>
          <w:lang w:eastAsia="zh-CN"/>
        </w:rPr>
        <w:t>等</w:t>
      </w:r>
      <w:r>
        <w:rPr>
          <w:rFonts w:hint="eastAsia" w:ascii="Times New Roman" w:hAnsi="Times New Roman" w:eastAsia="仿宋_GB2312"/>
          <w:sz w:val="32"/>
          <w:szCs w:val="32"/>
        </w:rPr>
        <w:t>活动。</w:t>
      </w:r>
    </w:p>
    <w:p w14:paraId="6E5210C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545D5F22">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度政府采购支出总额</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%。货物采购授予中小企业合同金额占货物支出金额的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%，工程采购授予中小企业合同金额占工程支出金额的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%，服务采购授予中小企业合同金额占服务支出金额的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232FCF1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三</w:t>
      </w:r>
      <w:r>
        <w:rPr>
          <w:rFonts w:hint="eastAsia" w:ascii="黑体" w:hAnsi="黑体" w:eastAsia="黑体" w:cs="黑体"/>
          <w:b w:val="0"/>
          <w:bCs/>
          <w:sz w:val="32"/>
          <w:szCs w:val="32"/>
        </w:rPr>
        <w:t>、关于国有资产占用情况说明</w:t>
      </w:r>
    </w:p>
    <w:p w14:paraId="4EFB6DF4">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截至</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12月31日，本单位共有车辆</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辆，其中，主要领导干部用车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辆，机要通信用车</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辆、应急保障用车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辆、执法执勤用车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辆、特种专业技术用车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辆、其他用车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辆；单位价值50万元以上通用设备</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台（套）；单位价值100万元以上专用设备</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w:t>
      </w:r>
    </w:p>
    <w:p w14:paraId="26457F2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四</w:t>
      </w:r>
      <w:r>
        <w:rPr>
          <w:rFonts w:hint="eastAsia" w:ascii="黑体" w:hAnsi="黑体" w:eastAsia="黑体" w:cs="黑体"/>
          <w:b w:val="0"/>
          <w:bCs/>
          <w:sz w:val="32"/>
          <w:szCs w:val="32"/>
        </w:rPr>
        <w:t>、关于</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黑体" w:hAnsi="黑体" w:eastAsia="黑体" w:cs="黑体"/>
          <w:b w:val="0"/>
          <w:bCs/>
          <w:sz w:val="32"/>
          <w:szCs w:val="32"/>
        </w:rPr>
        <w:t>度预算绩效情况的说明</w:t>
      </w:r>
    </w:p>
    <w:p w14:paraId="43F4D929">
      <w:pPr>
        <w:overflowPunct w:val="0"/>
        <w:spacing w:line="600" w:lineRule="exact"/>
        <w:ind w:firstLine="640" w:firstLineChars="200"/>
        <w:rPr>
          <w:rFonts w:hint="eastAsia" w:ascii="仿宋" w:hAnsi="仿宋" w:eastAsia="仿宋" w:cs="仿宋"/>
          <w:bCs/>
          <w:kern w:val="0"/>
          <w:sz w:val="32"/>
          <w:szCs w:val="32"/>
          <w:highlight w:val="none"/>
          <w:lang w:eastAsia="zh-CN"/>
        </w:rPr>
      </w:pPr>
      <w:r>
        <w:rPr>
          <w:rFonts w:hint="eastAsia" w:ascii="仿宋" w:hAnsi="仿宋" w:eastAsia="仿宋" w:cs="仿宋"/>
          <w:bCs/>
          <w:kern w:val="0"/>
          <w:sz w:val="32"/>
          <w:szCs w:val="32"/>
          <w:highlight w:val="none"/>
        </w:rPr>
        <w:t>本部门所有支出实行绩效目标管理。纳入</w:t>
      </w:r>
      <w:r>
        <w:rPr>
          <w:rFonts w:hint="eastAsia" w:ascii="仿宋" w:hAnsi="仿宋" w:eastAsia="仿宋" w:cs="仿宋"/>
          <w:bCs/>
          <w:kern w:val="0"/>
          <w:sz w:val="32"/>
          <w:szCs w:val="32"/>
          <w:highlight w:val="none"/>
          <w:lang w:val="en-US" w:eastAsia="zh-CN"/>
        </w:rPr>
        <w:t>2025年</w:t>
      </w:r>
      <w:r>
        <w:rPr>
          <w:rFonts w:hint="eastAsia" w:ascii="仿宋" w:hAnsi="仿宋" w:eastAsia="仿宋" w:cs="仿宋"/>
          <w:bCs/>
          <w:kern w:val="0"/>
          <w:sz w:val="32"/>
          <w:szCs w:val="32"/>
          <w:highlight w:val="none"/>
        </w:rPr>
        <w:t>部门整体支出绩效目标的金额为</w:t>
      </w:r>
      <w:r>
        <w:rPr>
          <w:rFonts w:hint="eastAsia" w:ascii="仿宋" w:hAnsi="仿宋" w:eastAsia="仿宋" w:cs="仿宋"/>
          <w:color w:val="auto"/>
          <w:sz w:val="32"/>
          <w:szCs w:val="32"/>
          <w:highlight w:val="none"/>
          <w:u w:val="none"/>
          <w:lang w:val="en-US" w:eastAsia="zh-CN"/>
        </w:rPr>
        <w:t>364.39</w:t>
      </w:r>
      <w:r>
        <w:rPr>
          <w:rFonts w:hint="eastAsia" w:ascii="仿宋" w:hAnsi="仿宋" w:eastAsia="仿宋" w:cs="仿宋"/>
          <w:bCs/>
          <w:kern w:val="0"/>
          <w:sz w:val="32"/>
          <w:szCs w:val="32"/>
          <w:highlight w:val="none"/>
        </w:rPr>
        <w:t>万元</w:t>
      </w:r>
      <w:r>
        <w:rPr>
          <w:rFonts w:hint="eastAsia" w:ascii="仿宋" w:hAnsi="仿宋" w:eastAsia="仿宋" w:cs="仿宋"/>
          <w:bCs/>
          <w:kern w:val="0"/>
          <w:sz w:val="32"/>
          <w:szCs w:val="32"/>
          <w:highlight w:val="none"/>
          <w:lang w:eastAsia="zh-CN"/>
        </w:rPr>
        <w:t>。</w:t>
      </w:r>
      <w:r>
        <w:rPr>
          <w:rFonts w:hint="eastAsia" w:ascii="仿宋" w:hAnsi="仿宋" w:eastAsia="仿宋" w:cs="仿宋"/>
          <w:bCs/>
          <w:kern w:val="0"/>
          <w:sz w:val="32"/>
          <w:szCs w:val="32"/>
          <w:highlight w:val="none"/>
        </w:rPr>
        <w:t>其中，基本支出</w:t>
      </w:r>
      <w:r>
        <w:rPr>
          <w:rFonts w:hint="eastAsia" w:ascii="仿宋" w:hAnsi="仿宋" w:eastAsia="仿宋" w:cs="仿宋"/>
          <w:bCs/>
          <w:color w:val="auto"/>
          <w:kern w:val="0"/>
          <w:sz w:val="32"/>
          <w:szCs w:val="32"/>
          <w:highlight w:val="none"/>
          <w:lang w:val="en-US" w:eastAsia="zh-CN"/>
        </w:rPr>
        <w:t>286.9</w:t>
      </w:r>
      <w:r>
        <w:rPr>
          <w:rFonts w:hint="eastAsia" w:ascii="仿宋" w:hAnsi="仿宋" w:eastAsia="仿宋" w:cs="仿宋"/>
          <w:bCs/>
          <w:kern w:val="0"/>
          <w:sz w:val="32"/>
          <w:szCs w:val="32"/>
          <w:highlight w:val="none"/>
        </w:rPr>
        <w:t>万元，项目支出</w:t>
      </w:r>
      <w:r>
        <w:rPr>
          <w:rFonts w:hint="eastAsia" w:ascii="仿宋" w:hAnsi="仿宋" w:eastAsia="仿宋" w:cs="仿宋"/>
          <w:bCs/>
          <w:color w:val="auto"/>
          <w:kern w:val="0"/>
          <w:sz w:val="32"/>
          <w:szCs w:val="32"/>
          <w:highlight w:val="none"/>
          <w:lang w:val="en-US" w:eastAsia="zh-CN"/>
        </w:rPr>
        <w:t>78.3</w:t>
      </w:r>
      <w:r>
        <w:rPr>
          <w:rFonts w:hint="eastAsia" w:ascii="仿宋" w:hAnsi="仿宋" w:eastAsia="仿宋" w:cs="仿宋"/>
          <w:bCs/>
          <w:kern w:val="0"/>
          <w:sz w:val="32"/>
          <w:szCs w:val="32"/>
          <w:highlight w:val="none"/>
        </w:rPr>
        <w:t>万元，具体绩效目标详见</w:t>
      </w:r>
      <w:r>
        <w:rPr>
          <w:rFonts w:hint="eastAsia" w:ascii="仿宋" w:hAnsi="仿宋" w:eastAsia="仿宋" w:cs="仿宋"/>
          <w:bCs/>
          <w:kern w:val="0"/>
          <w:sz w:val="32"/>
          <w:szCs w:val="32"/>
          <w:highlight w:val="none"/>
          <w:lang w:eastAsia="zh-CN"/>
        </w:rPr>
        <w:t>附件。</w:t>
      </w:r>
    </w:p>
    <w:p w14:paraId="0DA04A38">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102.22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22.98</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67.55</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00406073">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364.39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419.43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115.1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w:t>
      </w:r>
      <w:r>
        <w:rPr>
          <w:rFonts w:hint="default" w:ascii="仿宋" w:hAnsi="仿宋" w:eastAsia="仿宋"/>
          <w:spacing w:val="-2"/>
          <w:sz w:val="32"/>
          <w:szCs w:val="32"/>
          <w:highlight w:val="none"/>
          <w:lang w:val="en-US" w:eastAsia="zh-CN"/>
        </w:rPr>
        <w:t>稻油生产全程机械化实现新突破，综合效益显著提升</w:t>
      </w:r>
      <w:r>
        <w:rPr>
          <w:rFonts w:ascii="Times New Roman" w:hAnsi="Times New Roman" w:eastAsia="仿宋_GB2312" w:cs="Times New Roman"/>
          <w:sz w:val="32"/>
          <w:szCs w:val="32"/>
        </w:rPr>
        <w:t>；二是</w:t>
      </w:r>
      <w:r>
        <w:rPr>
          <w:rFonts w:hint="default" w:ascii="仿宋" w:hAnsi="仿宋" w:eastAsia="仿宋"/>
          <w:spacing w:val="-2"/>
          <w:sz w:val="32"/>
          <w:szCs w:val="32"/>
          <w:highlight w:val="none"/>
          <w:lang w:val="en-US" w:eastAsia="zh-CN"/>
        </w:rPr>
        <w:t>政策落地精准高效，购置补贴与“两新”工作协同发力</w:t>
      </w:r>
      <w:r>
        <w:rPr>
          <w:rFonts w:hint="eastAsia" w:ascii="仿宋" w:hAnsi="仿宋" w:eastAsia="仿宋"/>
          <w:spacing w:val="-2"/>
          <w:sz w:val="32"/>
          <w:szCs w:val="32"/>
          <w:highlight w:val="none"/>
          <w:lang w:val="en-US" w:eastAsia="zh-CN"/>
        </w:rPr>
        <w:t>；三是</w:t>
      </w:r>
      <w:r>
        <w:rPr>
          <w:rFonts w:hint="default" w:ascii="仿宋" w:hAnsi="仿宋" w:eastAsia="仿宋"/>
          <w:spacing w:val="-2"/>
          <w:sz w:val="32"/>
          <w:szCs w:val="32"/>
          <w:highlight w:val="none"/>
          <w:lang w:val="en-US" w:eastAsia="zh-CN"/>
        </w:rPr>
        <w:t>推广培训走深走实，农机化人才与技术基础不断夯实</w:t>
      </w:r>
      <w:r>
        <w:rPr>
          <w:rFonts w:ascii="Times New Roman" w:hAnsi="Times New Roman" w:eastAsia="仿宋_GB2312" w:cs="Times New Roman"/>
          <w:sz w:val="32"/>
          <w:szCs w:val="32"/>
        </w:rPr>
        <w:t>。发现的主要问题及原因：一是</w:t>
      </w:r>
      <w:r>
        <w:rPr>
          <w:rFonts w:ascii="仿宋" w:hAnsi="仿宋" w:eastAsia="仿宋" w:cs="仿宋_GB2312"/>
          <w:kern w:val="0"/>
          <w:sz w:val="32"/>
          <w:szCs w:val="32"/>
          <w:highlight w:val="none"/>
        </w:rPr>
        <w:t>预算资金</w:t>
      </w:r>
      <w:r>
        <w:rPr>
          <w:rFonts w:hint="eastAsia" w:ascii="仿宋" w:hAnsi="仿宋" w:eastAsia="仿宋" w:cs="仿宋_GB2312"/>
          <w:kern w:val="0"/>
          <w:sz w:val="32"/>
          <w:szCs w:val="32"/>
          <w:highlight w:val="none"/>
          <w:lang w:eastAsia="zh-CN"/>
        </w:rPr>
        <w:t>拨会不及时</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资金紧张，</w:t>
      </w:r>
      <w:r>
        <w:rPr>
          <w:rFonts w:ascii="仿宋" w:hAnsi="仿宋" w:eastAsia="仿宋" w:cs="仿宋_GB2312"/>
          <w:kern w:val="0"/>
          <w:sz w:val="32"/>
          <w:szCs w:val="32"/>
          <w:highlight w:val="none"/>
        </w:rPr>
        <w:t>日常公用经费不足</w:t>
      </w:r>
      <w:r>
        <w:rPr>
          <w:rFonts w:ascii="Times New Roman" w:hAnsi="Times New Roman" w:eastAsia="仿宋_GB2312" w:cs="Times New Roman"/>
          <w:sz w:val="32"/>
          <w:szCs w:val="32"/>
        </w:rPr>
        <w:t>。下一步改进措施：一是</w:t>
      </w:r>
      <w:r>
        <w:rPr>
          <w:rFonts w:ascii="仿宋" w:hAnsi="仿宋" w:eastAsia="仿宋" w:cs="仿宋_GB2312"/>
          <w:kern w:val="0"/>
          <w:sz w:val="32"/>
          <w:szCs w:val="32"/>
          <w:highlight w:val="none"/>
        </w:rPr>
        <w:t>进一步加强</w:t>
      </w:r>
      <w:r>
        <w:rPr>
          <w:rFonts w:hint="eastAsia" w:ascii="仿宋" w:hAnsi="仿宋" w:eastAsia="仿宋" w:cs="仿宋_GB2312"/>
          <w:kern w:val="0"/>
          <w:sz w:val="32"/>
          <w:szCs w:val="32"/>
          <w:highlight w:val="none"/>
          <w:lang w:eastAsia="zh-CN"/>
        </w:rPr>
        <w:t>对各单位资金规范管理和使用的指导</w:t>
      </w:r>
      <w:r>
        <w:rPr>
          <w:rFonts w:ascii="Times New Roman" w:hAnsi="Times New Roman" w:eastAsia="仿宋_GB2312" w:cs="Times New Roman"/>
          <w:sz w:val="32"/>
          <w:szCs w:val="32"/>
        </w:rPr>
        <w:t>；二是</w:t>
      </w:r>
      <w:r>
        <w:rPr>
          <w:rFonts w:hint="eastAsia" w:ascii="仿宋" w:hAnsi="仿宋" w:eastAsia="仿宋" w:cs="仿宋_GB2312"/>
          <w:kern w:val="0"/>
          <w:sz w:val="32"/>
          <w:szCs w:val="32"/>
          <w:highlight w:val="none"/>
          <w:lang w:eastAsia="zh-CN"/>
        </w:rPr>
        <w:t>更多地</w:t>
      </w:r>
      <w:r>
        <w:rPr>
          <w:rFonts w:ascii="仿宋" w:hAnsi="仿宋" w:eastAsia="仿宋" w:cs="仿宋_GB2312"/>
          <w:kern w:val="0"/>
          <w:sz w:val="32"/>
          <w:szCs w:val="32"/>
          <w:highlight w:val="none"/>
        </w:rPr>
        <w:t>开展相关的业务工作培训</w:t>
      </w:r>
      <w:r>
        <w:rPr>
          <w:rFonts w:ascii="Times New Roman" w:hAnsi="Times New Roman" w:eastAsia="仿宋_GB2312" w:cs="Times New Roman"/>
          <w:sz w:val="32"/>
          <w:szCs w:val="32"/>
        </w:rPr>
        <w:t>。</w:t>
      </w:r>
    </w:p>
    <w:p w14:paraId="35622388">
      <w:pPr>
        <w:pStyle w:val="22"/>
        <w:numPr>
          <w:ilvl w:val="0"/>
          <w:numId w:val="0"/>
        </w:numPr>
        <w:ind w:leftChars="0" w:firstLine="640" w:firstLineChars="200"/>
        <w:rPr>
          <w:rFonts w:hint="eastAsia" w:ascii="仿宋" w:hAnsi="仿宋" w:eastAsia="仿宋" w:cs="仿宋_GB2312"/>
          <w:color w:val="auto"/>
          <w:kern w:val="0"/>
          <w:sz w:val="32"/>
          <w:szCs w:val="32"/>
          <w:highlight w:val="none"/>
          <w:lang w:val="en-US" w:eastAsia="zh-CN" w:bidi="ar-SA"/>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_GB2312"/>
          <w:color w:val="auto"/>
          <w:kern w:val="0"/>
          <w:sz w:val="32"/>
          <w:szCs w:val="32"/>
          <w:highlight w:val="none"/>
          <w:lang w:val="en-US" w:eastAsia="zh-CN" w:bidi="ar-SA"/>
        </w:rPr>
        <w:t>进一步加强各项目的预算资金管理，加大对预算编制与执行的监督管理力度，提高预算资金使用效率。进一步优化绩效目标，绩效指标设立要更加科学、合理、可衡量。在设立指标时候要充分考虑指标设定的可实施性，可考核性，要尽可能的量化、细化。</w:t>
      </w:r>
    </w:p>
    <w:p w14:paraId="0406B41F">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仿宋" w:hAnsi="仿宋" w:eastAsia="仿宋" w:cs="仿宋"/>
          <w:kern w:val="0"/>
          <w:sz w:val="32"/>
          <w:szCs w:val="32"/>
          <w:highlight w:val="none"/>
          <w:lang w:val="en-US" w:eastAsia="zh-CN"/>
        </w:rPr>
      </w:pPr>
    </w:p>
    <w:p w14:paraId="1139EE95">
      <w:pPr>
        <w:pStyle w:val="15"/>
        <w:jc w:val="both"/>
        <w:rPr>
          <w:sz w:val="72"/>
          <w:szCs w:val="72"/>
        </w:rPr>
      </w:pPr>
    </w:p>
    <w:p w14:paraId="7AD306F7">
      <w:pPr>
        <w:pStyle w:val="15"/>
        <w:jc w:val="center"/>
        <w:rPr>
          <w:sz w:val="72"/>
          <w:szCs w:val="72"/>
        </w:rPr>
      </w:pPr>
    </w:p>
    <w:p w14:paraId="70A0E30B">
      <w:pPr>
        <w:pStyle w:val="15"/>
        <w:jc w:val="center"/>
        <w:rPr>
          <w:sz w:val="72"/>
          <w:szCs w:val="72"/>
        </w:rPr>
      </w:pPr>
    </w:p>
    <w:p w14:paraId="008D1166">
      <w:pPr>
        <w:pStyle w:val="15"/>
        <w:jc w:val="center"/>
        <w:rPr>
          <w:sz w:val="72"/>
          <w:szCs w:val="72"/>
        </w:rPr>
      </w:pPr>
    </w:p>
    <w:p w14:paraId="38844826">
      <w:pPr>
        <w:pStyle w:val="15"/>
        <w:jc w:val="center"/>
        <w:rPr>
          <w:sz w:val="72"/>
          <w:szCs w:val="72"/>
        </w:rPr>
      </w:pPr>
    </w:p>
    <w:p w14:paraId="568F55DD">
      <w:pPr>
        <w:pStyle w:val="15"/>
        <w:jc w:val="both"/>
        <w:rPr>
          <w:rFonts w:hint="eastAsia" w:ascii="方正小标宋_GBK" w:hAnsi="方正小标宋_GBK" w:eastAsia="方正小标宋_GBK" w:cs="方正小标宋_GBK"/>
          <w:sz w:val="72"/>
          <w:szCs w:val="72"/>
        </w:rPr>
      </w:pPr>
    </w:p>
    <w:p w14:paraId="6BA531E0">
      <w:pPr>
        <w:pStyle w:val="15"/>
        <w:jc w:val="center"/>
        <w:rPr>
          <w:rFonts w:hint="eastAsia" w:ascii="方正小标宋_GBK" w:hAnsi="方正小标宋_GBK" w:eastAsia="方正小标宋_GBK" w:cs="方正小标宋_GBK"/>
          <w:sz w:val="72"/>
          <w:szCs w:val="72"/>
        </w:rPr>
      </w:pPr>
    </w:p>
    <w:p w14:paraId="5726C9D0">
      <w:pPr>
        <w:pStyle w:val="15"/>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第四部分</w:t>
      </w:r>
      <w:r>
        <w:rPr>
          <w:rFonts w:hint="eastAsia" w:ascii="Times New Roman" w:hAnsi="Times New Roman" w:eastAsia="方正小标宋_GBK" w:cs="Times New Roman"/>
          <w:sz w:val="52"/>
          <w:szCs w:val="52"/>
          <w:lang w:val="en-US" w:eastAsia="zh-CN"/>
        </w:rPr>
        <w:t xml:space="preserve">   </w:t>
      </w:r>
      <w:r>
        <w:rPr>
          <w:rFonts w:hint="eastAsia" w:ascii="Times New Roman" w:hAnsi="Times New Roman" w:eastAsia="方正小标宋_GBK" w:cs="Times New Roman"/>
          <w:sz w:val="52"/>
          <w:szCs w:val="52"/>
        </w:rPr>
        <w:t>名词解释</w:t>
      </w:r>
    </w:p>
    <w:p w14:paraId="72F4E243">
      <w:pPr>
        <w:pStyle w:val="15"/>
        <w:spacing w:line="360" w:lineRule="auto"/>
        <w:jc w:val="center"/>
        <w:rPr>
          <w:rFonts w:ascii="Times New Roman" w:hAnsi="Times New Roman" w:eastAsia="方正小标宋_GBK" w:cs="Times New Roman"/>
          <w:sz w:val="52"/>
          <w:szCs w:val="52"/>
        </w:rPr>
      </w:pPr>
    </w:p>
    <w:p w14:paraId="684EED4F">
      <w:pPr>
        <w:pStyle w:val="10"/>
        <w:widowControl/>
        <w:spacing w:beforeAutospacing="0" w:afterAutospacing="0" w:line="560" w:lineRule="exact"/>
        <w:ind w:firstLine="640"/>
        <w:jc w:val="both"/>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7462A51B">
      <w:pPr>
        <w:pStyle w:val="10"/>
        <w:widowControl/>
        <w:spacing w:beforeAutospacing="0" w:afterAutospacing="0" w:line="560" w:lineRule="exact"/>
        <w:ind w:firstLine="640"/>
        <w:jc w:val="both"/>
        <w:rPr>
          <w:sz w:val="72"/>
          <w:szCs w:val="72"/>
        </w:rPr>
      </w:pPr>
      <w:r>
        <w:rPr>
          <w:rFonts w:hint="eastAsia" w:ascii="Times New Roman" w:hAnsi="Times New Roman" w:eastAsia="仿宋_GB2312" w:cs="黑体"/>
          <w:color w:val="000000"/>
          <w:kern w:val="0"/>
          <w:sz w:val="32"/>
          <w:szCs w:val="32"/>
          <w:lang w:val="en-US" w:eastAsia="zh-CN" w:bidi="ar-SA"/>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DAB7F70">
      <w:pPr>
        <w:pStyle w:val="15"/>
        <w:jc w:val="center"/>
        <w:rPr>
          <w:sz w:val="72"/>
          <w:szCs w:val="72"/>
        </w:rPr>
      </w:pPr>
    </w:p>
    <w:p w14:paraId="29FCE071">
      <w:pPr>
        <w:pStyle w:val="15"/>
        <w:jc w:val="center"/>
        <w:rPr>
          <w:sz w:val="72"/>
          <w:szCs w:val="72"/>
        </w:rPr>
      </w:pPr>
    </w:p>
    <w:p w14:paraId="3D50392F">
      <w:pPr>
        <w:pStyle w:val="15"/>
        <w:jc w:val="center"/>
        <w:rPr>
          <w:sz w:val="72"/>
          <w:szCs w:val="72"/>
        </w:rPr>
      </w:pPr>
    </w:p>
    <w:p w14:paraId="5476E906">
      <w:pPr>
        <w:pStyle w:val="15"/>
        <w:jc w:val="center"/>
        <w:rPr>
          <w:sz w:val="72"/>
          <w:szCs w:val="72"/>
        </w:rPr>
      </w:pPr>
    </w:p>
    <w:p w14:paraId="07EC1E33">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w:t>
      </w:r>
      <w:r>
        <w:rPr>
          <w:rFonts w:hint="eastAsia" w:ascii="Times New Roman" w:hAnsi="Times New Roman" w:eastAsia="方正小标宋_GBK" w:cs="Times New Roman"/>
          <w:sz w:val="52"/>
          <w:szCs w:val="52"/>
          <w:lang w:val="en-US" w:eastAsia="zh-CN"/>
        </w:rPr>
        <w:t xml:space="preserve">   </w:t>
      </w:r>
      <w:r>
        <w:rPr>
          <w:rFonts w:ascii="Times New Roman" w:hAnsi="Times New Roman" w:eastAsia="方正小标宋_GBK" w:cs="Times New Roman"/>
          <w:sz w:val="52"/>
          <w:szCs w:val="52"/>
        </w:rPr>
        <w:t>附 件</w:t>
      </w:r>
    </w:p>
    <w:p w14:paraId="6C1EC7E0">
      <w:pPr>
        <w:rPr>
          <w:rFonts w:ascii="Times New Roman" w:hAnsi="Times New Roman" w:cs="Times New Roman"/>
          <w:sz w:val="72"/>
          <w:szCs w:val="72"/>
        </w:rPr>
      </w:pPr>
    </w:p>
    <w:p w14:paraId="7463B4C0">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市农机事务中心</w:t>
      </w:r>
      <w:r>
        <w:rPr>
          <w:rFonts w:ascii="Times New Roman" w:hAnsi="Times New Roman" w:eastAsia="仿宋_GB2312" w:cs="Times New Roman"/>
          <w:sz w:val="32"/>
          <w:szCs w:val="32"/>
        </w:rPr>
        <w:t>整体支出绩效自评报告。</w:t>
      </w:r>
    </w:p>
    <w:p w14:paraId="4655CB85">
      <w:pPr>
        <w:pStyle w:val="15"/>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二、</w:t>
      </w:r>
      <w:r>
        <w:rPr>
          <w:rFonts w:hint="eastAsia" w:ascii="Times New Roman" w:hAnsi="Times New Roman" w:eastAsia="仿宋_GB2312" w:cs="Times New Roman"/>
          <w:sz w:val="32"/>
          <w:szCs w:val="32"/>
          <w:lang w:val="en-US" w:eastAsia="zh-CN"/>
        </w:rPr>
        <w:t>2025年度</w:t>
      </w:r>
      <w:r>
        <w:rPr>
          <w:rFonts w:hint="eastAsia" w:ascii="Times New Roman" w:hAnsi="Times New Roman" w:eastAsia="仿宋_GB2312" w:cs="Times New Roman"/>
          <w:sz w:val="32"/>
          <w:szCs w:val="32"/>
          <w:lang w:eastAsia="zh-CN"/>
        </w:rPr>
        <w:t>市农机事务中心</w:t>
      </w:r>
      <w:r>
        <w:rPr>
          <w:rFonts w:hint="eastAsia" w:ascii="Times New Roman" w:hAnsi="Times New Roman" w:eastAsia="仿宋_GB2312" w:cs="Times New Roman"/>
          <w:sz w:val="32"/>
          <w:szCs w:val="32"/>
          <w:lang w:val="en-US" w:eastAsia="zh-CN"/>
        </w:rPr>
        <w:t>项目支出自评报告</w:t>
      </w:r>
    </w:p>
    <w:p w14:paraId="42448758">
      <w:pPr>
        <w:pStyle w:val="15"/>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三、</w:t>
      </w:r>
      <w:r>
        <w:rPr>
          <w:rFonts w:hint="eastAsia" w:ascii="Times New Roman" w:hAnsi="Times New Roman" w:eastAsia="仿宋_GB2312" w:cs="Times New Roman"/>
          <w:sz w:val="32"/>
          <w:szCs w:val="32"/>
          <w:lang w:val="en-US" w:eastAsia="zh-CN"/>
        </w:rPr>
        <w:t>2025年度</w:t>
      </w:r>
      <w:r>
        <w:rPr>
          <w:rFonts w:hint="eastAsia" w:ascii="Times New Roman" w:hAnsi="Times New Roman" w:eastAsia="仿宋_GB2312" w:cs="Times New Roman"/>
          <w:sz w:val="32"/>
          <w:szCs w:val="32"/>
          <w:lang w:eastAsia="zh-CN"/>
        </w:rPr>
        <w:t>市农机事务中心</w:t>
      </w:r>
      <w:r>
        <w:rPr>
          <w:rFonts w:hint="eastAsia" w:ascii="Times New Roman" w:hAnsi="Times New Roman" w:eastAsia="仿宋_GB2312" w:cs="Times New Roman"/>
          <w:sz w:val="32"/>
          <w:szCs w:val="32"/>
          <w:lang w:val="en-US" w:eastAsia="zh-CN"/>
        </w:rPr>
        <w:t>决算公开表</w:t>
      </w:r>
    </w:p>
    <w:p w14:paraId="69E3E7F6">
      <w:pPr>
        <w:pStyle w:val="15"/>
        <w:spacing w:line="600" w:lineRule="exact"/>
        <w:ind w:firstLine="640" w:firstLineChars="200"/>
        <w:rPr>
          <w:rFonts w:ascii="Times New Roman" w:hAnsi="Times New Roman" w:eastAsia="仿宋_GB2312" w:cs="Times New Roman"/>
          <w:sz w:val="32"/>
          <w:szCs w:val="32"/>
        </w:rPr>
      </w:pPr>
    </w:p>
    <w:p w14:paraId="132BA016">
      <w:pPr>
        <w:pStyle w:val="15"/>
        <w:jc w:val="center"/>
        <w:rPr>
          <w:sz w:val="72"/>
          <w:szCs w:val="72"/>
        </w:rPr>
      </w:pPr>
    </w:p>
    <w:p w14:paraId="6A6CBF3A">
      <w:pPr>
        <w:pStyle w:val="15"/>
        <w:jc w:val="center"/>
        <w:rPr>
          <w:sz w:val="72"/>
          <w:szCs w:val="72"/>
        </w:rPr>
      </w:pPr>
    </w:p>
    <w:p w14:paraId="1D74D80C">
      <w:pPr>
        <w:pStyle w:val="15"/>
        <w:jc w:val="center"/>
        <w:rPr>
          <w:sz w:val="72"/>
          <w:szCs w:val="72"/>
        </w:rPr>
      </w:pPr>
    </w:p>
    <w:p w14:paraId="0B29B3AC">
      <w:pPr>
        <w:pStyle w:val="15"/>
        <w:jc w:val="center"/>
        <w:rPr>
          <w:sz w:val="72"/>
          <w:szCs w:val="72"/>
        </w:rPr>
      </w:pPr>
    </w:p>
    <w:p w14:paraId="456BCB91">
      <w:pPr>
        <w:pStyle w:val="15"/>
        <w:jc w:val="center"/>
        <w:rPr>
          <w:sz w:val="72"/>
          <w:szCs w:val="72"/>
        </w:rPr>
      </w:pPr>
    </w:p>
    <w:p w14:paraId="2ED36AD3">
      <w:pPr>
        <w:pStyle w:val="15"/>
        <w:jc w:val="center"/>
        <w:rPr>
          <w:sz w:val="72"/>
          <w:szCs w:val="72"/>
        </w:rPr>
      </w:pPr>
    </w:p>
    <w:p w14:paraId="61FA1AB8">
      <w:pPr>
        <w:pStyle w:val="15"/>
        <w:jc w:val="center"/>
        <w:rPr>
          <w:sz w:val="72"/>
          <w:szCs w:val="72"/>
        </w:rPr>
      </w:pPr>
    </w:p>
    <w:p w14:paraId="2D3B7477">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5D1505"/>
    <w:multiLevelType w:val="singleLevel"/>
    <w:tmpl w:val="C75D1505"/>
    <w:lvl w:ilvl="0" w:tentative="0">
      <w:start w:val="9"/>
      <w:numFmt w:val="chineseCounting"/>
      <w:suff w:val="nothing"/>
      <w:lvlText w:val="%1、"/>
      <w:lvlJc w:val="left"/>
      <w:rPr>
        <w:rFonts w:hint="eastAsia"/>
      </w:rPr>
    </w:lvl>
  </w:abstractNum>
  <w:abstractNum w:abstractNumId="1">
    <w:nsid w:val="C8A817DB"/>
    <w:multiLevelType w:val="singleLevel"/>
    <w:tmpl w:val="C8A817DB"/>
    <w:lvl w:ilvl="0" w:tentative="0">
      <w:start w:val="7"/>
      <w:numFmt w:val="chineseCounting"/>
      <w:suff w:val="nothing"/>
      <w:lvlText w:val="%1、"/>
      <w:lvlJc w:val="left"/>
      <w:rPr>
        <w:rFonts w:hint="eastAsia"/>
      </w:rPr>
    </w:lvl>
  </w:abstractNum>
  <w:abstractNum w:abstractNumId="2">
    <w:nsid w:val="2436F61B"/>
    <w:multiLevelType w:val="singleLevel"/>
    <w:tmpl w:val="2436F61B"/>
    <w:lvl w:ilvl="0" w:tentative="0">
      <w:start w:val="4"/>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yZDMwYzM5N2IyOGI3NzY4YzgzMmMwYTFlYWU1ODk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8274C"/>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4E4A8D"/>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0C0502"/>
    <w:rsid w:val="01172A03"/>
    <w:rsid w:val="01437C9C"/>
    <w:rsid w:val="01487061"/>
    <w:rsid w:val="0200793B"/>
    <w:rsid w:val="020411DA"/>
    <w:rsid w:val="02713380"/>
    <w:rsid w:val="02EB774C"/>
    <w:rsid w:val="033A0C2B"/>
    <w:rsid w:val="037E320E"/>
    <w:rsid w:val="038A1BB2"/>
    <w:rsid w:val="03DE5572"/>
    <w:rsid w:val="04695C6C"/>
    <w:rsid w:val="047F7D50"/>
    <w:rsid w:val="048209F9"/>
    <w:rsid w:val="053B7608"/>
    <w:rsid w:val="054E09BE"/>
    <w:rsid w:val="05EE2D38"/>
    <w:rsid w:val="05EE467B"/>
    <w:rsid w:val="07140111"/>
    <w:rsid w:val="072262F7"/>
    <w:rsid w:val="072639A0"/>
    <w:rsid w:val="079C0106"/>
    <w:rsid w:val="08534C69"/>
    <w:rsid w:val="085F1E9C"/>
    <w:rsid w:val="08A11962"/>
    <w:rsid w:val="08C276F9"/>
    <w:rsid w:val="092B34F0"/>
    <w:rsid w:val="0A0A30D1"/>
    <w:rsid w:val="0A187F18"/>
    <w:rsid w:val="0A486323"/>
    <w:rsid w:val="0A4C1970"/>
    <w:rsid w:val="0AFC3057"/>
    <w:rsid w:val="0B136931"/>
    <w:rsid w:val="0B1C1D90"/>
    <w:rsid w:val="0B552993"/>
    <w:rsid w:val="0B7F5D75"/>
    <w:rsid w:val="0C655ADA"/>
    <w:rsid w:val="0CA830A9"/>
    <w:rsid w:val="0CBF0B1F"/>
    <w:rsid w:val="0CD65E68"/>
    <w:rsid w:val="0CEA5470"/>
    <w:rsid w:val="0D2A1D10"/>
    <w:rsid w:val="0D2E35AF"/>
    <w:rsid w:val="0E107158"/>
    <w:rsid w:val="0E370B89"/>
    <w:rsid w:val="0E8042DE"/>
    <w:rsid w:val="0ED921A4"/>
    <w:rsid w:val="0F1B7B63"/>
    <w:rsid w:val="0F865924"/>
    <w:rsid w:val="0FA22032"/>
    <w:rsid w:val="0FED59A3"/>
    <w:rsid w:val="10613C9B"/>
    <w:rsid w:val="108A1444"/>
    <w:rsid w:val="10AF25B9"/>
    <w:rsid w:val="10B842E3"/>
    <w:rsid w:val="10FD7E68"/>
    <w:rsid w:val="112A0531"/>
    <w:rsid w:val="118E6D12"/>
    <w:rsid w:val="11AA294B"/>
    <w:rsid w:val="126161D4"/>
    <w:rsid w:val="127E1F7E"/>
    <w:rsid w:val="12A85BB1"/>
    <w:rsid w:val="12BA0FFE"/>
    <w:rsid w:val="12DE5A77"/>
    <w:rsid w:val="13051255"/>
    <w:rsid w:val="136917E4"/>
    <w:rsid w:val="137B32C6"/>
    <w:rsid w:val="139E0D62"/>
    <w:rsid w:val="13CE7A81"/>
    <w:rsid w:val="14092680"/>
    <w:rsid w:val="14302302"/>
    <w:rsid w:val="14A423A8"/>
    <w:rsid w:val="14D0319D"/>
    <w:rsid w:val="15227E9D"/>
    <w:rsid w:val="15C9656A"/>
    <w:rsid w:val="16930926"/>
    <w:rsid w:val="170B4961"/>
    <w:rsid w:val="17474C67"/>
    <w:rsid w:val="17FE0021"/>
    <w:rsid w:val="18550589"/>
    <w:rsid w:val="18736C61"/>
    <w:rsid w:val="187A1D9E"/>
    <w:rsid w:val="1881312C"/>
    <w:rsid w:val="18A64941"/>
    <w:rsid w:val="18CA54A8"/>
    <w:rsid w:val="18E831AB"/>
    <w:rsid w:val="18F733EE"/>
    <w:rsid w:val="192166BD"/>
    <w:rsid w:val="193C34F7"/>
    <w:rsid w:val="195C76F5"/>
    <w:rsid w:val="196A4BF8"/>
    <w:rsid w:val="1A622AE9"/>
    <w:rsid w:val="1A89451A"/>
    <w:rsid w:val="1AA876F3"/>
    <w:rsid w:val="1AD5775F"/>
    <w:rsid w:val="1AF75928"/>
    <w:rsid w:val="1B137D7D"/>
    <w:rsid w:val="1B723200"/>
    <w:rsid w:val="1B7A3E63"/>
    <w:rsid w:val="1B8076CB"/>
    <w:rsid w:val="1B9B2757"/>
    <w:rsid w:val="1BA62EAA"/>
    <w:rsid w:val="1BF754B3"/>
    <w:rsid w:val="1C112A19"/>
    <w:rsid w:val="1C60574F"/>
    <w:rsid w:val="1C672639"/>
    <w:rsid w:val="1CCB0E1A"/>
    <w:rsid w:val="1D1D719C"/>
    <w:rsid w:val="1D444728"/>
    <w:rsid w:val="1D822EC2"/>
    <w:rsid w:val="1D840FC9"/>
    <w:rsid w:val="1DA022A7"/>
    <w:rsid w:val="1DB775F0"/>
    <w:rsid w:val="1E195BB5"/>
    <w:rsid w:val="1E3173A3"/>
    <w:rsid w:val="1E8F7C25"/>
    <w:rsid w:val="1EBD4792"/>
    <w:rsid w:val="1EF36406"/>
    <w:rsid w:val="1F2E743E"/>
    <w:rsid w:val="1F777037"/>
    <w:rsid w:val="1F83778A"/>
    <w:rsid w:val="20232D1B"/>
    <w:rsid w:val="20344F28"/>
    <w:rsid w:val="20C22534"/>
    <w:rsid w:val="20E56222"/>
    <w:rsid w:val="20F841A8"/>
    <w:rsid w:val="212C3971"/>
    <w:rsid w:val="21584C46"/>
    <w:rsid w:val="21C84F6A"/>
    <w:rsid w:val="21D50045"/>
    <w:rsid w:val="22032E04"/>
    <w:rsid w:val="22042D93"/>
    <w:rsid w:val="221A4197"/>
    <w:rsid w:val="221E19EC"/>
    <w:rsid w:val="2221772E"/>
    <w:rsid w:val="224D22D1"/>
    <w:rsid w:val="22685BB9"/>
    <w:rsid w:val="2335523F"/>
    <w:rsid w:val="23706E5E"/>
    <w:rsid w:val="23977CA8"/>
    <w:rsid w:val="23AD74CB"/>
    <w:rsid w:val="23D42CAA"/>
    <w:rsid w:val="23D5432C"/>
    <w:rsid w:val="23FF75FB"/>
    <w:rsid w:val="240115C5"/>
    <w:rsid w:val="249064A5"/>
    <w:rsid w:val="249C309C"/>
    <w:rsid w:val="25551BC9"/>
    <w:rsid w:val="259C77F7"/>
    <w:rsid w:val="25BD32CA"/>
    <w:rsid w:val="2657371E"/>
    <w:rsid w:val="26647BE9"/>
    <w:rsid w:val="269C05C1"/>
    <w:rsid w:val="26D62895"/>
    <w:rsid w:val="26EA27E4"/>
    <w:rsid w:val="271B45A5"/>
    <w:rsid w:val="27247AA4"/>
    <w:rsid w:val="274E68CF"/>
    <w:rsid w:val="276F2012"/>
    <w:rsid w:val="279462AC"/>
    <w:rsid w:val="27FB6C3E"/>
    <w:rsid w:val="28327F9F"/>
    <w:rsid w:val="28732366"/>
    <w:rsid w:val="289360AA"/>
    <w:rsid w:val="28AC40B4"/>
    <w:rsid w:val="28C12636"/>
    <w:rsid w:val="292C0E92"/>
    <w:rsid w:val="29341AF5"/>
    <w:rsid w:val="29477A7A"/>
    <w:rsid w:val="29542197"/>
    <w:rsid w:val="29C76E0D"/>
    <w:rsid w:val="29C94933"/>
    <w:rsid w:val="29E4351B"/>
    <w:rsid w:val="29EA6657"/>
    <w:rsid w:val="29EC7EA3"/>
    <w:rsid w:val="2A1A6F3D"/>
    <w:rsid w:val="2A7F3244"/>
    <w:rsid w:val="2B011EAB"/>
    <w:rsid w:val="2B33475A"/>
    <w:rsid w:val="2B6A7325"/>
    <w:rsid w:val="2BE47802"/>
    <w:rsid w:val="2C0C6D59"/>
    <w:rsid w:val="2C5C383D"/>
    <w:rsid w:val="2CD72E09"/>
    <w:rsid w:val="2D0F08AF"/>
    <w:rsid w:val="2D2732B6"/>
    <w:rsid w:val="2D7B7A2C"/>
    <w:rsid w:val="2E3D58F0"/>
    <w:rsid w:val="2E456552"/>
    <w:rsid w:val="2E644C2A"/>
    <w:rsid w:val="2E7806D6"/>
    <w:rsid w:val="2E9D638E"/>
    <w:rsid w:val="2EDC6EB7"/>
    <w:rsid w:val="2F032695"/>
    <w:rsid w:val="2F0B32F8"/>
    <w:rsid w:val="2F4131BE"/>
    <w:rsid w:val="2F7E6F8E"/>
    <w:rsid w:val="2FB219C5"/>
    <w:rsid w:val="304F36B8"/>
    <w:rsid w:val="308570DA"/>
    <w:rsid w:val="308725A7"/>
    <w:rsid w:val="30F5430D"/>
    <w:rsid w:val="31271F3F"/>
    <w:rsid w:val="31327262"/>
    <w:rsid w:val="31A16195"/>
    <w:rsid w:val="31C81974"/>
    <w:rsid w:val="31FC517A"/>
    <w:rsid w:val="32036508"/>
    <w:rsid w:val="32872F28"/>
    <w:rsid w:val="32C24615"/>
    <w:rsid w:val="32FC18D5"/>
    <w:rsid w:val="334D0383"/>
    <w:rsid w:val="335E5604"/>
    <w:rsid w:val="33955886"/>
    <w:rsid w:val="33C3797D"/>
    <w:rsid w:val="345474EF"/>
    <w:rsid w:val="347B2CCE"/>
    <w:rsid w:val="34EE524E"/>
    <w:rsid w:val="35F66AB0"/>
    <w:rsid w:val="366F0610"/>
    <w:rsid w:val="367B0D63"/>
    <w:rsid w:val="36A91D74"/>
    <w:rsid w:val="36B3674F"/>
    <w:rsid w:val="36C7375D"/>
    <w:rsid w:val="37060F75"/>
    <w:rsid w:val="376E08C8"/>
    <w:rsid w:val="3795328A"/>
    <w:rsid w:val="382C4A0B"/>
    <w:rsid w:val="383C09C6"/>
    <w:rsid w:val="384C6E5B"/>
    <w:rsid w:val="386121DB"/>
    <w:rsid w:val="3881462B"/>
    <w:rsid w:val="39427C73"/>
    <w:rsid w:val="39551D3F"/>
    <w:rsid w:val="3A0E06F6"/>
    <w:rsid w:val="3A23599A"/>
    <w:rsid w:val="3A5F274A"/>
    <w:rsid w:val="3AC84793"/>
    <w:rsid w:val="3AD76784"/>
    <w:rsid w:val="3C08753D"/>
    <w:rsid w:val="3C406CD7"/>
    <w:rsid w:val="3C463BC1"/>
    <w:rsid w:val="3C4E0CC8"/>
    <w:rsid w:val="3C6127A9"/>
    <w:rsid w:val="3C6D55F2"/>
    <w:rsid w:val="3C8A7F52"/>
    <w:rsid w:val="3C964B49"/>
    <w:rsid w:val="3CD76F0F"/>
    <w:rsid w:val="3DEB0EC4"/>
    <w:rsid w:val="3E0755D2"/>
    <w:rsid w:val="3E3E7246"/>
    <w:rsid w:val="3E9C5D1B"/>
    <w:rsid w:val="3EB92D70"/>
    <w:rsid w:val="3EF20030"/>
    <w:rsid w:val="3EF45B57"/>
    <w:rsid w:val="3F12422F"/>
    <w:rsid w:val="3F1D3ECA"/>
    <w:rsid w:val="3F544847"/>
    <w:rsid w:val="3F76656C"/>
    <w:rsid w:val="3F830C89"/>
    <w:rsid w:val="3F980BD8"/>
    <w:rsid w:val="3FCC262F"/>
    <w:rsid w:val="40063D93"/>
    <w:rsid w:val="4024421A"/>
    <w:rsid w:val="404C551E"/>
    <w:rsid w:val="40925627"/>
    <w:rsid w:val="40F41E3E"/>
    <w:rsid w:val="414E5376"/>
    <w:rsid w:val="41AC096A"/>
    <w:rsid w:val="42360234"/>
    <w:rsid w:val="42364826"/>
    <w:rsid w:val="42507548"/>
    <w:rsid w:val="42537038"/>
    <w:rsid w:val="42E63A08"/>
    <w:rsid w:val="43770B04"/>
    <w:rsid w:val="4437477D"/>
    <w:rsid w:val="447F2366"/>
    <w:rsid w:val="44B00772"/>
    <w:rsid w:val="44F85796"/>
    <w:rsid w:val="452B429C"/>
    <w:rsid w:val="455E024A"/>
    <w:rsid w:val="45A858ED"/>
    <w:rsid w:val="45F62EFD"/>
    <w:rsid w:val="45FB3C6E"/>
    <w:rsid w:val="45FB77CB"/>
    <w:rsid w:val="460348D1"/>
    <w:rsid w:val="465515D1"/>
    <w:rsid w:val="47024B89"/>
    <w:rsid w:val="471E5E67"/>
    <w:rsid w:val="472971C6"/>
    <w:rsid w:val="47A65E5C"/>
    <w:rsid w:val="47B40579"/>
    <w:rsid w:val="47B57E4D"/>
    <w:rsid w:val="47C02A7A"/>
    <w:rsid w:val="47DE55F6"/>
    <w:rsid w:val="47FF02E4"/>
    <w:rsid w:val="48855A71"/>
    <w:rsid w:val="48C52312"/>
    <w:rsid w:val="48DA7B6B"/>
    <w:rsid w:val="493523EC"/>
    <w:rsid w:val="49521DF7"/>
    <w:rsid w:val="49DE7B2F"/>
    <w:rsid w:val="4A001853"/>
    <w:rsid w:val="4A0A4480"/>
    <w:rsid w:val="4A834233"/>
    <w:rsid w:val="4AC72371"/>
    <w:rsid w:val="4B217CD3"/>
    <w:rsid w:val="4B296B88"/>
    <w:rsid w:val="4B6D2F19"/>
    <w:rsid w:val="4BD42F98"/>
    <w:rsid w:val="4C213D03"/>
    <w:rsid w:val="4C2A2BB8"/>
    <w:rsid w:val="4C2F4672"/>
    <w:rsid w:val="4C607846"/>
    <w:rsid w:val="4C821378"/>
    <w:rsid w:val="4C9D5A7F"/>
    <w:rsid w:val="4CB42DC9"/>
    <w:rsid w:val="4D27359B"/>
    <w:rsid w:val="4DF3347D"/>
    <w:rsid w:val="4E434405"/>
    <w:rsid w:val="4E451F2B"/>
    <w:rsid w:val="4E637DE8"/>
    <w:rsid w:val="4E962786"/>
    <w:rsid w:val="4EFB083B"/>
    <w:rsid w:val="4F027E1C"/>
    <w:rsid w:val="4F204746"/>
    <w:rsid w:val="4F2B31A4"/>
    <w:rsid w:val="4F2C4E99"/>
    <w:rsid w:val="501778F7"/>
    <w:rsid w:val="50563D1F"/>
    <w:rsid w:val="508605D9"/>
    <w:rsid w:val="508A631B"/>
    <w:rsid w:val="51204589"/>
    <w:rsid w:val="518A40F8"/>
    <w:rsid w:val="519F4057"/>
    <w:rsid w:val="51B11329"/>
    <w:rsid w:val="51B318A1"/>
    <w:rsid w:val="51B80C66"/>
    <w:rsid w:val="51D76030"/>
    <w:rsid w:val="51FB0B52"/>
    <w:rsid w:val="525E35BB"/>
    <w:rsid w:val="52DC0984"/>
    <w:rsid w:val="52E94739"/>
    <w:rsid w:val="531B14AC"/>
    <w:rsid w:val="53227B0E"/>
    <w:rsid w:val="534065EA"/>
    <w:rsid w:val="535350EA"/>
    <w:rsid w:val="540C5299"/>
    <w:rsid w:val="544140E5"/>
    <w:rsid w:val="549E05E7"/>
    <w:rsid w:val="54B26758"/>
    <w:rsid w:val="54FC70BB"/>
    <w:rsid w:val="552F7491"/>
    <w:rsid w:val="55570796"/>
    <w:rsid w:val="556C4241"/>
    <w:rsid w:val="55794BB0"/>
    <w:rsid w:val="558D41B7"/>
    <w:rsid w:val="55A21A11"/>
    <w:rsid w:val="55D63DB0"/>
    <w:rsid w:val="55E62245"/>
    <w:rsid w:val="55E93AE3"/>
    <w:rsid w:val="55F44A25"/>
    <w:rsid w:val="55F552E0"/>
    <w:rsid w:val="560A5808"/>
    <w:rsid w:val="5621502B"/>
    <w:rsid w:val="562C577E"/>
    <w:rsid w:val="566D6A2E"/>
    <w:rsid w:val="56A56EFC"/>
    <w:rsid w:val="56CB4F97"/>
    <w:rsid w:val="56EB388B"/>
    <w:rsid w:val="57032368"/>
    <w:rsid w:val="57623B4D"/>
    <w:rsid w:val="57711FE2"/>
    <w:rsid w:val="5777D4F5"/>
    <w:rsid w:val="57AF48B9"/>
    <w:rsid w:val="57E20BA8"/>
    <w:rsid w:val="57FD3876"/>
    <w:rsid w:val="58445001"/>
    <w:rsid w:val="586B4C84"/>
    <w:rsid w:val="587C29ED"/>
    <w:rsid w:val="58B8154B"/>
    <w:rsid w:val="58CC5F8E"/>
    <w:rsid w:val="58D2260D"/>
    <w:rsid w:val="58FE1654"/>
    <w:rsid w:val="590E560F"/>
    <w:rsid w:val="592D3CE7"/>
    <w:rsid w:val="59617E35"/>
    <w:rsid w:val="5A601E9A"/>
    <w:rsid w:val="5A8B33BB"/>
    <w:rsid w:val="5A9164F8"/>
    <w:rsid w:val="5BCC5A39"/>
    <w:rsid w:val="5BD13050"/>
    <w:rsid w:val="5C1D0043"/>
    <w:rsid w:val="5C2E2250"/>
    <w:rsid w:val="5C5E1454"/>
    <w:rsid w:val="5C78171D"/>
    <w:rsid w:val="5C7D3CE6"/>
    <w:rsid w:val="5C9D1184"/>
    <w:rsid w:val="5D017965"/>
    <w:rsid w:val="5D042FB1"/>
    <w:rsid w:val="5D1A4582"/>
    <w:rsid w:val="5D215911"/>
    <w:rsid w:val="5D35760E"/>
    <w:rsid w:val="5D683540"/>
    <w:rsid w:val="5D877D74"/>
    <w:rsid w:val="5DA6050C"/>
    <w:rsid w:val="5DD230AF"/>
    <w:rsid w:val="5DE60909"/>
    <w:rsid w:val="5E286051"/>
    <w:rsid w:val="5E2E7EC9"/>
    <w:rsid w:val="5E3369FE"/>
    <w:rsid w:val="5E5A7849"/>
    <w:rsid w:val="5E60690D"/>
    <w:rsid w:val="5E9071F2"/>
    <w:rsid w:val="5F5A7F63"/>
    <w:rsid w:val="5F993E84"/>
    <w:rsid w:val="5FA97E40"/>
    <w:rsid w:val="5FAB3BB8"/>
    <w:rsid w:val="5FB76A00"/>
    <w:rsid w:val="5FC6BB1E"/>
    <w:rsid w:val="5FDF3861"/>
    <w:rsid w:val="5FF720F1"/>
    <w:rsid w:val="600339F4"/>
    <w:rsid w:val="60730CA5"/>
    <w:rsid w:val="608F34D9"/>
    <w:rsid w:val="61354081"/>
    <w:rsid w:val="61475B62"/>
    <w:rsid w:val="61695AD8"/>
    <w:rsid w:val="623954AB"/>
    <w:rsid w:val="62546789"/>
    <w:rsid w:val="62B80AC5"/>
    <w:rsid w:val="62C70D09"/>
    <w:rsid w:val="62C751AC"/>
    <w:rsid w:val="62E80C7F"/>
    <w:rsid w:val="633345F0"/>
    <w:rsid w:val="63780255"/>
    <w:rsid w:val="639D7CBB"/>
    <w:rsid w:val="63D86F45"/>
    <w:rsid w:val="640B21AC"/>
    <w:rsid w:val="64191A38"/>
    <w:rsid w:val="642F3009"/>
    <w:rsid w:val="64835103"/>
    <w:rsid w:val="648D7D30"/>
    <w:rsid w:val="64B26C23"/>
    <w:rsid w:val="64CF659A"/>
    <w:rsid w:val="65F056C5"/>
    <w:rsid w:val="666A657B"/>
    <w:rsid w:val="676C54B6"/>
    <w:rsid w:val="67A71109"/>
    <w:rsid w:val="67B33F51"/>
    <w:rsid w:val="67FD341E"/>
    <w:rsid w:val="67FF0F45"/>
    <w:rsid w:val="68242759"/>
    <w:rsid w:val="684576B7"/>
    <w:rsid w:val="68C53F3C"/>
    <w:rsid w:val="68D777CC"/>
    <w:rsid w:val="69562DE6"/>
    <w:rsid w:val="69790883"/>
    <w:rsid w:val="69821E2D"/>
    <w:rsid w:val="69931944"/>
    <w:rsid w:val="699B4C9D"/>
    <w:rsid w:val="69A26F6D"/>
    <w:rsid w:val="6A445335"/>
    <w:rsid w:val="6AB73D58"/>
    <w:rsid w:val="6B25360D"/>
    <w:rsid w:val="6B431148"/>
    <w:rsid w:val="6B4750DC"/>
    <w:rsid w:val="6B6F1F3D"/>
    <w:rsid w:val="6BD34BC2"/>
    <w:rsid w:val="6C16685D"/>
    <w:rsid w:val="6C1A70D2"/>
    <w:rsid w:val="6C9360FF"/>
    <w:rsid w:val="6CB21ACB"/>
    <w:rsid w:val="6CFF5543"/>
    <w:rsid w:val="6D0B417D"/>
    <w:rsid w:val="6D0F39D8"/>
    <w:rsid w:val="6D30394E"/>
    <w:rsid w:val="6D4948AB"/>
    <w:rsid w:val="6D544E73"/>
    <w:rsid w:val="6D5C4743"/>
    <w:rsid w:val="6D725D15"/>
    <w:rsid w:val="6D785A21"/>
    <w:rsid w:val="6DA06D26"/>
    <w:rsid w:val="6E1B63AC"/>
    <w:rsid w:val="6E421B8B"/>
    <w:rsid w:val="6E89513B"/>
    <w:rsid w:val="6ECD3B4B"/>
    <w:rsid w:val="6ED83717"/>
    <w:rsid w:val="6F881820"/>
    <w:rsid w:val="6F8F0E00"/>
    <w:rsid w:val="700370F8"/>
    <w:rsid w:val="702F613F"/>
    <w:rsid w:val="70E4517B"/>
    <w:rsid w:val="712F423E"/>
    <w:rsid w:val="71A010A2"/>
    <w:rsid w:val="71C1726B"/>
    <w:rsid w:val="71DC5E53"/>
    <w:rsid w:val="71ED1ADC"/>
    <w:rsid w:val="720158B9"/>
    <w:rsid w:val="72C139C6"/>
    <w:rsid w:val="72D57472"/>
    <w:rsid w:val="73092C77"/>
    <w:rsid w:val="734D5B1A"/>
    <w:rsid w:val="73610D05"/>
    <w:rsid w:val="737D59BA"/>
    <w:rsid w:val="73ED2599"/>
    <w:rsid w:val="74116287"/>
    <w:rsid w:val="74377C4B"/>
    <w:rsid w:val="743A72E9"/>
    <w:rsid w:val="745368A0"/>
    <w:rsid w:val="746F7452"/>
    <w:rsid w:val="74C0380A"/>
    <w:rsid w:val="74C4154C"/>
    <w:rsid w:val="74E4574A"/>
    <w:rsid w:val="74F00593"/>
    <w:rsid w:val="75183646"/>
    <w:rsid w:val="75D457BF"/>
    <w:rsid w:val="76366479"/>
    <w:rsid w:val="763E6C2C"/>
    <w:rsid w:val="767825EE"/>
    <w:rsid w:val="76960CC6"/>
    <w:rsid w:val="772F05CC"/>
    <w:rsid w:val="77302EC9"/>
    <w:rsid w:val="774249AA"/>
    <w:rsid w:val="7755292F"/>
    <w:rsid w:val="77C37683"/>
    <w:rsid w:val="77DE2925"/>
    <w:rsid w:val="77FC724F"/>
    <w:rsid w:val="78236589"/>
    <w:rsid w:val="7840538D"/>
    <w:rsid w:val="78500F77"/>
    <w:rsid w:val="78C22246"/>
    <w:rsid w:val="78D10B9A"/>
    <w:rsid w:val="78F26110"/>
    <w:rsid w:val="79586707"/>
    <w:rsid w:val="79C142AC"/>
    <w:rsid w:val="79FF515B"/>
    <w:rsid w:val="7A456C8B"/>
    <w:rsid w:val="7ABE2599"/>
    <w:rsid w:val="7ADE49EA"/>
    <w:rsid w:val="7AE74861"/>
    <w:rsid w:val="7B1E74DC"/>
    <w:rsid w:val="7B3B62E0"/>
    <w:rsid w:val="7B643141"/>
    <w:rsid w:val="7BCE4A5E"/>
    <w:rsid w:val="7C705B15"/>
    <w:rsid w:val="7C9B5288"/>
    <w:rsid w:val="7CC06A9D"/>
    <w:rsid w:val="7CFD1A9F"/>
    <w:rsid w:val="7D782ED3"/>
    <w:rsid w:val="7DD44D87"/>
    <w:rsid w:val="7DE14F1D"/>
    <w:rsid w:val="7DFD162B"/>
    <w:rsid w:val="7DFE0DC0"/>
    <w:rsid w:val="7E154BC6"/>
    <w:rsid w:val="7E611589"/>
    <w:rsid w:val="7E6C128B"/>
    <w:rsid w:val="7E851D4C"/>
    <w:rsid w:val="7E9F11B4"/>
    <w:rsid w:val="7ECF1219"/>
    <w:rsid w:val="7EE12CFA"/>
    <w:rsid w:val="7F625BE9"/>
    <w:rsid w:val="7FC05006"/>
    <w:rsid w:val="7FC56178"/>
    <w:rsid w:val="7FC69637"/>
    <w:rsid w:val="7FFDB408"/>
    <w:rsid w:val="CBFF70E0"/>
    <w:rsid w:val="EEABED75"/>
    <w:rsid w:val="FB36E1A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widowControl w:val="0"/>
      <w:spacing w:after="0" w:line="240" w:lineRule="auto"/>
      <w:ind w:firstLine="420" w:firstLineChars="100"/>
      <w:jc w:val="both"/>
    </w:pPr>
    <w:rPr>
      <w:rFonts w:ascii="Calibri" w:hAnsi="Calibri" w:eastAsia="仿宋" w:cs="仿宋"/>
      <w:kern w:val="2"/>
      <w:sz w:val="31"/>
      <w:szCs w:val="31"/>
    </w:rPr>
  </w:style>
  <w:style w:type="paragraph" w:styleId="3">
    <w:name w:val="Body Text"/>
    <w:basedOn w:val="1"/>
    <w:next w:val="1"/>
    <w:qFormat/>
    <w:uiPriority w:val="0"/>
    <w:pPr>
      <w:widowControl/>
      <w:spacing w:after="200" w:line="276" w:lineRule="auto"/>
      <w:jc w:val="center"/>
    </w:pPr>
    <w:rPr>
      <w:rFonts w:ascii="Calibri" w:hAnsi="Calibri" w:eastAsia="仿宋_GB2312" w:cs="Times New Roman"/>
      <w:kern w:val="0"/>
      <w:sz w:val="28"/>
      <w:szCs w:val="22"/>
      <w:lang w:eastAsia="en-US"/>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semiHidden/>
    <w:unhideWhenUsed/>
    <w:qFormat/>
    <w:uiPriority w:val="99"/>
    <w:pPr>
      <w:spacing w:beforeAutospacing="1" w:afterAutospacing="1"/>
      <w:jc w:val="left"/>
    </w:pPr>
    <w:rPr>
      <w:rFonts w:cs="Times New Roman"/>
      <w:kern w:val="0"/>
      <w:sz w:val="24"/>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ToCaption"/>
    <w:basedOn w:val="1"/>
    <w:next w:val="1"/>
    <w:qFormat/>
    <w:uiPriority w:val="0"/>
    <w:pPr>
      <w:ind w:left="400" w:leftChars="200" w:hanging="200" w:hangingChars="200"/>
    </w:pPr>
  </w:style>
  <w:style w:type="paragraph" w:customStyle="1" w:styleId="22">
    <w:name w:val="_Style 1"/>
    <w:basedOn w:val="1"/>
    <w:qFormat/>
    <w:uiPriority w:val="99"/>
    <w:pPr>
      <w:spacing w:line="481" w:lineRule="atLeast"/>
      <w:ind w:firstLine="623"/>
      <w:textAlignment w:val="baseline"/>
    </w:pPr>
    <w:rPr>
      <w:rFonts w:ascii="Times New Roman" w:hAnsi="Times New Roman" w:eastAsia="仿宋_GB2312"/>
      <w:color w:val="000000"/>
      <w:sz w:val="3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15</Pages>
  <Words>5478</Words>
  <Characters>6006</Characters>
  <Lines>63</Lines>
  <Paragraphs>18</Paragraphs>
  <TotalTime>0</TotalTime>
  <ScaleCrop>false</ScaleCrop>
  <LinksUpToDate>false</LinksUpToDate>
  <CharactersWithSpaces>6026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名字不要太长我这样就好</cp:lastModifiedBy>
  <cp:lastPrinted>2023-08-15T09:28:00Z</cp:lastPrinted>
  <dcterms:modified xsi:type="dcterms:W3CDTF">2026-09-17T08:19:46Z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4BF2D63DA553445A842C69AF9695B15A_12</vt:lpwstr>
  </property>
  <property fmtid="{D5CDD505-2E9C-101B-9397-08002B2CF9AE}" pid="4" name="KSOTemplateDocerSaveRecord">
    <vt:lpwstr>eyJoZGlkIjoiMmU1MDExZGI3Zjk0YWY1ZDJhMWUxNmMzODNhOWUyM2QiLCJ1c2VySWQiOiIxMTQ3NzUzMzY0In0=</vt:lpwstr>
  </property>
</Properties>
</file>