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20268">
      <w:pPr>
        <w:pStyle w:val="13"/>
        <w:jc w:val="center"/>
        <w:rPr>
          <w:rFonts w:ascii="Times New Roman" w:hAnsi="Times New Roman" w:cs="Times New Roman"/>
          <w:sz w:val="56"/>
          <w:szCs w:val="56"/>
        </w:rPr>
      </w:pPr>
    </w:p>
    <w:p w14:paraId="467E98CE">
      <w:pPr>
        <w:pStyle w:val="13"/>
        <w:jc w:val="center"/>
        <w:rPr>
          <w:rFonts w:ascii="Times New Roman" w:hAnsi="Times New Roman" w:cs="Times New Roman"/>
          <w:sz w:val="84"/>
          <w:szCs w:val="84"/>
        </w:rPr>
      </w:pPr>
    </w:p>
    <w:p w14:paraId="3516F8C9">
      <w:pPr>
        <w:pStyle w:val="13"/>
        <w:jc w:val="center"/>
        <w:rPr>
          <w:rFonts w:ascii="Times New Roman" w:hAnsi="Times New Roman" w:cs="Times New Roman"/>
          <w:sz w:val="84"/>
          <w:szCs w:val="84"/>
        </w:rPr>
      </w:pPr>
    </w:p>
    <w:p w14:paraId="7B64F042">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A934000">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怀化市农业农村局</w:t>
      </w:r>
      <w:r>
        <w:rPr>
          <w:rFonts w:ascii="Times New Roman" w:hAnsi="Times New Roman" w:eastAsia="方正小标宋简体" w:cs="Times New Roman"/>
          <w:sz w:val="72"/>
          <w:szCs w:val="72"/>
        </w:rPr>
        <w:t>部门决算</w:t>
      </w:r>
    </w:p>
    <w:p w14:paraId="7F699FC3">
      <w:pPr>
        <w:pStyle w:val="13"/>
        <w:jc w:val="center"/>
        <w:rPr>
          <w:rFonts w:ascii="Times New Roman" w:hAnsi="Times New Roman" w:eastAsia="方正小标宋_GBK" w:cs="Times New Roman"/>
          <w:sz w:val="56"/>
          <w:szCs w:val="56"/>
        </w:rPr>
      </w:pPr>
    </w:p>
    <w:p w14:paraId="6219F306">
      <w:pPr>
        <w:pStyle w:val="13"/>
        <w:jc w:val="center"/>
        <w:rPr>
          <w:rFonts w:ascii="Times New Roman" w:hAnsi="Times New Roman" w:cs="Times New Roman"/>
          <w:sz w:val="56"/>
          <w:szCs w:val="56"/>
        </w:rPr>
      </w:pPr>
    </w:p>
    <w:p w14:paraId="3E7294AF">
      <w:pPr>
        <w:pStyle w:val="13"/>
        <w:rPr>
          <w:rFonts w:ascii="Times New Roman" w:hAnsi="Times New Roman" w:cs="Times New Roman"/>
          <w:sz w:val="56"/>
          <w:szCs w:val="56"/>
        </w:rPr>
      </w:pPr>
    </w:p>
    <w:p w14:paraId="7A8BC945">
      <w:pPr>
        <w:pStyle w:val="13"/>
        <w:jc w:val="center"/>
        <w:rPr>
          <w:rFonts w:ascii="Times New Roman" w:hAnsi="Times New Roman" w:cs="Times New Roman"/>
          <w:sz w:val="32"/>
          <w:szCs w:val="32"/>
        </w:rPr>
      </w:pPr>
    </w:p>
    <w:p w14:paraId="4C04E4E8">
      <w:pPr>
        <w:pStyle w:val="13"/>
        <w:jc w:val="center"/>
        <w:rPr>
          <w:rFonts w:ascii="Times New Roman" w:hAnsi="Times New Roman" w:cs="Times New Roman"/>
          <w:sz w:val="32"/>
          <w:szCs w:val="32"/>
        </w:rPr>
      </w:pPr>
    </w:p>
    <w:p w14:paraId="5B98BAC5">
      <w:pPr>
        <w:pStyle w:val="13"/>
        <w:jc w:val="center"/>
        <w:rPr>
          <w:rFonts w:ascii="Times New Roman" w:hAnsi="Times New Roman" w:cs="Times New Roman"/>
          <w:sz w:val="32"/>
          <w:szCs w:val="32"/>
        </w:rPr>
      </w:pPr>
    </w:p>
    <w:p w14:paraId="23392EAE">
      <w:pPr>
        <w:pStyle w:val="13"/>
        <w:jc w:val="center"/>
        <w:rPr>
          <w:rFonts w:ascii="Times New Roman" w:hAnsi="Times New Roman" w:cs="Times New Roman"/>
          <w:sz w:val="32"/>
          <w:szCs w:val="32"/>
        </w:rPr>
      </w:pPr>
    </w:p>
    <w:p w14:paraId="3BD8AB41">
      <w:pPr>
        <w:pStyle w:val="13"/>
        <w:jc w:val="center"/>
        <w:rPr>
          <w:rFonts w:ascii="Times New Roman" w:hAnsi="Times New Roman" w:cs="Times New Roman"/>
          <w:sz w:val="32"/>
          <w:szCs w:val="32"/>
        </w:rPr>
      </w:pPr>
    </w:p>
    <w:p w14:paraId="56774487">
      <w:pPr>
        <w:pStyle w:val="13"/>
        <w:jc w:val="center"/>
        <w:rPr>
          <w:rFonts w:ascii="Times New Roman" w:hAnsi="Times New Roman" w:cs="Times New Roman"/>
          <w:sz w:val="32"/>
          <w:szCs w:val="32"/>
        </w:rPr>
      </w:pPr>
    </w:p>
    <w:p w14:paraId="6336689E">
      <w:pPr>
        <w:pStyle w:val="13"/>
        <w:spacing w:line="540" w:lineRule="exact"/>
        <w:jc w:val="center"/>
        <w:rPr>
          <w:rFonts w:ascii="Times New Roman" w:hAnsi="Times New Roman" w:cs="Times New Roman"/>
          <w:sz w:val="56"/>
          <w:szCs w:val="56"/>
        </w:rPr>
      </w:pPr>
    </w:p>
    <w:p w14:paraId="3D9D5ADA">
      <w:pPr>
        <w:rPr>
          <w:rFonts w:ascii="Times New Roman" w:hAnsi="Times New Roman" w:cs="Times New Roman"/>
          <w:b/>
          <w:sz w:val="36"/>
          <w:szCs w:val="28"/>
        </w:rPr>
        <w:sectPr>
          <w:pgSz w:w="11906" w:h="16838"/>
          <w:pgMar w:top="1417" w:right="1588" w:bottom="1417" w:left="1588" w:header="851" w:footer="992" w:gutter="0"/>
          <w:cols w:space="0" w:num="1"/>
          <w:rtlGutter w:val="0"/>
          <w:docGrid w:type="lines" w:linePitch="312" w:charSpace="0"/>
        </w:sectPr>
      </w:pPr>
    </w:p>
    <w:p w14:paraId="6EDE1D33">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8EB3505">
      <w:pPr>
        <w:pStyle w:val="13"/>
        <w:spacing w:line="600" w:lineRule="exact"/>
        <w:jc w:val="both"/>
        <w:rPr>
          <w:rFonts w:ascii="Times New Roman" w:hAnsi="Times New Roman" w:cs="Times New Roman"/>
          <w:b/>
          <w:sz w:val="36"/>
          <w:szCs w:val="28"/>
        </w:rPr>
      </w:pPr>
    </w:p>
    <w:p w14:paraId="2F785722">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A93B85D">
      <w:pPr>
        <w:pStyle w:val="13"/>
        <w:spacing w:line="600" w:lineRule="exact"/>
        <w:jc w:val="center"/>
        <w:rPr>
          <w:rFonts w:ascii="Times New Roman" w:hAnsi="Times New Roman" w:cs="Times New Roman"/>
          <w:b/>
          <w:sz w:val="36"/>
          <w:szCs w:val="28"/>
        </w:rPr>
      </w:pPr>
    </w:p>
    <w:p w14:paraId="68009EB4">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怀化市农业农村局</w:t>
      </w:r>
      <w:r>
        <w:rPr>
          <w:rFonts w:ascii="Times New Roman" w:hAnsi="Times New Roman" w:cs="Times New Roman"/>
          <w:bCs/>
          <w:sz w:val="32"/>
          <w:szCs w:val="32"/>
        </w:rPr>
        <w:t>概况</w:t>
      </w:r>
    </w:p>
    <w:p w14:paraId="55BF419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5AA57A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ACB388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0DC6BC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E60058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C2C701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FFB329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BD76C3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AEDA70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9C945C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DB7B47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3BB43A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9C8920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979802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1977B29">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BBE76C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BB9AD9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F257D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C9A89E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078CFF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8413F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1A7EB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A30C570">
      <w:pPr>
        <w:pStyle w:val="13"/>
        <w:spacing w:line="600" w:lineRule="exact"/>
        <w:jc w:val="both"/>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九、国有资本经营预算财政拨款收入支出决算情况说明</w:t>
      </w:r>
    </w:p>
    <w:p w14:paraId="1FA8316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0B5A3A8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109284D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1BE6E1D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7FB83FA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D480AB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25B5B0B">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44E9A9D">
      <w:pPr>
        <w:pStyle w:val="13"/>
        <w:spacing w:line="600" w:lineRule="exact"/>
        <w:rPr>
          <w:rFonts w:ascii="Times New Roman" w:hAnsi="Times New Roman" w:cs="Times New Roman"/>
          <w:bCs/>
          <w:sz w:val="28"/>
          <w:szCs w:val="28"/>
        </w:rPr>
      </w:pPr>
    </w:p>
    <w:p w14:paraId="59A1FF47">
      <w:pPr>
        <w:jc w:val="center"/>
        <w:rPr>
          <w:rFonts w:ascii="Times New Roman" w:hAnsi="Times New Roman" w:cs="Times New Roman"/>
          <w:sz w:val="72"/>
          <w:szCs w:val="72"/>
        </w:rPr>
      </w:pPr>
    </w:p>
    <w:p w14:paraId="5CAA0596">
      <w:pPr>
        <w:jc w:val="center"/>
        <w:rPr>
          <w:rFonts w:ascii="Times New Roman" w:hAnsi="Times New Roman" w:cs="Times New Roman"/>
          <w:sz w:val="72"/>
          <w:szCs w:val="72"/>
        </w:rPr>
      </w:pPr>
    </w:p>
    <w:p w14:paraId="5C2802B7">
      <w:pPr>
        <w:jc w:val="center"/>
        <w:rPr>
          <w:rFonts w:ascii="Times New Roman" w:hAnsi="Times New Roman" w:cs="Times New Roman"/>
          <w:sz w:val="72"/>
          <w:szCs w:val="72"/>
        </w:rPr>
      </w:pPr>
    </w:p>
    <w:p w14:paraId="67E6AF9F">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06D6C56">
      <w:pPr>
        <w:jc w:val="center"/>
        <w:rPr>
          <w:sz w:val="72"/>
          <w:szCs w:val="72"/>
        </w:rPr>
      </w:pPr>
    </w:p>
    <w:p w14:paraId="0A1AB64B">
      <w:pPr>
        <w:jc w:val="center"/>
        <w:rPr>
          <w:sz w:val="72"/>
          <w:szCs w:val="72"/>
        </w:rPr>
      </w:pPr>
    </w:p>
    <w:p w14:paraId="1DCD237F">
      <w:pPr>
        <w:jc w:val="center"/>
        <w:rPr>
          <w:sz w:val="72"/>
          <w:szCs w:val="72"/>
        </w:rPr>
      </w:pPr>
    </w:p>
    <w:p w14:paraId="7203DD36">
      <w:pPr>
        <w:rPr>
          <w:rFonts w:hint="eastAsia" w:ascii="方正小标宋_GBK" w:hAnsi="方正小标宋_GBK" w:eastAsia="方正小标宋_GBK" w:cs="方正小标宋_GBK"/>
          <w:sz w:val="72"/>
          <w:szCs w:val="72"/>
        </w:rPr>
      </w:pPr>
    </w:p>
    <w:p w14:paraId="7D4953EF">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310AB231">
      <w:pPr>
        <w:pStyle w:val="13"/>
        <w:jc w:val="center"/>
        <w:rPr>
          <w:rFonts w:hint="eastAsia" w:ascii="方正小标宋_GBK" w:hAnsi="方正小标宋_GBK" w:eastAsia="方正小标宋_GBK" w:cs="方正小标宋_GBK"/>
          <w:sz w:val="84"/>
          <w:szCs w:val="84"/>
        </w:rPr>
      </w:pPr>
    </w:p>
    <w:p w14:paraId="18746B86">
      <w:pPr>
        <w:pStyle w:val="13"/>
        <w:jc w:val="center"/>
        <w:rPr>
          <w:rFonts w:hint="eastAsia" w:ascii="方正小标宋_GBK" w:hAnsi="方正小标宋_GBK" w:eastAsia="方正小标宋_GBK" w:cs="方正小标宋_GBK"/>
          <w:sz w:val="84"/>
          <w:szCs w:val="84"/>
        </w:rPr>
      </w:pPr>
      <w:r>
        <w:rPr>
          <w:rFonts w:hint="default" w:ascii="方正小标宋_GBK" w:hAnsi="方正小标宋_GBK" w:eastAsia="方正小标宋_GBK" w:cs="方正小标宋_GBK"/>
          <w:sz w:val="84"/>
          <w:szCs w:val="84"/>
        </w:rPr>
        <w:t>怀化市农业农村局</w:t>
      </w:r>
      <w:r>
        <w:rPr>
          <w:rFonts w:hint="eastAsia" w:ascii="方正小标宋_GBK" w:hAnsi="方正小标宋_GBK" w:eastAsia="方正小标宋_GBK" w:cs="方正小标宋_GBK"/>
          <w:sz w:val="84"/>
          <w:szCs w:val="84"/>
        </w:rPr>
        <w:t>概况</w:t>
      </w:r>
    </w:p>
    <w:p w14:paraId="796BC2DD">
      <w:pPr>
        <w:jc w:val="center"/>
        <w:rPr>
          <w:rFonts w:hint="eastAsia" w:ascii="方正小标宋_GBK" w:hAnsi="方正小标宋_GBK" w:eastAsia="方正小标宋_GBK" w:cs="方正小标宋_GBK"/>
          <w:sz w:val="72"/>
          <w:szCs w:val="72"/>
        </w:rPr>
      </w:pPr>
    </w:p>
    <w:p w14:paraId="31F786BC">
      <w:pPr>
        <w:jc w:val="center"/>
        <w:rPr>
          <w:rFonts w:hint="eastAsia" w:ascii="方正小标宋_GBK" w:hAnsi="方正小标宋_GBK" w:eastAsia="方正小标宋_GBK" w:cs="方正小标宋_GBK"/>
          <w:sz w:val="72"/>
          <w:szCs w:val="72"/>
        </w:rPr>
      </w:pPr>
    </w:p>
    <w:p w14:paraId="738B577C">
      <w:pPr>
        <w:jc w:val="center"/>
        <w:rPr>
          <w:sz w:val="72"/>
          <w:szCs w:val="72"/>
        </w:rPr>
      </w:pPr>
    </w:p>
    <w:p w14:paraId="525057FD">
      <w:pPr>
        <w:jc w:val="center"/>
        <w:rPr>
          <w:sz w:val="72"/>
          <w:szCs w:val="72"/>
        </w:rPr>
      </w:pPr>
    </w:p>
    <w:p w14:paraId="505BBF29">
      <w:pPr>
        <w:jc w:val="center"/>
        <w:rPr>
          <w:sz w:val="72"/>
          <w:szCs w:val="72"/>
        </w:rPr>
      </w:pPr>
    </w:p>
    <w:p w14:paraId="694D28E5">
      <w:pPr>
        <w:pStyle w:val="2"/>
        <w:rPr>
          <w:sz w:val="72"/>
          <w:szCs w:val="72"/>
        </w:rPr>
      </w:pPr>
    </w:p>
    <w:p w14:paraId="4EBA319D">
      <w:pPr>
        <w:pStyle w:val="14"/>
        <w:numPr>
          <w:ilvl w:val="0"/>
          <w:numId w:val="0"/>
        </w:numPr>
        <w:jc w:val="left"/>
        <w:rPr>
          <w:rFonts w:hint="eastAsia" w:ascii="黑体" w:hAnsi="黑体" w:eastAsia="黑体" w:cs="黑体"/>
          <w:b w:val="0"/>
          <w:bCs w:val="0"/>
          <w:sz w:val="32"/>
          <w:szCs w:val="32"/>
        </w:rPr>
      </w:pPr>
      <w:r>
        <w:rPr>
          <w:rFonts w:hint="default" w:ascii="黑体" w:hAnsi="黑体" w:eastAsia="黑体" w:cs="黑体"/>
          <w:b w:val="0"/>
          <w:bCs w:val="0"/>
          <w:sz w:val="32"/>
          <w:szCs w:val="32"/>
        </w:rPr>
        <w:t>一、</w:t>
      </w:r>
      <w:r>
        <w:rPr>
          <w:rFonts w:hint="eastAsia" w:ascii="黑体" w:hAnsi="黑体" w:eastAsia="黑体" w:cs="黑体"/>
          <w:b w:val="0"/>
          <w:bCs w:val="0"/>
          <w:sz w:val="32"/>
          <w:szCs w:val="32"/>
        </w:rPr>
        <w:t>部门职责</w:t>
      </w:r>
    </w:p>
    <w:p w14:paraId="3E6E9B84">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（一）</w:t>
      </w:r>
      <w:r>
        <w:rPr>
          <w:rFonts w:hint="eastAsia" w:ascii="Times New Roman" w:hAnsi="Times New Roman" w:eastAsia="仿宋_GB2312" w:cs="黑体"/>
          <w:kern w:val="0"/>
          <w:sz w:val="32"/>
          <w:szCs w:val="32"/>
        </w:rPr>
        <w:t>负责全市农业、农村工作的协调和综合工作，组织研究全市农业、农村发展和改革中的问题，提出农业、农村发展和改革的政策建议，指导农村发展和改革工作。</w:t>
      </w:r>
    </w:p>
    <w:p w14:paraId="6B60F95B">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（二）</w:t>
      </w:r>
      <w:r>
        <w:rPr>
          <w:rFonts w:hint="eastAsia" w:ascii="Times New Roman" w:hAnsi="Times New Roman" w:eastAsia="仿宋_GB2312" w:cs="黑体"/>
          <w:kern w:val="0"/>
          <w:sz w:val="32"/>
          <w:szCs w:val="32"/>
        </w:rPr>
        <w:t>会同有关部门研究提出城乡经济社会发展一体化体制机制改革的建议，指导协调县域经济发展和新农村建设，研究提出县域经济发展和新农村建设的政策与规划建议，参与农村小城镇规划和建设的有关工作，参与农村社会事业发展工作。</w:t>
      </w:r>
    </w:p>
    <w:p w14:paraId="0EDB1302">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（三）</w:t>
      </w:r>
      <w:r>
        <w:rPr>
          <w:rFonts w:hint="eastAsia" w:ascii="Times New Roman" w:hAnsi="Times New Roman" w:eastAsia="仿宋_GB2312" w:cs="黑体"/>
          <w:kern w:val="0"/>
          <w:sz w:val="32"/>
          <w:szCs w:val="32"/>
        </w:rPr>
        <w:t>贯彻执行国家、省、市种植业、畜牧业、渔业、农业机械化、农产品加工业、农垦等农业各产业（以下简称农业）发展的方针政策，拟订我市农业发展的政策和规划并指导实施，参与涉农的财税、价格、金融保险、进出口等政策制定，组织起草农业和农村经济的地方性法规、规章草案，推进农业依法行政。</w:t>
      </w:r>
    </w:p>
    <w:p w14:paraId="637AC721">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（四）</w:t>
      </w:r>
      <w:r>
        <w:rPr>
          <w:rFonts w:hint="eastAsia" w:ascii="Times New Roman" w:hAnsi="Times New Roman" w:eastAsia="仿宋_GB2312" w:cs="黑体"/>
          <w:kern w:val="0"/>
          <w:sz w:val="32"/>
          <w:szCs w:val="32"/>
        </w:rPr>
        <w:t>研究提出稳定和完善农村经营管理体制的建议，指导农村土地承包、耕地使用权流转和承包纠纷仲裁管理，指导、监督减轻农民负担和村民筹资筹劳管理工作，检查监督惠农政策的落实，指导村级集体经济发展、农村集体经济组织建设和资产财务管理，拟订全市农业产业化经营的发展规划与政策并组织实施，指导、扶持农业社会化服务体系、农村合作经济组织、农民专业合作社和农产品行业协会的建议与发展。</w:t>
      </w:r>
    </w:p>
    <w:p w14:paraId="2BDE512D">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（五）</w:t>
      </w:r>
      <w:r>
        <w:rPr>
          <w:rFonts w:hint="eastAsia" w:ascii="Times New Roman" w:hAnsi="Times New Roman" w:eastAsia="仿宋_GB2312" w:cs="黑体"/>
          <w:kern w:val="0"/>
          <w:sz w:val="32"/>
          <w:szCs w:val="32"/>
        </w:rPr>
        <w:t>指导粮食等主要农产品生产，组织落实促进粮食等主要农产品生产发展的相关政策措施，引导农业产业结构调整和产品品质改善，会同有关部门指导农业标准化、规模化生产；提出农业固定资产投资规模和方向、市级财政性资金安排的建议，按权限审批、核准规划和计划内固定资产投资项目；编报部门预算并组织执行，提出扶持农业农村发展的财政政策和项目建议，经批准后与财政部门共同制订实施方案并指导实施；拟订农业开发规划并监督实施；配合财政部门组织实施农业综合开发项目。</w:t>
      </w:r>
    </w:p>
    <w:p w14:paraId="73372B4E">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（六）</w:t>
      </w:r>
      <w:r>
        <w:rPr>
          <w:rFonts w:hint="eastAsia" w:ascii="Times New Roman" w:hAnsi="Times New Roman" w:eastAsia="仿宋_GB2312" w:cs="黑体"/>
          <w:kern w:val="0"/>
          <w:sz w:val="32"/>
          <w:szCs w:val="32"/>
        </w:rPr>
        <w:t>促进农业产前、产中、产后一体化发展，组织拟订促进农产品加工业发展政策、规划并组织实施，提出农业产业保护政策建议，指导农产品加工业结构调整、技术创新和服务体系建设；提出促进大宗农产品流通的政策建议，研究制定大宗农产品市场体系建设与发展规划；培育、保护和发展农产品品牌；组织协调“菜篮子”工程。</w:t>
      </w:r>
    </w:p>
    <w:p w14:paraId="40ADA83B">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（七）</w:t>
      </w:r>
      <w:r>
        <w:rPr>
          <w:rFonts w:hint="eastAsia" w:ascii="Times New Roman" w:hAnsi="Times New Roman" w:eastAsia="仿宋_GB2312" w:cs="黑体"/>
          <w:kern w:val="0"/>
          <w:sz w:val="32"/>
          <w:szCs w:val="32"/>
        </w:rPr>
        <w:t>承担提升农产品质量安全水平的责任，依法开展农产品质量安全风险评估，发布有关农产品质量安全状况信息，负责农产品质量安全监测；贯彻执行农业转基因生物安全评价标准和技术规范，负责农业转基因生物安全监督管理和农业植物新品种保护；会同有关部门贯彻执行农产品质量安全国家标准，参与制定农产品质量安全地方标准并指导实施；指导农业检验检测体系建设和工作考核；依法实施符合安全标准的农产品认证和监督管理；组织农产品质量安全的监督管理；负责畜禽屠宰的监督管理。</w:t>
      </w:r>
    </w:p>
    <w:p w14:paraId="0E10CE3B">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（八）</w:t>
      </w:r>
      <w:r>
        <w:rPr>
          <w:rFonts w:hint="eastAsia" w:ascii="Times New Roman" w:hAnsi="Times New Roman" w:eastAsia="仿宋_GB2312" w:cs="黑体"/>
          <w:kern w:val="0"/>
          <w:sz w:val="32"/>
          <w:szCs w:val="32"/>
        </w:rPr>
        <w:t>组织、协调农业生产资料市场体系建设，依法开展农作物种子（种苗）、草种、种畜禽、农药、兽药、饲料、饲料添加剂、食用菌菌种的许可及监督管理；贯彻执行兽药质量、兽药残留限量和残留检测方法国家标准；依法负责渔船、渔港、渔机、网具的监督管理，指导渔业安全生产；会同有关部门贯彻执行农业生产资料标准；开展兽医医疗器械和有关肥料的监督管理；指导农业机械化发展和农机安全监理，组织实施农机惠农政策。</w:t>
      </w:r>
    </w:p>
    <w:p w14:paraId="495FE2A3">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（九）</w:t>
      </w:r>
      <w:r>
        <w:rPr>
          <w:rFonts w:hint="eastAsia" w:ascii="Times New Roman" w:hAnsi="Times New Roman" w:eastAsia="仿宋_GB2312" w:cs="黑体"/>
          <w:kern w:val="0"/>
          <w:sz w:val="32"/>
          <w:szCs w:val="32"/>
        </w:rPr>
        <w:t>负责农作物重大病虫害防治，贯彻执行国家动植物防疫检疫法律法规和政策，会同有关部门拟定地方性动植物防疫政策并指导实施，指导动植物防疫和检疫体系建设；组织、监督对市内动植物的防疫检疫工作，发布疫情并组织扑灭；组织植物检疫性有害生物普查；承担境外引进农作物种子（种苗）检疫审批工作；组织兽医医政、兽药药政药检工作；负责执业兽医的管理。</w:t>
      </w:r>
    </w:p>
    <w:p w14:paraId="3575BF82">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（十）</w:t>
      </w:r>
      <w:r>
        <w:rPr>
          <w:rFonts w:hint="eastAsia" w:ascii="Times New Roman" w:hAnsi="Times New Roman" w:eastAsia="仿宋_GB2312" w:cs="黑体"/>
          <w:kern w:val="0"/>
          <w:sz w:val="32"/>
          <w:szCs w:val="32"/>
        </w:rPr>
        <w:t>承担农业防灾减灾的责任，监测、发布农业灾情，组织种子、化肥等救灾物资储备和调拨，提出生产救灾资金安排建议，指导紧急救灾和灾后生产恢复。</w:t>
      </w:r>
    </w:p>
    <w:p w14:paraId="394B9A58">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（十一）</w:t>
      </w:r>
      <w:r>
        <w:rPr>
          <w:rFonts w:hint="eastAsia" w:ascii="Times New Roman" w:hAnsi="Times New Roman" w:eastAsia="仿宋_GB2312" w:cs="黑体"/>
          <w:kern w:val="0"/>
          <w:sz w:val="32"/>
          <w:szCs w:val="32"/>
        </w:rPr>
        <w:t>管理农业和农村经济信息，监测分析农业、农村经济运行，开展相关农业统计工作；采集、发布农业和农村经济信息，负责农业信息体系建设，指导农业信息服务。</w:t>
      </w:r>
    </w:p>
    <w:p w14:paraId="13D601CF">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（十二）</w:t>
      </w:r>
      <w:r>
        <w:rPr>
          <w:rFonts w:hint="eastAsia" w:ascii="Times New Roman" w:hAnsi="Times New Roman" w:eastAsia="仿宋_GB2312" w:cs="黑体"/>
          <w:kern w:val="0"/>
          <w:sz w:val="32"/>
          <w:szCs w:val="32"/>
        </w:rPr>
        <w:t>制定农业科研、农技推广的规划、计划和有关政策并指导实施；会同有关部门组织全市农业科技创新和农业产业技术体系建设；会同有关部门实施科教兴农战略，按分工组织实施农业科研重大专项；组织实施农业领域的高新技术和应用技术研究、农业科技成果转化和技术推广；负责农业科技成果管理，组织引进境外农业先进技术，指导农技推广体系改革与建设。</w:t>
      </w:r>
    </w:p>
    <w:p w14:paraId="5FA0FCD0">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（十三）</w:t>
      </w:r>
      <w:r>
        <w:rPr>
          <w:rFonts w:hint="eastAsia" w:ascii="Times New Roman" w:hAnsi="Times New Roman" w:eastAsia="仿宋_GB2312" w:cs="黑体"/>
          <w:kern w:val="0"/>
          <w:sz w:val="32"/>
          <w:szCs w:val="32"/>
        </w:rPr>
        <w:t>会同有关部门拟订农业农村人才队伍建设规划并组织实施，指导协调农民教育培训，指导农业教育和农业职业技能开发工作，参与实施农村实用人才培训工程，承担农村劳动力就地就近就业培训工作，会同有关主管部门依法实施农业农村人才专业技术资格和从业资格管理。</w:t>
      </w:r>
    </w:p>
    <w:p w14:paraId="30DCC7DA">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（十四）</w:t>
      </w:r>
      <w:r>
        <w:rPr>
          <w:rFonts w:hint="eastAsia" w:ascii="Times New Roman" w:hAnsi="Times New Roman" w:eastAsia="仿宋_GB2312" w:cs="黑体"/>
          <w:kern w:val="0"/>
          <w:sz w:val="32"/>
          <w:szCs w:val="32"/>
        </w:rPr>
        <w:t>组织农业资源区划工作，指导农用地、渔业水域、草原、宜农滩涂、宜农湿地以及农业生物物种资源的保护和管理，负责水生野生动植物保护工作；拟订耕地及基本农田质量保护与改良政策并指导实施，依法管理耕地质量，发展节水农业。</w:t>
      </w:r>
    </w:p>
    <w:p w14:paraId="4439D84C">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（十五）</w:t>
      </w:r>
      <w:r>
        <w:rPr>
          <w:rFonts w:hint="eastAsia" w:ascii="Times New Roman" w:hAnsi="Times New Roman" w:eastAsia="仿宋_GB2312" w:cs="黑体"/>
          <w:kern w:val="0"/>
          <w:sz w:val="32"/>
          <w:szCs w:val="32"/>
        </w:rPr>
        <w:t>制定并实施农业生态建设规划，指导农村可再生能源综合开发与利用，指导农业生物质产业发展和农业农村节能减排，承担指导农业面源污染治理有关工作；划定农产品禁止生产区域，指导生态农业、循环农业等发展；负责保护渔业水域生态环境；牵头管理外来物种。</w:t>
      </w:r>
    </w:p>
    <w:p w14:paraId="19FEF5FA">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（十六）</w:t>
      </w:r>
      <w:r>
        <w:rPr>
          <w:rFonts w:hint="eastAsia" w:ascii="Times New Roman" w:hAnsi="Times New Roman" w:eastAsia="仿宋_GB2312" w:cs="黑体"/>
          <w:kern w:val="0"/>
          <w:sz w:val="32"/>
          <w:szCs w:val="32"/>
        </w:rPr>
        <w:t>参与组织开展农业贸易促进和有关经济、技术交流与合作，协助有关部门组织实施农业援外项目。</w:t>
      </w:r>
    </w:p>
    <w:p w14:paraId="72917BF2">
      <w:pPr>
        <w:shd w:val="clear" w:color="auto" w:fill="FFFFFF"/>
        <w:spacing w:line="600" w:lineRule="atLeast"/>
        <w:ind w:firstLine="630" w:firstLineChars="197"/>
        <w:rPr>
          <w:rFonts w:ascii="Times New Roman" w:hAnsi="Times New Roman" w:eastAsia="仿宋_GB2312" w:cs="黑体"/>
          <w:kern w:val="0"/>
          <w:sz w:val="32"/>
          <w:szCs w:val="32"/>
        </w:rPr>
      </w:pPr>
      <w:r>
        <w:rPr>
          <w:rFonts w:hint="eastAsia" w:ascii="Times New Roman" w:hAnsi="Times New Roman" w:eastAsia="仿宋_GB2312" w:cs="黑体"/>
          <w:kern w:val="0"/>
          <w:sz w:val="32"/>
          <w:szCs w:val="32"/>
          <w:lang w:eastAsia="zh-CN"/>
        </w:rPr>
        <w:t>（十七）</w:t>
      </w:r>
      <w:r>
        <w:rPr>
          <w:rFonts w:hint="eastAsia" w:ascii="Times New Roman" w:hAnsi="Times New Roman" w:eastAsia="仿宋_GB2312" w:cs="黑体"/>
          <w:kern w:val="0"/>
          <w:sz w:val="32"/>
          <w:szCs w:val="32"/>
        </w:rPr>
        <w:t>承办市委、市人民政府交办的其他事项。</w:t>
      </w:r>
    </w:p>
    <w:p w14:paraId="70278FBA">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770A951E">
      <w:pPr>
        <w:shd w:val="clear" w:color="auto" w:fill="FFFFFF"/>
        <w:spacing w:line="600" w:lineRule="atLeast"/>
        <w:ind w:firstLine="630" w:firstLineChars="197"/>
        <w:rPr>
          <w:rFonts w:ascii="Times New Roman" w:hAnsi="Times New Roman" w:eastAsia="仿宋_GB2312" w:cs="黑体"/>
          <w:kern w:val="0"/>
          <w:sz w:val="32"/>
          <w:szCs w:val="32"/>
        </w:rPr>
      </w:pPr>
      <w:r>
        <w:rPr>
          <w:rFonts w:ascii="Times New Roman" w:hAnsi="Times New Roman" w:eastAsia="仿宋_GB2312" w:cs="黑体"/>
          <w:kern w:val="0"/>
          <w:sz w:val="32"/>
          <w:szCs w:val="32"/>
        </w:rPr>
        <w:t>（一）内设机构设置。怀化市农业农村局内设科室</w:t>
      </w:r>
      <w:r>
        <w:rPr>
          <w:rFonts w:hint="eastAsia" w:ascii="Times New Roman" w:hAnsi="Times New Roman" w:eastAsia="仿宋_GB2312" w:cs="黑体"/>
          <w:kern w:val="0"/>
          <w:sz w:val="32"/>
          <w:szCs w:val="32"/>
          <w:lang w:eastAsia="zh-CN"/>
        </w:rPr>
        <w:t>包括</w:t>
      </w:r>
      <w:r>
        <w:rPr>
          <w:rFonts w:ascii="Times New Roman" w:hAnsi="Times New Roman" w:eastAsia="仿宋_GB2312" w:cs="黑体"/>
          <w:kern w:val="0"/>
          <w:sz w:val="32"/>
          <w:szCs w:val="32"/>
        </w:rPr>
        <w:t>：</w:t>
      </w:r>
      <w:r>
        <w:rPr>
          <w:rFonts w:ascii="Times New Roman" w:hAnsi="Times New Roman" w:eastAsia="仿宋_GB2312" w:cs="黑体"/>
          <w:b w:val="0"/>
          <w:bCs w:val="0"/>
          <w:kern w:val="0"/>
          <w:sz w:val="32"/>
          <w:szCs w:val="32"/>
        </w:rPr>
        <w:t>市委农办秘书科、办公室、人事科（离退休人员管理服务科）、执法科、发展规划和县域经济指导科、计划财务科、乡村产业发展科（农产品加工指导科）、乡村建设和社会事业促进科、市场信息和对外交流科、科技教育科（市农业转基因生物安全管理办公室）、农业资源保护与利用科、农产品质量安全监管科、种植业管理科（农药管理科）、养殖业管理科、种业发展和管理科、农业机械化管理科、农田建设和农垦科、监督检查科、区域协作和帮扶科、农村改革和合作经济指导科、机关党委</w:t>
      </w:r>
      <w:r>
        <w:rPr>
          <w:rFonts w:ascii="Times New Roman" w:hAnsi="Times New Roman" w:eastAsia="仿宋_GB2312" w:cs="黑体"/>
          <w:kern w:val="0"/>
          <w:sz w:val="32"/>
          <w:szCs w:val="32"/>
        </w:rPr>
        <w:t>。下设</w:t>
      </w:r>
      <w:r>
        <w:rPr>
          <w:rFonts w:hint="eastAsia" w:ascii="Times New Roman" w:hAnsi="Times New Roman" w:eastAsia="仿宋_GB2312" w:cs="黑体"/>
          <w:kern w:val="0"/>
          <w:sz w:val="32"/>
          <w:szCs w:val="32"/>
          <w:lang w:eastAsia="zh-CN"/>
        </w:rPr>
        <w:t>二级机构</w:t>
      </w:r>
      <w:r>
        <w:rPr>
          <w:rFonts w:ascii="Times New Roman" w:hAnsi="Times New Roman" w:eastAsia="仿宋_GB2312" w:cs="黑体"/>
          <w:kern w:val="0"/>
          <w:sz w:val="32"/>
          <w:szCs w:val="32"/>
        </w:rPr>
        <w:t>包括市农业综合行政执法支队、市农业综合服务中心、市粮油和经济作物站3个非财务独立</w:t>
      </w:r>
      <w:r>
        <w:rPr>
          <w:rFonts w:hint="eastAsia" w:ascii="Times New Roman" w:hAnsi="Times New Roman" w:eastAsia="仿宋_GB2312" w:cs="黑体"/>
          <w:kern w:val="0"/>
          <w:sz w:val="32"/>
          <w:szCs w:val="32"/>
          <w:lang w:eastAsia="zh-CN"/>
        </w:rPr>
        <w:t>的</w:t>
      </w:r>
      <w:r>
        <w:rPr>
          <w:rFonts w:ascii="Times New Roman" w:hAnsi="Times New Roman" w:eastAsia="仿宋_GB2312" w:cs="黑体"/>
          <w:kern w:val="0"/>
          <w:sz w:val="32"/>
          <w:szCs w:val="32"/>
        </w:rPr>
        <w:t>事业单位和市农村经营事务中心、市农业科技教育促进中心、市农机事务中心3个财务独立</w:t>
      </w:r>
      <w:r>
        <w:rPr>
          <w:rFonts w:hint="eastAsia" w:ascii="Times New Roman" w:hAnsi="Times New Roman" w:eastAsia="仿宋_GB2312" w:cs="黑体"/>
          <w:kern w:val="0"/>
          <w:sz w:val="32"/>
          <w:szCs w:val="32"/>
          <w:lang w:eastAsia="zh-CN"/>
        </w:rPr>
        <w:t>的</w:t>
      </w:r>
      <w:r>
        <w:rPr>
          <w:rFonts w:ascii="Times New Roman" w:hAnsi="Times New Roman" w:eastAsia="仿宋_GB2312" w:cs="黑体"/>
          <w:kern w:val="0"/>
          <w:sz w:val="32"/>
          <w:szCs w:val="32"/>
        </w:rPr>
        <w:t>事业单位。</w:t>
      </w:r>
    </w:p>
    <w:p w14:paraId="02C4B88D">
      <w:pPr>
        <w:widowControl/>
        <w:spacing w:line="600" w:lineRule="exact"/>
        <w:ind w:firstLine="640" w:firstLineChars="200"/>
        <w:rPr>
          <w:rFonts w:hint="default"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r>
        <w:rPr>
          <w:rFonts w:hint="default" w:ascii="Times New Roman" w:hAnsi="Times New Roman" w:eastAsia="仿宋_GB2312" w:cs="仿宋_GB2312"/>
          <w:bCs/>
          <w:kern w:val="0"/>
          <w:sz w:val="32"/>
          <w:szCs w:val="32"/>
        </w:rPr>
        <w:t>怀化市农业农村局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年部门决算汇总公开单位</w:t>
      </w:r>
      <w:r>
        <w:rPr>
          <w:rFonts w:hint="eastAsia" w:ascii="Times New Roman" w:hAnsi="Times New Roman" w:eastAsia="仿宋_GB2312" w:cs="仿宋_GB2312"/>
          <w:bCs/>
          <w:kern w:val="0"/>
          <w:sz w:val="32"/>
          <w:szCs w:val="32"/>
          <w:lang w:eastAsia="zh-CN"/>
        </w:rPr>
        <w:t>构成包括：</w:t>
      </w:r>
      <w:r>
        <w:rPr>
          <w:rFonts w:hint="default" w:ascii="Times New Roman" w:hAnsi="Times New Roman" w:eastAsia="仿宋_GB2312" w:cs="仿宋_GB2312"/>
          <w:bCs/>
          <w:kern w:val="0"/>
          <w:sz w:val="32"/>
          <w:szCs w:val="32"/>
        </w:rPr>
        <w:t>怀化市农业农村局本级。</w:t>
      </w:r>
    </w:p>
    <w:p w14:paraId="17A8F82D">
      <w:pPr>
        <w:jc w:val="left"/>
        <w:rPr>
          <w:rFonts w:ascii="仿宋_GB2312" w:eastAsia="仿宋_GB2312" w:hAnsiTheme="minorEastAsia"/>
          <w:sz w:val="28"/>
          <w:szCs w:val="32"/>
        </w:rPr>
      </w:pPr>
    </w:p>
    <w:p w14:paraId="302BCD1C">
      <w:pPr>
        <w:jc w:val="center"/>
        <w:rPr>
          <w:rFonts w:ascii="黑体" w:hAnsi="黑体" w:eastAsia="黑体"/>
          <w:sz w:val="28"/>
          <w:szCs w:val="28"/>
        </w:rPr>
      </w:pPr>
    </w:p>
    <w:p w14:paraId="042D31EA">
      <w:pPr>
        <w:jc w:val="center"/>
        <w:rPr>
          <w:rFonts w:ascii="黑体" w:hAnsi="黑体" w:eastAsia="黑体"/>
          <w:sz w:val="28"/>
          <w:szCs w:val="28"/>
        </w:rPr>
      </w:pPr>
    </w:p>
    <w:p w14:paraId="4BD5B7AB">
      <w:pPr>
        <w:jc w:val="center"/>
        <w:rPr>
          <w:rFonts w:ascii="黑体" w:hAnsi="黑体" w:eastAsia="黑体"/>
          <w:sz w:val="28"/>
          <w:szCs w:val="28"/>
        </w:rPr>
      </w:pPr>
    </w:p>
    <w:p w14:paraId="047F9CCA">
      <w:pPr>
        <w:jc w:val="center"/>
        <w:rPr>
          <w:rFonts w:ascii="黑体" w:hAnsi="黑体" w:eastAsia="黑体"/>
          <w:sz w:val="28"/>
          <w:szCs w:val="28"/>
        </w:rPr>
      </w:pPr>
    </w:p>
    <w:p w14:paraId="242E430A">
      <w:pPr>
        <w:jc w:val="center"/>
        <w:rPr>
          <w:rFonts w:ascii="黑体" w:hAnsi="黑体" w:eastAsia="黑体"/>
          <w:sz w:val="28"/>
          <w:szCs w:val="28"/>
        </w:rPr>
      </w:pPr>
    </w:p>
    <w:p w14:paraId="00DE77B2">
      <w:pPr>
        <w:jc w:val="center"/>
        <w:rPr>
          <w:sz w:val="72"/>
          <w:szCs w:val="72"/>
        </w:rPr>
      </w:pPr>
    </w:p>
    <w:p w14:paraId="5DBD15FB">
      <w:pPr>
        <w:pStyle w:val="13"/>
        <w:jc w:val="center"/>
        <w:rPr>
          <w:rFonts w:hint="eastAsia" w:ascii="方正小标宋_GBK" w:hAnsi="方正小标宋_GBK" w:eastAsia="方正小标宋_GBK" w:cs="方正小标宋_GBK"/>
          <w:sz w:val="84"/>
          <w:szCs w:val="84"/>
        </w:rPr>
      </w:pPr>
    </w:p>
    <w:p w14:paraId="723C3915">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37F1FEE0">
      <w:pPr>
        <w:pStyle w:val="13"/>
        <w:jc w:val="center"/>
        <w:rPr>
          <w:rFonts w:hint="eastAsia" w:ascii="方正小标宋_GBK" w:hAnsi="方正小标宋_GBK" w:eastAsia="方正小标宋_GBK" w:cs="方正小标宋_GBK"/>
          <w:sz w:val="84"/>
          <w:szCs w:val="84"/>
        </w:rPr>
      </w:pPr>
    </w:p>
    <w:p w14:paraId="0DCEC622">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1F37258C">
      <w:pPr>
        <w:widowControl/>
        <w:spacing w:line="376" w:lineRule="atLeast"/>
        <w:jc w:val="center"/>
        <w:rPr>
          <w:rFonts w:eastAsia="微软雅黑" w:cs="Calibri"/>
          <w:color w:val="3D3D3D"/>
          <w:kern w:val="0"/>
          <w:sz w:val="48"/>
          <w:szCs w:val="48"/>
        </w:rPr>
      </w:pPr>
      <w:r>
        <w:rPr>
          <w:rFonts w:hint="eastAsia" w:ascii="宋体" w:hAnsi="宋体" w:cs="Calibri"/>
          <w:color w:val="3D3D3D"/>
          <w:kern w:val="0"/>
          <w:sz w:val="48"/>
          <w:szCs w:val="48"/>
        </w:rPr>
        <w:t>(见附件)</w:t>
      </w:r>
    </w:p>
    <w:p w14:paraId="633E342D">
      <w:pPr>
        <w:jc w:val="center"/>
        <w:rPr>
          <w:sz w:val="72"/>
          <w:szCs w:val="72"/>
        </w:rPr>
      </w:pPr>
    </w:p>
    <w:p w14:paraId="0BFE2C2D">
      <w:pPr>
        <w:widowControl/>
        <w:jc w:val="both"/>
        <w:rPr>
          <w:sz w:val="72"/>
          <w:szCs w:val="72"/>
        </w:rPr>
        <w:sectPr>
          <w:pgSz w:w="11906" w:h="16838"/>
          <w:pgMar w:top="720" w:right="720" w:bottom="720" w:left="720" w:header="851" w:footer="992" w:gutter="0"/>
          <w:cols w:space="0" w:num="1"/>
          <w:rtlGutter w:val="0"/>
          <w:docGrid w:type="lines" w:linePitch="312" w:charSpace="0"/>
        </w:sectPr>
      </w:pPr>
      <w:r>
        <w:rPr>
          <w:rFonts w:ascii="黑体" w:hAnsi="黑体" w:eastAsia="黑体"/>
          <w:szCs w:val="21"/>
        </w:rPr>
        <w:br w:type="page"/>
      </w:r>
    </w:p>
    <w:p w14:paraId="1C2FB14A">
      <w:pPr>
        <w:pStyle w:val="13"/>
        <w:rPr>
          <w:sz w:val="72"/>
          <w:szCs w:val="72"/>
        </w:rPr>
      </w:pPr>
    </w:p>
    <w:p w14:paraId="28A874DD">
      <w:pPr>
        <w:pStyle w:val="13"/>
        <w:rPr>
          <w:sz w:val="72"/>
          <w:szCs w:val="72"/>
        </w:rPr>
      </w:pPr>
    </w:p>
    <w:p w14:paraId="67DE457D">
      <w:pPr>
        <w:pStyle w:val="13"/>
        <w:rPr>
          <w:sz w:val="72"/>
          <w:szCs w:val="72"/>
        </w:rPr>
      </w:pPr>
    </w:p>
    <w:p w14:paraId="3FB223FE">
      <w:pPr>
        <w:pStyle w:val="13"/>
        <w:rPr>
          <w:sz w:val="72"/>
          <w:szCs w:val="72"/>
        </w:rPr>
      </w:pPr>
    </w:p>
    <w:p w14:paraId="7659FD0D">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1827B391">
      <w:pPr>
        <w:pStyle w:val="13"/>
        <w:jc w:val="center"/>
        <w:rPr>
          <w:rFonts w:hint="eastAsia" w:ascii="方正小标宋_GBK" w:hAnsi="方正小标宋_GBK" w:eastAsia="方正小标宋_GBK" w:cs="方正小标宋_GBK"/>
          <w:sz w:val="70"/>
          <w:szCs w:val="70"/>
        </w:rPr>
      </w:pPr>
    </w:p>
    <w:p w14:paraId="74DD0407">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14:paraId="765CC7A3">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09D0712B">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BFA3D6D">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年度收、支总计</w:t>
      </w:r>
      <w:r>
        <w:rPr>
          <w:rFonts w:hint="eastAsia" w:ascii="Times New Roman" w:hAnsi="Times New Roman" w:eastAsia="仿宋_GB2312" w:cs="Times New Roman"/>
          <w:color w:val="auto"/>
          <w:sz w:val="32"/>
          <w:szCs w:val="32"/>
          <w:lang w:val="en-US" w:eastAsia="zh-CN"/>
        </w:rPr>
        <w:t>4665.67</w:t>
      </w:r>
      <w:r>
        <w:rPr>
          <w:rFonts w:ascii="Times New Roman" w:hAnsi="Times New Roman" w:eastAsia="仿宋_GB2312" w:cs="Times New Roman"/>
          <w:color w:val="auto"/>
          <w:sz w:val="32"/>
          <w:szCs w:val="32"/>
        </w:rPr>
        <w:t>万元。与上年相比，减少</w:t>
      </w:r>
      <w:r>
        <w:rPr>
          <w:rFonts w:hint="eastAsia" w:ascii="Times New Roman" w:hAnsi="Times New Roman" w:eastAsia="仿宋_GB2312" w:cs="Times New Roman"/>
          <w:color w:val="auto"/>
          <w:sz w:val="32"/>
          <w:szCs w:val="32"/>
          <w:lang w:val="en-US" w:eastAsia="zh-CN"/>
        </w:rPr>
        <w:t>426.67</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8.38</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lang w:eastAsia="zh-CN"/>
        </w:rPr>
        <w:t>贯彻落实党政机关习惯过紧日子有关要求，厉行节约办一切事业，严控一般性支出，持续压降办公经费、会议培训等行政开支。同时坚持有保有压，优化支出结构，提高资金使用效率，合理保障巩固拓展脱贫攻坚成果衔接乡村振兴、粮食安全生产、全国第三次土壤普查、科教兴农等重点支出，体现在有关支出科目中。</w:t>
      </w:r>
    </w:p>
    <w:p w14:paraId="5B2A15DD">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AD29937">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4665.67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4665.67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89BF764">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CED687C">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4665.67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3716.08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79.65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949.59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20.35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9459E32">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9FD256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4665.67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17.16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0.37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增加了乡村振兴工作经费。</w:t>
      </w:r>
    </w:p>
    <w:p w14:paraId="03EAB491">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45A11C9">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07AAE5E">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default"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4625.9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99.15</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22.61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0.49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有在职人员退休或调离本单位，减少了人员开支。</w:t>
      </w:r>
    </w:p>
    <w:p w14:paraId="63A525FA">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BF95EEC">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4625.9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，主要用于以下方面：一般公共服务（类）支出</w:t>
      </w:r>
      <w:r>
        <w:rPr>
          <w:rFonts w:hint="eastAsia" w:ascii="Times New Roman" w:hAnsi="Times New Roman" w:eastAsia="仿宋_GB2312" w:cs="Times New Roman"/>
          <w:sz w:val="32"/>
          <w:szCs w:val="32"/>
          <w:lang w:val="en-US" w:eastAsia="zh-CN"/>
        </w:rPr>
        <w:t>151</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3.26</w:t>
      </w:r>
      <w:r>
        <w:rPr>
          <w:rFonts w:hint="eastAsia" w:ascii="Times New Roman" w:hAnsi="Times New Roman" w:eastAsia="仿宋_GB2312" w:cs="Times New Roman"/>
          <w:sz w:val="32"/>
          <w:szCs w:val="32"/>
          <w:lang w:eastAsia="zh-CN"/>
        </w:rPr>
        <w:t>%；科学技术（类）支出</w:t>
      </w:r>
      <w:r>
        <w:rPr>
          <w:rFonts w:hint="eastAsia" w:ascii="Times New Roman" w:hAnsi="Times New Roman" w:eastAsia="仿宋_GB2312" w:cs="Times New Roman"/>
          <w:sz w:val="32"/>
          <w:szCs w:val="32"/>
          <w:lang w:val="en-US" w:eastAsia="zh-CN"/>
        </w:rPr>
        <w:t>18</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0.39</w:t>
      </w:r>
      <w:r>
        <w:rPr>
          <w:rFonts w:hint="eastAsia" w:ascii="Times New Roman" w:hAnsi="Times New Roman" w:eastAsia="仿宋_GB2312" w:cs="Times New Roman"/>
          <w:sz w:val="32"/>
          <w:szCs w:val="32"/>
          <w:lang w:eastAsia="zh-CN"/>
        </w:rPr>
        <w:t>%;文化旅游体育与传媒（类）支出</w:t>
      </w:r>
      <w:r>
        <w:rPr>
          <w:rFonts w:hint="eastAsia" w:ascii="Times New Roman" w:hAnsi="Times New Roman" w:eastAsia="仿宋_GB2312" w:cs="Times New Roman"/>
          <w:sz w:val="32"/>
          <w:szCs w:val="32"/>
          <w:lang w:val="en-US" w:eastAsia="zh-CN"/>
        </w:rPr>
        <w:t>56</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1.21</w:t>
      </w:r>
      <w:r>
        <w:rPr>
          <w:rFonts w:hint="eastAsia" w:ascii="Times New Roman" w:hAnsi="Times New Roman" w:eastAsia="仿宋_GB2312" w:cs="Times New Roman"/>
          <w:sz w:val="32"/>
          <w:szCs w:val="32"/>
          <w:lang w:eastAsia="zh-CN"/>
        </w:rPr>
        <w:t>%；社会保障和就业（类）支出</w:t>
      </w:r>
      <w:r>
        <w:rPr>
          <w:rFonts w:hint="eastAsia" w:ascii="Times New Roman" w:hAnsi="Times New Roman" w:eastAsia="仿宋_GB2312" w:cs="Times New Roman"/>
          <w:sz w:val="32"/>
          <w:szCs w:val="32"/>
          <w:lang w:val="en-US" w:eastAsia="zh-CN"/>
        </w:rPr>
        <w:t>309.68</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6.69</w:t>
      </w:r>
      <w:r>
        <w:rPr>
          <w:rFonts w:hint="eastAsia" w:ascii="Times New Roman" w:hAnsi="Times New Roman" w:eastAsia="仿宋_GB2312" w:cs="Times New Roman"/>
          <w:sz w:val="32"/>
          <w:szCs w:val="32"/>
          <w:lang w:eastAsia="zh-CN"/>
        </w:rPr>
        <w:t>%；卫生健康（类）支出</w:t>
      </w:r>
      <w:r>
        <w:rPr>
          <w:rFonts w:hint="eastAsia" w:ascii="Times New Roman" w:hAnsi="Times New Roman" w:eastAsia="仿宋_GB2312" w:cs="Times New Roman"/>
          <w:sz w:val="32"/>
          <w:szCs w:val="32"/>
          <w:lang w:val="en-US" w:eastAsia="zh-CN"/>
        </w:rPr>
        <w:t>114.49</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2.48</w:t>
      </w:r>
      <w:r>
        <w:rPr>
          <w:rFonts w:hint="eastAsia" w:ascii="Times New Roman" w:hAnsi="Times New Roman" w:eastAsia="仿宋_GB2312" w:cs="Times New Roman"/>
          <w:sz w:val="32"/>
          <w:szCs w:val="32"/>
          <w:lang w:eastAsia="zh-CN"/>
        </w:rPr>
        <w:t>%；农林水（类）支出</w:t>
      </w:r>
      <w:r>
        <w:rPr>
          <w:rFonts w:hint="eastAsia" w:ascii="Times New Roman" w:hAnsi="Times New Roman" w:eastAsia="仿宋_GB2312" w:cs="Times New Roman"/>
          <w:sz w:val="32"/>
          <w:szCs w:val="32"/>
          <w:lang w:val="en-US" w:eastAsia="zh-CN"/>
        </w:rPr>
        <w:t>3937.09</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85.11</w:t>
      </w:r>
      <w:r>
        <w:rPr>
          <w:rFonts w:hint="eastAsia" w:ascii="Times New Roman" w:hAnsi="Times New Roman" w:eastAsia="仿宋_GB2312" w:cs="Times New Roman"/>
          <w:sz w:val="32"/>
          <w:szCs w:val="32"/>
          <w:lang w:eastAsia="zh-CN"/>
        </w:rPr>
        <w:t>%；资源勘探工业信息（类）支出</w:t>
      </w:r>
      <w:r>
        <w:rPr>
          <w:rFonts w:hint="eastAsia" w:ascii="Times New Roman" w:hAnsi="Times New Roman" w:eastAsia="仿宋_GB2312" w:cs="Times New Roman"/>
          <w:sz w:val="32"/>
          <w:szCs w:val="32"/>
          <w:lang w:val="en-US" w:eastAsia="zh-CN"/>
        </w:rPr>
        <w:t>30</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0.65</w:t>
      </w:r>
      <w:r>
        <w:rPr>
          <w:rFonts w:hint="eastAsia" w:ascii="Times New Roman" w:hAnsi="Times New Roman" w:eastAsia="仿宋_GB2312" w:cs="Times New Roman"/>
          <w:sz w:val="32"/>
          <w:szCs w:val="32"/>
          <w:lang w:eastAsia="zh-CN"/>
        </w:rPr>
        <w:t>%；住房保障（类）支出</w:t>
      </w:r>
      <w:r>
        <w:rPr>
          <w:rFonts w:hint="eastAsia" w:ascii="Times New Roman" w:hAnsi="Times New Roman" w:eastAsia="仿宋_GB2312" w:cs="Times New Roman"/>
          <w:sz w:val="32"/>
          <w:szCs w:val="32"/>
          <w:lang w:val="en-US" w:eastAsia="zh-CN"/>
        </w:rPr>
        <w:t>9.64</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0.21</w:t>
      </w:r>
      <w:r>
        <w:rPr>
          <w:rFonts w:hint="eastAsia" w:ascii="Times New Roman" w:hAnsi="Times New Roman" w:eastAsia="仿宋_GB2312" w:cs="Times New Roman"/>
          <w:sz w:val="32"/>
          <w:szCs w:val="32"/>
          <w:lang w:eastAsia="zh-CN"/>
        </w:rPr>
        <w:t>%。</w:t>
      </w:r>
    </w:p>
    <w:p w14:paraId="1BFE814B">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A839938">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年度财政拨款支出年初预算数为</w:t>
      </w:r>
      <w:r>
        <w:rPr>
          <w:rFonts w:hint="eastAsia" w:ascii="Times New Roman" w:hAnsi="Times New Roman" w:eastAsia="仿宋_GB2312" w:cs="Times New Roman"/>
          <w:color w:val="auto"/>
          <w:sz w:val="32"/>
          <w:szCs w:val="32"/>
          <w:lang w:val="en-US" w:eastAsia="zh-CN"/>
        </w:rPr>
        <w:t>4074.22</w:t>
      </w:r>
      <w:r>
        <w:rPr>
          <w:rFonts w:ascii="Times New Roman" w:hAnsi="Times New Roman" w:eastAsia="仿宋_GB2312" w:cs="Times New Roman"/>
          <w:color w:val="auto"/>
          <w:sz w:val="32"/>
          <w:szCs w:val="32"/>
        </w:rPr>
        <w:t>万元，支出决算数为</w:t>
      </w:r>
      <w:r>
        <w:rPr>
          <w:rFonts w:hint="eastAsia" w:ascii="Times New Roman" w:hAnsi="Times New Roman" w:eastAsia="仿宋_GB2312" w:cs="Times New Roman"/>
          <w:color w:val="auto"/>
          <w:sz w:val="32"/>
          <w:szCs w:val="32"/>
          <w:lang w:val="en-US" w:eastAsia="zh-CN"/>
        </w:rPr>
        <w:t>4625.9</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113.54</w:t>
      </w:r>
      <w:r>
        <w:rPr>
          <w:rFonts w:ascii="Times New Roman" w:hAnsi="Times New Roman" w:eastAsia="仿宋_GB2312" w:cs="Times New Roman"/>
          <w:color w:val="auto"/>
          <w:sz w:val="32"/>
          <w:szCs w:val="32"/>
        </w:rPr>
        <w:t>%，其中：</w:t>
      </w:r>
    </w:p>
    <w:p w14:paraId="3D709754">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其他一般公共服务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其他一般公共服务</w:t>
      </w:r>
      <w:r>
        <w:rPr>
          <w:rFonts w:ascii="Times New Roman" w:hAnsi="Times New Roman" w:eastAsia="仿宋_GB2312" w:cs="Times New Roman"/>
          <w:sz w:val="32"/>
          <w:szCs w:val="32"/>
        </w:rPr>
        <w:t>（项）。</w:t>
      </w:r>
    </w:p>
    <w:p w14:paraId="7C01DD2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151</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市财政年中追加预算，用于预发</w:t>
      </w:r>
      <w:r>
        <w:rPr>
          <w:rFonts w:hint="eastAsia" w:ascii="Times New Roman" w:hAnsi="Times New Roman" w:eastAsia="仿宋_GB2312" w:cs="Times New Roman"/>
          <w:sz w:val="32"/>
          <w:szCs w:val="32"/>
          <w:lang w:val="en-US" w:eastAsia="zh-CN"/>
        </w:rPr>
        <w:t>2025年度在职人员绩效考核奖；支付</w:t>
      </w:r>
      <w:r>
        <w:rPr>
          <w:rFonts w:hint="eastAsia" w:ascii="Times New Roman" w:hAnsi="Times New Roman" w:eastAsia="仿宋_GB2312"/>
          <w:color w:val="auto"/>
          <w:spacing w:val="-2"/>
          <w:kern w:val="0"/>
          <w:sz w:val="32"/>
          <w:szCs w:val="32"/>
        </w:rPr>
        <w:t>202</w:t>
      </w:r>
      <w:r>
        <w:rPr>
          <w:rFonts w:hint="eastAsia" w:ascii="Times New Roman" w:hAnsi="Times New Roman" w:eastAsia="仿宋_GB2312"/>
          <w:color w:val="auto"/>
          <w:spacing w:val="-2"/>
          <w:kern w:val="0"/>
          <w:sz w:val="32"/>
          <w:szCs w:val="32"/>
          <w:lang w:val="en-US" w:eastAsia="zh-CN"/>
        </w:rPr>
        <w:t>4</w:t>
      </w:r>
      <w:r>
        <w:rPr>
          <w:rFonts w:hint="eastAsia" w:ascii="Times New Roman" w:hAnsi="Times New Roman" w:eastAsia="仿宋_GB2312"/>
          <w:color w:val="auto"/>
          <w:spacing w:val="-2"/>
          <w:kern w:val="0"/>
          <w:sz w:val="32"/>
          <w:szCs w:val="32"/>
        </w:rPr>
        <w:t>年“5+10”现代化产业体系建设产业链专班</w:t>
      </w:r>
      <w:r>
        <w:rPr>
          <w:rFonts w:hint="eastAsia" w:ascii="Times New Roman" w:hAnsi="Times New Roman" w:eastAsia="仿宋_GB2312"/>
          <w:color w:val="auto"/>
          <w:spacing w:val="-2"/>
          <w:kern w:val="0"/>
          <w:sz w:val="32"/>
          <w:szCs w:val="32"/>
          <w:lang w:eastAsia="zh-CN"/>
        </w:rPr>
        <w:t>日常办公</w:t>
      </w:r>
      <w:r>
        <w:rPr>
          <w:rFonts w:hint="eastAsia" w:ascii="Times New Roman" w:hAnsi="Times New Roman" w:eastAsia="仿宋_GB2312"/>
          <w:color w:val="auto"/>
          <w:spacing w:val="-2"/>
          <w:kern w:val="0"/>
          <w:sz w:val="32"/>
          <w:szCs w:val="32"/>
        </w:rPr>
        <w:t>支出</w:t>
      </w:r>
      <w:r>
        <w:rPr>
          <w:rFonts w:hint="eastAsia" w:ascii="Times New Roman" w:hAnsi="Times New Roman" w:eastAsia="仿宋_GB2312"/>
          <w:color w:val="auto"/>
          <w:sz w:val="32"/>
          <w:szCs w:val="32"/>
          <w:lang w:eastAsia="zh-CN"/>
        </w:rPr>
        <w:t>。</w:t>
      </w:r>
    </w:p>
    <w:p w14:paraId="56BC9E4C">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科学技术</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其他科学技术</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其他科学技术</w:t>
      </w:r>
      <w:r>
        <w:rPr>
          <w:rFonts w:ascii="Times New Roman" w:hAnsi="Times New Roman" w:eastAsia="仿宋_GB2312" w:cs="Times New Roman"/>
          <w:sz w:val="32"/>
          <w:szCs w:val="32"/>
        </w:rPr>
        <w:t>（项）。</w:t>
      </w:r>
    </w:p>
    <w:p w14:paraId="343F3B33">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万元，决算数大于（小于）年初预算数的主要原因是：</w:t>
      </w:r>
      <w:r>
        <w:rPr>
          <w:rFonts w:hint="eastAsia" w:ascii="Times New Roman" w:hAnsi="Times New Roman" w:eastAsia="仿宋_GB2312" w:cs="Times New Roman"/>
          <w:sz w:val="32"/>
          <w:szCs w:val="32"/>
          <w:lang w:eastAsia="zh-CN"/>
        </w:rPr>
        <w:t>市财政年中追加预算，用于发放怀化市“五溪智汇”柔性引进人才</w:t>
      </w:r>
      <w:r>
        <w:rPr>
          <w:rFonts w:hint="eastAsia" w:ascii="Times New Roman" w:hAnsi="Times New Roman" w:eastAsia="仿宋_GB2312" w:cs="Times New Roman"/>
          <w:sz w:val="32"/>
          <w:szCs w:val="32"/>
          <w:lang w:val="en-US" w:eastAsia="zh-CN"/>
        </w:rPr>
        <w:t>2024-2025年度工作补助。</w:t>
      </w:r>
    </w:p>
    <w:p w14:paraId="6BB43FE5">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文化旅游体育与传媒</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其他文化旅游体育与传媒</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其他文化旅游体育与传媒</w:t>
      </w:r>
      <w:r>
        <w:rPr>
          <w:rFonts w:ascii="Times New Roman" w:hAnsi="Times New Roman" w:eastAsia="仿宋_GB2312" w:cs="Times New Roman"/>
          <w:sz w:val="32"/>
          <w:szCs w:val="32"/>
        </w:rPr>
        <w:t>（项）。</w:t>
      </w:r>
    </w:p>
    <w:p w14:paraId="5FB07CAC">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w:t>
      </w:r>
      <w:r>
        <w:rPr>
          <w:rFonts w:ascii="Times New Roman" w:hAnsi="Times New Roman" w:eastAsia="仿宋_GB2312" w:cs="Times New Roman"/>
          <w:sz w:val="32"/>
          <w:szCs w:val="32"/>
        </w:rPr>
        <w:t>算数大于年初预算数的主要原因是：</w:t>
      </w:r>
      <w:r>
        <w:rPr>
          <w:rFonts w:hint="eastAsia" w:ascii="Times New Roman" w:hAnsi="Times New Roman" w:eastAsia="仿宋_GB2312" w:cs="Times New Roman"/>
          <w:sz w:val="32"/>
          <w:szCs w:val="32"/>
          <w:lang w:eastAsia="zh-CN"/>
        </w:rPr>
        <w:t>市财政年中追加预算，用于开展湖南省第五届旅游发展大会的“福地怀化”美食美发活动、城乡风貌提质工作、怀味药膳进酒店推广活动。</w:t>
      </w:r>
    </w:p>
    <w:p w14:paraId="5D3C46AE">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行政单位离退休</w:t>
      </w:r>
      <w:r>
        <w:rPr>
          <w:rFonts w:ascii="Times New Roman" w:hAnsi="Times New Roman" w:eastAsia="仿宋_GB2312" w:cs="Times New Roman"/>
          <w:sz w:val="32"/>
          <w:szCs w:val="32"/>
        </w:rPr>
        <w:t>（项）。</w:t>
      </w:r>
    </w:p>
    <w:p w14:paraId="584B5942">
      <w:pPr>
        <w:pStyle w:val="13"/>
        <w:keepNext w:val="0"/>
        <w:keepLines w:val="0"/>
        <w:pageBreakBefore w:val="0"/>
        <w:kinsoku/>
        <w:wordWrap/>
        <w:topLinePunct w:val="0"/>
        <w:bidi w:val="0"/>
        <w:snapToGrid/>
        <w:spacing w:line="600" w:lineRule="exact"/>
        <w:ind w:firstLine="640" w:firstLineChars="200"/>
        <w:jc w:val="both"/>
        <w:textAlignment w:val="auto"/>
        <w:rPr>
          <w:rFonts w:ascii="Times New Roman" w:hAnsi="Times New Roman" w:eastAsia="仿宋_GB2312"/>
          <w:color w:val="0000FF"/>
          <w:sz w:val="32"/>
          <w:szCs w:val="32"/>
          <w:highlight w:val="none"/>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23.69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pacing w:val="-2"/>
          <w:sz w:val="32"/>
          <w:szCs w:val="32"/>
          <w:highlight w:val="none"/>
          <w:lang w:val="en-US" w:eastAsia="zh-CN"/>
        </w:rPr>
        <w:t>用于发放离休干部的春节一次性补助、退休党支部负责人工作补贴，支付离退休人员生病住院慰问和退休人员去世的丧葬费与抚恤金。</w:t>
      </w:r>
    </w:p>
    <w:p w14:paraId="62A595C7">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spacing w:val="-2"/>
          <w:kern w:val="0"/>
          <w:sz w:val="32"/>
          <w:szCs w:val="32"/>
        </w:rPr>
      </w:pPr>
      <w:r>
        <w:rPr>
          <w:rFonts w:hint="eastAsia" w:ascii="Times New Roman" w:hAnsi="Times New Roman" w:eastAsia="仿宋_GB2312"/>
          <w:spacing w:val="-2"/>
          <w:kern w:val="0"/>
          <w:sz w:val="32"/>
          <w:szCs w:val="32"/>
          <w:lang w:val="en-US" w:eastAsia="zh-CN"/>
        </w:rPr>
        <w:t>5</w:t>
      </w:r>
      <w:r>
        <w:rPr>
          <w:rFonts w:ascii="Times New Roman" w:hAnsi="Times New Roman" w:eastAsia="仿宋_GB2312"/>
          <w:spacing w:val="-2"/>
          <w:kern w:val="0"/>
          <w:sz w:val="32"/>
          <w:szCs w:val="32"/>
        </w:rPr>
        <w:t>、社会保障和就业（类）行政事业单位养老（款）</w:t>
      </w:r>
      <w:r>
        <w:rPr>
          <w:rFonts w:hint="eastAsia" w:ascii="Times New Roman" w:hAnsi="Times New Roman" w:eastAsia="仿宋_GB2312"/>
          <w:spacing w:val="-2"/>
          <w:kern w:val="0"/>
          <w:sz w:val="32"/>
          <w:szCs w:val="32"/>
        </w:rPr>
        <w:t>机关事业单位基本养老保险缴费</w:t>
      </w:r>
      <w:r>
        <w:rPr>
          <w:rFonts w:ascii="Times New Roman" w:hAnsi="Times New Roman" w:eastAsia="仿宋_GB2312"/>
          <w:spacing w:val="-2"/>
          <w:kern w:val="0"/>
          <w:sz w:val="32"/>
          <w:szCs w:val="32"/>
        </w:rPr>
        <w:t>（项）。</w:t>
      </w:r>
    </w:p>
    <w:p w14:paraId="3E127AC3">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color w:val="auto"/>
          <w:spacing w:val="-2"/>
          <w:kern w:val="0"/>
          <w:sz w:val="32"/>
          <w:szCs w:val="32"/>
        </w:rPr>
      </w:pPr>
      <w:r>
        <w:rPr>
          <w:rFonts w:ascii="Times New Roman" w:hAnsi="Times New Roman" w:eastAsia="仿宋_GB2312"/>
          <w:spacing w:val="-2"/>
          <w:kern w:val="0"/>
          <w:sz w:val="32"/>
          <w:szCs w:val="32"/>
        </w:rPr>
        <w:t>年初预算为</w:t>
      </w:r>
      <w:r>
        <w:rPr>
          <w:rFonts w:hint="eastAsia" w:ascii="Times New Roman" w:hAnsi="Times New Roman" w:eastAsia="仿宋_GB2312"/>
          <w:spacing w:val="-2"/>
          <w:kern w:val="0"/>
          <w:sz w:val="32"/>
          <w:szCs w:val="32"/>
          <w:lang w:val="en-US" w:eastAsia="zh-CN"/>
        </w:rPr>
        <w:t>322.15</w:t>
      </w:r>
      <w:r>
        <w:rPr>
          <w:rFonts w:ascii="Times New Roman" w:hAnsi="Times New Roman" w:eastAsia="仿宋_GB2312"/>
          <w:spacing w:val="-2"/>
          <w:kern w:val="0"/>
          <w:sz w:val="32"/>
          <w:szCs w:val="32"/>
        </w:rPr>
        <w:t>万元，支出决算为</w:t>
      </w:r>
      <w:r>
        <w:rPr>
          <w:rFonts w:hint="eastAsia" w:ascii="Times New Roman" w:hAnsi="Times New Roman" w:eastAsia="仿宋_GB2312"/>
          <w:spacing w:val="-2"/>
          <w:kern w:val="0"/>
          <w:sz w:val="32"/>
          <w:szCs w:val="32"/>
          <w:lang w:val="en-US" w:eastAsia="zh-CN"/>
        </w:rPr>
        <w:t>285.99</w:t>
      </w:r>
      <w:r>
        <w:rPr>
          <w:rFonts w:ascii="Times New Roman" w:hAnsi="Times New Roman" w:eastAsia="仿宋_GB2312"/>
          <w:spacing w:val="-2"/>
          <w:kern w:val="0"/>
          <w:sz w:val="32"/>
          <w:szCs w:val="32"/>
        </w:rPr>
        <w:t>万元，</w:t>
      </w:r>
      <w:r>
        <w:rPr>
          <w:rFonts w:hint="eastAsia" w:ascii="Times New Roman" w:hAnsi="Times New Roman" w:eastAsia="仿宋_GB2312"/>
          <w:spacing w:val="-2"/>
          <w:kern w:val="0"/>
          <w:sz w:val="32"/>
          <w:szCs w:val="32"/>
          <w:lang w:eastAsia="zh-CN"/>
        </w:rPr>
        <w:t>完成</w:t>
      </w:r>
      <w:r>
        <w:rPr>
          <w:rFonts w:ascii="Times New Roman" w:hAnsi="Times New Roman" w:eastAsia="仿宋_GB2312"/>
          <w:spacing w:val="-2"/>
          <w:kern w:val="0"/>
          <w:sz w:val="32"/>
          <w:szCs w:val="32"/>
        </w:rPr>
        <w:t>年初预算</w:t>
      </w:r>
      <w:r>
        <w:rPr>
          <w:rFonts w:hint="eastAsia" w:ascii="Times New Roman" w:hAnsi="Times New Roman" w:eastAsia="仿宋_GB2312"/>
          <w:spacing w:val="-2"/>
          <w:kern w:val="0"/>
          <w:sz w:val="32"/>
          <w:szCs w:val="32"/>
          <w:lang w:eastAsia="zh-CN"/>
        </w:rPr>
        <w:t>的</w:t>
      </w:r>
      <w:r>
        <w:rPr>
          <w:rFonts w:hint="eastAsia" w:ascii="Times New Roman" w:hAnsi="Times New Roman" w:eastAsia="仿宋_GB2312"/>
          <w:spacing w:val="-2"/>
          <w:kern w:val="0"/>
          <w:sz w:val="32"/>
          <w:szCs w:val="32"/>
          <w:lang w:val="en-US" w:eastAsia="zh-CN"/>
        </w:rPr>
        <w:t>88.78%，决算数小于年初预算数的主要原因是：本年度有在职人员退休或调离我单位，实际</w:t>
      </w:r>
      <w:r>
        <w:rPr>
          <w:rFonts w:hint="eastAsia" w:ascii="Times New Roman" w:hAnsi="Times New Roman" w:eastAsia="仿宋_GB2312"/>
          <w:spacing w:val="-2"/>
          <w:kern w:val="0"/>
          <w:sz w:val="32"/>
          <w:szCs w:val="32"/>
          <w:lang w:eastAsia="zh-CN"/>
        </w:rPr>
        <w:t>缴纳在职人员的养老保险（单位部分）小于年初预算数。</w:t>
      </w:r>
    </w:p>
    <w:p w14:paraId="4B8D2FB4">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spacing w:val="-2"/>
          <w:kern w:val="0"/>
          <w:sz w:val="32"/>
          <w:szCs w:val="32"/>
        </w:rPr>
      </w:pPr>
      <w:r>
        <w:rPr>
          <w:rFonts w:hint="eastAsia" w:ascii="Times New Roman" w:hAnsi="Times New Roman" w:eastAsia="仿宋_GB2312"/>
          <w:sz w:val="32"/>
          <w:szCs w:val="32"/>
          <w:lang w:val="en-US" w:eastAsia="zh-CN"/>
        </w:rPr>
        <w:t>6</w:t>
      </w:r>
      <w:r>
        <w:rPr>
          <w:rFonts w:hint="default" w:ascii="Times New Roman" w:hAnsi="Times New Roman" w:eastAsia="仿宋_GB2312"/>
          <w:sz w:val="32"/>
          <w:szCs w:val="32"/>
        </w:rPr>
        <w:t>、</w:t>
      </w:r>
      <w:r>
        <w:rPr>
          <w:rFonts w:hint="eastAsia" w:ascii="Times New Roman" w:hAnsi="Times New Roman" w:eastAsia="仿宋_GB2312"/>
          <w:spacing w:val="-2"/>
          <w:kern w:val="0"/>
          <w:sz w:val="32"/>
          <w:szCs w:val="32"/>
          <w:lang w:eastAsia="zh-CN"/>
        </w:rPr>
        <w:t>卫生健康</w:t>
      </w:r>
      <w:r>
        <w:rPr>
          <w:rFonts w:ascii="Times New Roman" w:hAnsi="Times New Roman" w:eastAsia="仿宋_GB2312"/>
          <w:spacing w:val="-2"/>
          <w:kern w:val="0"/>
          <w:sz w:val="32"/>
          <w:szCs w:val="32"/>
        </w:rPr>
        <w:t>（类）</w:t>
      </w:r>
      <w:r>
        <w:rPr>
          <w:rFonts w:hint="eastAsia" w:ascii="Times New Roman" w:hAnsi="Times New Roman" w:eastAsia="仿宋_GB2312"/>
          <w:spacing w:val="-2"/>
          <w:kern w:val="0"/>
          <w:sz w:val="32"/>
          <w:szCs w:val="32"/>
          <w:lang w:eastAsia="zh-CN"/>
        </w:rPr>
        <w:t>行政事业单位医疗</w:t>
      </w:r>
      <w:r>
        <w:rPr>
          <w:rFonts w:ascii="Times New Roman" w:hAnsi="Times New Roman" w:eastAsia="仿宋_GB2312"/>
          <w:spacing w:val="-2"/>
          <w:kern w:val="0"/>
          <w:sz w:val="32"/>
          <w:szCs w:val="32"/>
        </w:rPr>
        <w:t>（款）</w:t>
      </w:r>
      <w:r>
        <w:rPr>
          <w:rFonts w:hint="eastAsia" w:ascii="Times New Roman" w:hAnsi="Times New Roman" w:eastAsia="仿宋_GB2312"/>
          <w:spacing w:val="-2"/>
          <w:kern w:val="0"/>
          <w:sz w:val="32"/>
          <w:szCs w:val="32"/>
          <w:lang w:eastAsia="zh-CN"/>
        </w:rPr>
        <w:t>行政单位医疗</w:t>
      </w:r>
      <w:r>
        <w:rPr>
          <w:rFonts w:ascii="Times New Roman" w:hAnsi="Times New Roman" w:eastAsia="仿宋_GB2312"/>
          <w:spacing w:val="-2"/>
          <w:kern w:val="0"/>
          <w:sz w:val="32"/>
          <w:szCs w:val="32"/>
        </w:rPr>
        <w:t>（项）。</w:t>
      </w:r>
    </w:p>
    <w:p w14:paraId="49254630">
      <w:pPr>
        <w:pStyle w:val="13"/>
        <w:keepNext w:val="0"/>
        <w:keepLines w:val="0"/>
        <w:pageBreakBefore w:val="0"/>
        <w:kinsoku/>
        <w:wordWrap/>
        <w:topLinePunct w:val="0"/>
        <w:bidi w:val="0"/>
        <w:snapToGrid/>
        <w:spacing w:line="600" w:lineRule="exact"/>
        <w:ind w:firstLine="632" w:firstLineChars="200"/>
        <w:jc w:val="both"/>
        <w:textAlignment w:val="auto"/>
        <w:rPr>
          <w:rFonts w:hint="eastAsia" w:ascii="Times New Roman" w:hAnsi="仿宋_GB2312" w:eastAsia="仿宋_GB2312" w:cs="Times New Roman"/>
          <w:color w:val="auto"/>
          <w:sz w:val="32"/>
          <w:szCs w:val="32"/>
          <w:highlight w:val="none"/>
          <w:lang w:eastAsia="zh-CN"/>
        </w:rPr>
      </w:pPr>
      <w:r>
        <w:rPr>
          <w:rFonts w:ascii="Times New Roman" w:hAnsi="Times New Roman" w:eastAsia="仿宋_GB2312" w:cs="Times New Roman"/>
          <w:color w:val="auto"/>
          <w:spacing w:val="-2"/>
          <w:sz w:val="32"/>
          <w:szCs w:val="32"/>
          <w:highlight w:val="none"/>
        </w:rPr>
        <w:t>年初预算为</w:t>
      </w:r>
      <w:r>
        <w:rPr>
          <w:rFonts w:hint="eastAsia" w:ascii="Times New Roman" w:hAnsi="Times New Roman" w:eastAsia="仿宋_GB2312" w:cs="Times New Roman"/>
          <w:color w:val="auto"/>
          <w:spacing w:val="-2"/>
          <w:sz w:val="32"/>
          <w:szCs w:val="32"/>
          <w:highlight w:val="none"/>
          <w:lang w:val="en-US" w:eastAsia="zh-CN"/>
        </w:rPr>
        <w:t>130.34万</w:t>
      </w:r>
      <w:r>
        <w:rPr>
          <w:rFonts w:ascii="Times New Roman" w:hAnsi="Times New Roman" w:eastAsia="仿宋_GB2312" w:cs="Times New Roman"/>
          <w:color w:val="auto"/>
          <w:spacing w:val="-2"/>
          <w:sz w:val="32"/>
          <w:szCs w:val="32"/>
          <w:highlight w:val="none"/>
        </w:rPr>
        <w:t>元，支出决算为</w:t>
      </w:r>
      <w:r>
        <w:rPr>
          <w:rFonts w:hint="eastAsia" w:ascii="Times New Roman" w:hAnsi="Times New Roman" w:eastAsia="仿宋_GB2312" w:cs="Times New Roman"/>
          <w:color w:val="auto"/>
          <w:spacing w:val="-2"/>
          <w:sz w:val="32"/>
          <w:szCs w:val="32"/>
          <w:highlight w:val="none"/>
          <w:lang w:val="en-US" w:eastAsia="zh-CN"/>
        </w:rPr>
        <w:t>114.49</w:t>
      </w:r>
      <w:r>
        <w:rPr>
          <w:rFonts w:ascii="Times New Roman" w:hAnsi="Times New Roman" w:eastAsia="仿宋_GB2312" w:cs="Times New Roman"/>
          <w:color w:val="auto"/>
          <w:spacing w:val="-2"/>
          <w:sz w:val="32"/>
          <w:szCs w:val="32"/>
          <w:highlight w:val="none"/>
        </w:rPr>
        <w:t>万元，完成年初预算的</w:t>
      </w:r>
      <w:r>
        <w:rPr>
          <w:rFonts w:hint="eastAsia" w:ascii="Times New Roman" w:hAnsi="Times New Roman" w:eastAsia="仿宋_GB2312" w:cs="Times New Roman"/>
          <w:color w:val="auto"/>
          <w:spacing w:val="-2"/>
          <w:sz w:val="32"/>
          <w:szCs w:val="32"/>
          <w:highlight w:val="none"/>
          <w:lang w:val="en-US" w:eastAsia="zh-CN"/>
        </w:rPr>
        <w:t>87.84</w:t>
      </w:r>
      <w:r>
        <w:rPr>
          <w:rFonts w:ascii="Times New Roman" w:hAnsi="Times New Roman" w:eastAsia="仿宋_GB2312" w:cs="Times New Roman"/>
          <w:color w:val="auto"/>
          <w:spacing w:val="-2"/>
          <w:sz w:val="32"/>
          <w:szCs w:val="32"/>
          <w:highlight w:val="none"/>
        </w:rPr>
        <w:t>%，</w:t>
      </w:r>
      <w:r>
        <w:rPr>
          <w:rFonts w:hint="eastAsia" w:ascii="Times New Roman" w:hAnsi="Times New Roman" w:eastAsia="仿宋_GB2312"/>
          <w:spacing w:val="-2"/>
          <w:kern w:val="0"/>
          <w:sz w:val="32"/>
          <w:szCs w:val="32"/>
          <w:lang w:val="en-US" w:eastAsia="zh-CN"/>
        </w:rPr>
        <w:t>决算数小于年初预算数的主要原因是：本年度有在职人员退休或调离我单位，实际</w:t>
      </w:r>
      <w:r>
        <w:rPr>
          <w:rFonts w:hint="eastAsia" w:ascii="Times New Roman" w:hAnsi="Times New Roman" w:eastAsia="仿宋_GB2312" w:cs="Times New Roman"/>
          <w:color w:val="auto"/>
          <w:spacing w:val="-2"/>
          <w:sz w:val="32"/>
          <w:szCs w:val="32"/>
          <w:highlight w:val="none"/>
          <w:lang w:eastAsia="zh-CN"/>
        </w:rPr>
        <w:t>缴纳在职人员的医疗保险（单位部分）小于年初预算数。</w:t>
      </w:r>
    </w:p>
    <w:p w14:paraId="69A01FD5">
      <w:pPr>
        <w:pStyle w:val="13"/>
        <w:keepNext w:val="0"/>
        <w:keepLines w:val="0"/>
        <w:pageBreakBefore w:val="0"/>
        <w:numPr>
          <w:ilvl w:val="0"/>
          <w:numId w:val="0"/>
        </w:numPr>
        <w:kinsoku/>
        <w:wordWrap/>
        <w:topLinePunct w:val="0"/>
        <w:bidi w:val="0"/>
        <w:snapToGrid/>
        <w:spacing w:line="600" w:lineRule="exact"/>
        <w:ind w:left="630" w:leftChars="0"/>
        <w:jc w:val="both"/>
        <w:textAlignment w:val="auto"/>
        <w:rPr>
          <w:rFonts w:hint="eastAsia" w:ascii="Times New Roman" w:hAnsi="Times New Roman" w:eastAsia="仿宋_GB2312"/>
          <w:spacing w:val="-2"/>
          <w:kern w:val="0"/>
          <w:sz w:val="32"/>
          <w:szCs w:val="32"/>
          <w:lang w:eastAsia="zh-CN"/>
        </w:rPr>
      </w:pPr>
      <w:r>
        <w:rPr>
          <w:rFonts w:hint="eastAsia" w:ascii="Times New Roman" w:hAnsi="Times New Roman" w:eastAsia="仿宋_GB2312"/>
          <w:spacing w:val="-2"/>
          <w:kern w:val="0"/>
          <w:sz w:val="32"/>
          <w:szCs w:val="32"/>
          <w:lang w:val="en-US" w:eastAsia="zh-CN"/>
        </w:rPr>
        <w:t>7、</w:t>
      </w:r>
      <w:r>
        <w:rPr>
          <w:rFonts w:ascii="Times New Roman" w:hAnsi="Times New Roman" w:eastAsia="仿宋_GB2312"/>
          <w:spacing w:val="-2"/>
          <w:kern w:val="0"/>
          <w:sz w:val="32"/>
          <w:szCs w:val="32"/>
        </w:rPr>
        <w:t>农林水（类）农业农村（款）</w:t>
      </w:r>
      <w:r>
        <w:rPr>
          <w:rFonts w:hint="eastAsia" w:ascii="Times New Roman" w:hAnsi="Times New Roman" w:eastAsia="仿宋_GB2312"/>
          <w:spacing w:val="-2"/>
          <w:kern w:val="0"/>
          <w:sz w:val="32"/>
          <w:szCs w:val="32"/>
          <w:lang w:eastAsia="zh-CN"/>
        </w:rPr>
        <w:t>行政运行（项）。</w:t>
      </w:r>
    </w:p>
    <w:p w14:paraId="700F37A1">
      <w:pPr>
        <w:pStyle w:val="13"/>
        <w:keepNext w:val="0"/>
        <w:keepLines w:val="0"/>
        <w:pageBreakBefore w:val="0"/>
        <w:numPr>
          <w:ilvl w:val="-1"/>
          <w:numId w:val="0"/>
        </w:numPr>
        <w:tabs>
          <w:tab w:val="left" w:pos="698"/>
        </w:tabs>
        <w:kinsoku/>
        <w:wordWrap/>
        <w:topLinePunct w:val="0"/>
        <w:bidi w:val="0"/>
        <w:snapToGrid/>
        <w:spacing w:line="600" w:lineRule="exact"/>
        <w:ind w:firstLine="0" w:firstLineChars="0"/>
        <w:jc w:val="both"/>
        <w:textAlignment w:val="auto"/>
        <w:rPr>
          <w:rFonts w:hint="eastAsia" w:ascii="Times New Roman" w:hAnsi="Times New Roman" w:eastAsia="仿宋_GB2312" w:cs="黑体"/>
          <w:color w:val="000000"/>
          <w:spacing w:val="-2"/>
          <w:sz w:val="32"/>
          <w:szCs w:val="32"/>
          <w:highlight w:val="none"/>
        </w:rPr>
      </w:pPr>
      <w:r>
        <w:rPr>
          <w:rFonts w:hint="eastAsia" w:ascii="Times New Roman" w:hAnsi="Times New Roman" w:eastAsia="仿宋_GB2312" w:cs="黑体"/>
          <w:color w:val="000000"/>
          <w:spacing w:val="-2"/>
          <w:sz w:val="32"/>
          <w:szCs w:val="32"/>
          <w:lang w:eastAsia="zh-CN"/>
        </w:rPr>
        <w:tab/>
      </w:r>
      <w:r>
        <w:rPr>
          <w:rFonts w:ascii="Times New Roman" w:hAnsi="Times New Roman" w:eastAsia="仿宋_GB2312"/>
          <w:spacing w:val="-2"/>
          <w:kern w:val="0"/>
          <w:sz w:val="32"/>
          <w:szCs w:val="32"/>
          <w:highlight w:val="none"/>
        </w:rPr>
        <w:t>年初预</w:t>
      </w:r>
      <w:r>
        <w:rPr>
          <w:rFonts w:ascii="Times New Roman" w:hAnsi="Times New Roman" w:eastAsia="仿宋_GB2312"/>
          <w:color w:val="auto"/>
          <w:spacing w:val="-2"/>
          <w:kern w:val="0"/>
          <w:sz w:val="32"/>
          <w:szCs w:val="32"/>
          <w:highlight w:val="none"/>
        </w:rPr>
        <w:t>算为</w:t>
      </w:r>
      <w:r>
        <w:rPr>
          <w:rFonts w:hint="eastAsia" w:ascii="Times New Roman" w:hAnsi="Times New Roman" w:eastAsia="仿宋_GB2312"/>
          <w:color w:val="auto"/>
          <w:spacing w:val="-2"/>
          <w:kern w:val="0"/>
          <w:sz w:val="32"/>
          <w:szCs w:val="32"/>
          <w:highlight w:val="none"/>
          <w:lang w:val="en-US" w:eastAsia="zh-CN"/>
        </w:rPr>
        <w:t>2828.21</w:t>
      </w:r>
      <w:r>
        <w:rPr>
          <w:rFonts w:ascii="Times New Roman" w:hAnsi="Times New Roman" w:eastAsia="仿宋_GB2312"/>
          <w:color w:val="auto"/>
          <w:spacing w:val="-2"/>
          <w:kern w:val="0"/>
          <w:sz w:val="32"/>
          <w:szCs w:val="32"/>
          <w:highlight w:val="none"/>
        </w:rPr>
        <w:t>万元，支出决算为</w:t>
      </w:r>
      <w:r>
        <w:rPr>
          <w:rFonts w:hint="eastAsia" w:ascii="Times New Roman" w:hAnsi="Times New Roman" w:eastAsia="仿宋_GB2312"/>
          <w:color w:val="auto"/>
          <w:spacing w:val="-2"/>
          <w:kern w:val="0"/>
          <w:sz w:val="32"/>
          <w:szCs w:val="32"/>
          <w:highlight w:val="none"/>
          <w:lang w:val="en-US" w:eastAsia="zh-CN"/>
        </w:rPr>
        <w:t>2614.95</w:t>
      </w:r>
      <w:r>
        <w:rPr>
          <w:rFonts w:ascii="Times New Roman" w:hAnsi="Times New Roman" w:eastAsia="仿宋_GB2312"/>
          <w:color w:val="auto"/>
          <w:spacing w:val="-2"/>
          <w:kern w:val="0"/>
          <w:sz w:val="32"/>
          <w:szCs w:val="32"/>
          <w:highlight w:val="none"/>
        </w:rPr>
        <w:t>万元，</w:t>
      </w:r>
      <w:r>
        <w:rPr>
          <w:rFonts w:hint="eastAsia" w:ascii="Times New Roman" w:hAnsi="Times New Roman" w:eastAsia="仿宋_GB2312"/>
          <w:color w:val="auto"/>
          <w:spacing w:val="-2"/>
          <w:kern w:val="0"/>
          <w:sz w:val="32"/>
          <w:szCs w:val="32"/>
          <w:highlight w:val="none"/>
          <w:lang w:eastAsia="zh-CN"/>
        </w:rPr>
        <w:t>完成年初预算的</w:t>
      </w:r>
      <w:r>
        <w:rPr>
          <w:rFonts w:hint="eastAsia" w:ascii="Times New Roman" w:hAnsi="Times New Roman" w:eastAsia="仿宋_GB2312"/>
          <w:color w:val="auto"/>
          <w:spacing w:val="-2"/>
          <w:kern w:val="0"/>
          <w:sz w:val="32"/>
          <w:szCs w:val="32"/>
          <w:highlight w:val="none"/>
          <w:lang w:val="en-US" w:eastAsia="zh-CN"/>
        </w:rPr>
        <w:t>92.46%，</w:t>
      </w:r>
      <w:r>
        <w:rPr>
          <w:rFonts w:hint="eastAsia" w:ascii="Times New Roman" w:hAnsi="Times New Roman" w:eastAsia="仿宋_GB2312"/>
          <w:spacing w:val="-2"/>
          <w:kern w:val="0"/>
          <w:sz w:val="32"/>
          <w:szCs w:val="32"/>
          <w:lang w:val="en-US" w:eastAsia="zh-CN"/>
        </w:rPr>
        <w:t>决算数小于年初预算数的主要原因是：本年度有在职人员退休或调离我单位，</w:t>
      </w:r>
      <w:r>
        <w:rPr>
          <w:rFonts w:hint="eastAsia" w:ascii="Times New Roman" w:hAnsi="Times New Roman" w:eastAsia="仿宋_GB2312"/>
          <w:color w:val="auto"/>
          <w:spacing w:val="-2"/>
          <w:kern w:val="0"/>
          <w:sz w:val="32"/>
          <w:szCs w:val="32"/>
          <w:highlight w:val="none"/>
          <w:lang w:val="en-US" w:eastAsia="zh-CN"/>
        </w:rPr>
        <w:t>发放人员工资、缴纳职业年金、生育保险、失业保险、住房公积金小于年初预算数。</w:t>
      </w:r>
    </w:p>
    <w:p w14:paraId="4EF19081">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spacing w:val="-2"/>
          <w:kern w:val="0"/>
          <w:sz w:val="32"/>
          <w:szCs w:val="32"/>
        </w:rPr>
      </w:pPr>
      <w:r>
        <w:rPr>
          <w:rFonts w:hint="eastAsia" w:ascii="Times New Roman" w:hAnsi="Times New Roman" w:eastAsia="仿宋_GB2312"/>
          <w:spacing w:val="-2"/>
          <w:kern w:val="0"/>
          <w:sz w:val="32"/>
          <w:szCs w:val="32"/>
          <w:lang w:val="en-US" w:eastAsia="zh-CN"/>
        </w:rPr>
        <w:t>8</w:t>
      </w:r>
      <w:r>
        <w:rPr>
          <w:rFonts w:ascii="Times New Roman" w:hAnsi="Times New Roman" w:eastAsia="仿宋_GB2312"/>
          <w:spacing w:val="-2"/>
          <w:kern w:val="0"/>
          <w:sz w:val="32"/>
          <w:szCs w:val="32"/>
        </w:rPr>
        <w:t>、农林水（类）农业农村（款）</w:t>
      </w:r>
      <w:r>
        <w:rPr>
          <w:rFonts w:hint="eastAsia" w:ascii="Times New Roman" w:hAnsi="Times New Roman" w:eastAsia="仿宋_GB2312"/>
          <w:spacing w:val="-2"/>
          <w:kern w:val="0"/>
          <w:sz w:val="32"/>
          <w:szCs w:val="32"/>
          <w:lang w:eastAsia="zh-CN"/>
        </w:rPr>
        <w:t>科技转化与推广服务</w:t>
      </w:r>
      <w:r>
        <w:rPr>
          <w:rFonts w:ascii="Times New Roman" w:hAnsi="Times New Roman" w:eastAsia="仿宋_GB2312"/>
          <w:spacing w:val="-2"/>
          <w:kern w:val="0"/>
          <w:sz w:val="32"/>
          <w:szCs w:val="32"/>
        </w:rPr>
        <w:t>（项）。</w:t>
      </w:r>
    </w:p>
    <w:p w14:paraId="75B1D51A">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hint="default" w:ascii="Times New Roman" w:hAnsi="Times New Roman" w:eastAsia="仿宋_GB2312"/>
          <w:color w:val="auto"/>
          <w:spacing w:val="-2"/>
          <w:kern w:val="0"/>
          <w:sz w:val="32"/>
          <w:szCs w:val="32"/>
          <w:lang w:val="en-US" w:eastAsia="zh-CN"/>
        </w:rPr>
      </w:pPr>
      <w:r>
        <w:rPr>
          <w:rFonts w:ascii="Times New Roman" w:hAnsi="Times New Roman" w:eastAsia="仿宋_GB2312"/>
          <w:spacing w:val="-2"/>
          <w:kern w:val="0"/>
          <w:sz w:val="32"/>
          <w:szCs w:val="32"/>
        </w:rPr>
        <w:t>年初预算为0万元，支出决算为</w:t>
      </w:r>
      <w:r>
        <w:rPr>
          <w:rFonts w:hint="eastAsia" w:ascii="Times New Roman" w:hAnsi="Times New Roman" w:eastAsia="仿宋_GB2312"/>
          <w:spacing w:val="-2"/>
          <w:kern w:val="0"/>
          <w:sz w:val="32"/>
          <w:szCs w:val="32"/>
          <w:lang w:val="en-US" w:eastAsia="zh-CN"/>
        </w:rPr>
        <w:t>122</w:t>
      </w:r>
      <w:r>
        <w:rPr>
          <w:rFonts w:ascii="Times New Roman" w:hAnsi="Times New Roman" w:eastAsia="仿宋_GB2312"/>
          <w:spacing w:val="-2"/>
          <w:kern w:val="0"/>
          <w:sz w:val="32"/>
          <w:szCs w:val="32"/>
        </w:rPr>
        <w:t>万元，决算数大于年初预算数的主要</w:t>
      </w:r>
      <w:r>
        <w:rPr>
          <w:rFonts w:ascii="Times New Roman" w:hAnsi="Times New Roman" w:eastAsia="仿宋_GB2312"/>
          <w:color w:val="auto"/>
          <w:spacing w:val="-2"/>
          <w:kern w:val="0"/>
          <w:sz w:val="32"/>
          <w:szCs w:val="32"/>
        </w:rPr>
        <w:t>原因是：</w:t>
      </w:r>
      <w:r>
        <w:rPr>
          <w:rFonts w:hint="eastAsia" w:ascii="Times New Roman" w:hAnsi="Times New Roman" w:eastAsia="仿宋_GB2312"/>
          <w:color w:val="auto"/>
          <w:spacing w:val="-2"/>
          <w:kern w:val="0"/>
          <w:sz w:val="32"/>
          <w:szCs w:val="32"/>
          <w:lang w:eastAsia="zh-CN"/>
        </w:rPr>
        <w:t>省级财政</w:t>
      </w:r>
      <w:r>
        <w:rPr>
          <w:rFonts w:hint="eastAsia" w:ascii="Times New Roman" w:hAnsi="Times New Roman" w:eastAsia="仿宋_GB2312"/>
          <w:color w:val="auto"/>
          <w:spacing w:val="-2"/>
          <w:kern w:val="0"/>
          <w:sz w:val="32"/>
          <w:szCs w:val="32"/>
        </w:rPr>
        <w:t>转移支付资金，用于</w:t>
      </w:r>
      <w:r>
        <w:rPr>
          <w:rFonts w:hint="eastAsia" w:ascii="Times New Roman" w:hAnsi="Times New Roman" w:eastAsia="仿宋_GB2312"/>
          <w:color w:val="auto"/>
          <w:spacing w:val="-2"/>
          <w:kern w:val="0"/>
          <w:sz w:val="32"/>
          <w:szCs w:val="32"/>
          <w:lang w:eastAsia="zh-CN"/>
        </w:rPr>
        <w:t>支付</w:t>
      </w:r>
      <w:r>
        <w:rPr>
          <w:rFonts w:hint="eastAsia" w:ascii="Times New Roman" w:hAnsi="Times New Roman" w:eastAsia="仿宋_GB2312"/>
          <w:color w:val="auto"/>
          <w:spacing w:val="-2"/>
          <w:kern w:val="0"/>
          <w:sz w:val="32"/>
          <w:szCs w:val="32"/>
          <w:lang w:val="en-US" w:eastAsia="zh-CN"/>
        </w:rPr>
        <w:t>2024年和2025年中央高素质农民培育的委托办班服务费。</w:t>
      </w:r>
    </w:p>
    <w:p w14:paraId="3DEDF8B1">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spacing w:val="-2"/>
          <w:kern w:val="0"/>
          <w:sz w:val="32"/>
          <w:szCs w:val="32"/>
        </w:rPr>
      </w:pPr>
      <w:r>
        <w:rPr>
          <w:rFonts w:hint="default" w:ascii="Times New Roman" w:hAnsi="Times New Roman" w:eastAsia="仿宋_GB2312"/>
          <w:spacing w:val="-2"/>
          <w:kern w:val="0"/>
          <w:sz w:val="32"/>
          <w:szCs w:val="32"/>
        </w:rPr>
        <w:t>9</w:t>
      </w:r>
      <w:r>
        <w:rPr>
          <w:rFonts w:ascii="Times New Roman" w:hAnsi="Times New Roman" w:eastAsia="仿宋_GB2312"/>
          <w:spacing w:val="-2"/>
          <w:kern w:val="0"/>
          <w:sz w:val="32"/>
          <w:szCs w:val="32"/>
        </w:rPr>
        <w:t>、农林水（类）农业农村（款）病虫害控制（项）。</w:t>
      </w:r>
    </w:p>
    <w:p w14:paraId="41FFFC67">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color w:val="auto"/>
          <w:spacing w:val="-2"/>
          <w:kern w:val="0"/>
          <w:sz w:val="32"/>
          <w:szCs w:val="32"/>
        </w:rPr>
      </w:pPr>
      <w:r>
        <w:rPr>
          <w:rFonts w:ascii="Times New Roman" w:hAnsi="Times New Roman" w:eastAsia="仿宋_GB2312"/>
          <w:spacing w:val="-2"/>
          <w:kern w:val="0"/>
          <w:sz w:val="32"/>
          <w:szCs w:val="32"/>
        </w:rPr>
        <w:t>年初预算为0万元，支出决算为</w:t>
      </w:r>
      <w:r>
        <w:rPr>
          <w:rFonts w:hint="eastAsia" w:ascii="Times New Roman" w:hAnsi="Times New Roman" w:eastAsia="仿宋_GB2312"/>
          <w:spacing w:val="-2"/>
          <w:kern w:val="0"/>
          <w:sz w:val="32"/>
          <w:szCs w:val="32"/>
          <w:lang w:val="en-US" w:eastAsia="zh-CN"/>
        </w:rPr>
        <w:t>7.33</w:t>
      </w:r>
      <w:r>
        <w:rPr>
          <w:rFonts w:ascii="Times New Roman" w:hAnsi="Times New Roman" w:eastAsia="仿宋_GB2312"/>
          <w:spacing w:val="-2"/>
          <w:kern w:val="0"/>
          <w:sz w:val="32"/>
          <w:szCs w:val="32"/>
        </w:rPr>
        <w:t>万元，决算数大于年初预算数的主要</w:t>
      </w:r>
      <w:r>
        <w:rPr>
          <w:rFonts w:ascii="Times New Roman" w:hAnsi="Times New Roman" w:eastAsia="仿宋_GB2312"/>
          <w:color w:val="auto"/>
          <w:spacing w:val="-2"/>
          <w:kern w:val="0"/>
          <w:sz w:val="32"/>
          <w:szCs w:val="32"/>
        </w:rPr>
        <w:t>原因是：</w:t>
      </w:r>
      <w:r>
        <w:rPr>
          <w:rFonts w:hint="eastAsia" w:ascii="Times New Roman" w:hAnsi="Times New Roman" w:eastAsia="仿宋_GB2312"/>
          <w:color w:val="auto"/>
          <w:spacing w:val="-2"/>
          <w:kern w:val="0"/>
          <w:sz w:val="32"/>
          <w:szCs w:val="32"/>
          <w:lang w:eastAsia="zh-CN"/>
        </w:rPr>
        <w:t>省级财政</w:t>
      </w:r>
      <w:r>
        <w:rPr>
          <w:rFonts w:hint="eastAsia" w:ascii="Times New Roman" w:hAnsi="Times New Roman" w:eastAsia="仿宋_GB2312"/>
          <w:color w:val="auto"/>
          <w:spacing w:val="-2"/>
          <w:kern w:val="0"/>
          <w:sz w:val="32"/>
          <w:szCs w:val="32"/>
        </w:rPr>
        <w:t>转移支付资金，用于</w:t>
      </w:r>
      <w:r>
        <w:rPr>
          <w:rFonts w:ascii="Times New Roman" w:hAnsi="Times New Roman" w:eastAsia="仿宋_GB2312"/>
          <w:color w:val="auto"/>
          <w:spacing w:val="-2"/>
          <w:kern w:val="0"/>
          <w:sz w:val="32"/>
          <w:szCs w:val="32"/>
        </w:rPr>
        <w:t>农作物重大病虫害防控</w:t>
      </w:r>
      <w:r>
        <w:rPr>
          <w:rFonts w:hint="eastAsia" w:ascii="Times New Roman" w:hAnsi="Times New Roman" w:eastAsia="仿宋_GB2312"/>
          <w:color w:val="auto"/>
          <w:spacing w:val="-2"/>
          <w:kern w:val="0"/>
          <w:sz w:val="32"/>
          <w:szCs w:val="32"/>
        </w:rPr>
        <w:t>工作</w:t>
      </w:r>
      <w:r>
        <w:rPr>
          <w:rFonts w:ascii="Times New Roman" w:hAnsi="Times New Roman" w:eastAsia="仿宋_GB2312"/>
          <w:color w:val="auto"/>
          <w:spacing w:val="-2"/>
          <w:kern w:val="0"/>
          <w:sz w:val="32"/>
          <w:szCs w:val="32"/>
        </w:rPr>
        <w:t>。</w:t>
      </w:r>
    </w:p>
    <w:p w14:paraId="413CDF3D">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spacing w:val="-2"/>
          <w:kern w:val="0"/>
          <w:sz w:val="32"/>
          <w:szCs w:val="32"/>
        </w:rPr>
      </w:pPr>
      <w:r>
        <w:rPr>
          <w:rFonts w:ascii="Times New Roman" w:hAnsi="Times New Roman" w:eastAsia="仿宋_GB2312"/>
          <w:spacing w:val="-2"/>
          <w:kern w:val="0"/>
          <w:sz w:val="32"/>
          <w:szCs w:val="32"/>
        </w:rPr>
        <w:t>1</w:t>
      </w:r>
      <w:r>
        <w:rPr>
          <w:rFonts w:hint="eastAsia" w:ascii="Times New Roman" w:hAnsi="Times New Roman" w:eastAsia="仿宋_GB2312"/>
          <w:spacing w:val="-2"/>
          <w:kern w:val="0"/>
          <w:sz w:val="32"/>
          <w:szCs w:val="32"/>
          <w:lang w:val="en-US" w:eastAsia="zh-CN"/>
        </w:rPr>
        <w:t>0</w:t>
      </w:r>
      <w:r>
        <w:rPr>
          <w:rFonts w:ascii="Times New Roman" w:hAnsi="Times New Roman" w:eastAsia="仿宋_GB2312"/>
          <w:spacing w:val="-2"/>
          <w:kern w:val="0"/>
          <w:sz w:val="32"/>
          <w:szCs w:val="32"/>
        </w:rPr>
        <w:t>、农林水（类）农业农村（款）农产品质量安全（项）。</w:t>
      </w:r>
    </w:p>
    <w:p w14:paraId="6925FD5B">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hint="default" w:ascii="Times New Roman" w:hAnsi="Times New Roman" w:eastAsia="仿宋_GB2312"/>
          <w:spacing w:val="-2"/>
          <w:kern w:val="0"/>
          <w:sz w:val="32"/>
          <w:szCs w:val="32"/>
          <w:lang w:val="en-US" w:eastAsia="zh-CN"/>
        </w:rPr>
      </w:pPr>
      <w:r>
        <w:rPr>
          <w:rFonts w:ascii="Times New Roman" w:hAnsi="Times New Roman" w:eastAsia="仿宋_GB2312"/>
          <w:color w:val="auto"/>
          <w:spacing w:val="-2"/>
          <w:kern w:val="0"/>
          <w:sz w:val="32"/>
          <w:szCs w:val="32"/>
        </w:rPr>
        <w:t>年初预算为</w:t>
      </w:r>
      <w:r>
        <w:rPr>
          <w:rFonts w:hint="eastAsia" w:ascii="Times New Roman" w:hAnsi="Times New Roman" w:eastAsia="仿宋_GB2312"/>
          <w:color w:val="auto"/>
          <w:spacing w:val="-2"/>
          <w:kern w:val="0"/>
          <w:sz w:val="32"/>
          <w:szCs w:val="32"/>
          <w:lang w:val="en-US" w:eastAsia="zh-CN"/>
        </w:rPr>
        <w:t>50</w:t>
      </w:r>
      <w:r>
        <w:rPr>
          <w:rFonts w:ascii="Times New Roman" w:hAnsi="Times New Roman" w:eastAsia="仿宋_GB2312"/>
          <w:color w:val="auto"/>
          <w:spacing w:val="-2"/>
          <w:kern w:val="0"/>
          <w:sz w:val="32"/>
          <w:szCs w:val="32"/>
        </w:rPr>
        <w:t>万元，支出决算为</w:t>
      </w:r>
      <w:r>
        <w:rPr>
          <w:rFonts w:hint="eastAsia" w:ascii="Times New Roman" w:hAnsi="Times New Roman" w:eastAsia="仿宋_GB2312"/>
          <w:color w:val="auto"/>
          <w:spacing w:val="-2"/>
          <w:kern w:val="0"/>
          <w:sz w:val="32"/>
          <w:szCs w:val="32"/>
          <w:lang w:val="en-US" w:eastAsia="zh-CN"/>
        </w:rPr>
        <w:t>64</w:t>
      </w:r>
      <w:r>
        <w:rPr>
          <w:rFonts w:ascii="Times New Roman" w:hAnsi="Times New Roman" w:eastAsia="仿宋_GB2312"/>
          <w:color w:val="auto"/>
          <w:spacing w:val="-2"/>
          <w:kern w:val="0"/>
          <w:sz w:val="32"/>
          <w:szCs w:val="32"/>
        </w:rPr>
        <w:t>万元，</w:t>
      </w:r>
      <w:r>
        <w:rPr>
          <w:rFonts w:hint="eastAsia" w:ascii="Times New Roman" w:hAnsi="Times New Roman" w:eastAsia="仿宋_GB2312"/>
          <w:color w:val="auto"/>
          <w:spacing w:val="-2"/>
          <w:kern w:val="0"/>
          <w:sz w:val="32"/>
          <w:szCs w:val="32"/>
          <w:lang w:eastAsia="zh-CN"/>
        </w:rPr>
        <w:t>完成年初预算的</w:t>
      </w:r>
      <w:r>
        <w:rPr>
          <w:rFonts w:hint="eastAsia" w:ascii="Times New Roman" w:hAnsi="Times New Roman" w:eastAsia="仿宋_GB2312"/>
          <w:color w:val="auto"/>
          <w:spacing w:val="-2"/>
          <w:kern w:val="0"/>
          <w:sz w:val="32"/>
          <w:szCs w:val="32"/>
          <w:lang w:val="en-US" w:eastAsia="zh-CN"/>
        </w:rPr>
        <w:t>128%，</w:t>
      </w:r>
      <w:r>
        <w:rPr>
          <w:rFonts w:hint="eastAsia" w:ascii="Times New Roman" w:hAnsi="Times New Roman" w:eastAsia="仿宋_GB2312"/>
          <w:spacing w:val="-2"/>
          <w:kern w:val="0"/>
          <w:sz w:val="32"/>
          <w:szCs w:val="32"/>
          <w:lang w:val="en-US" w:eastAsia="zh-CN"/>
        </w:rPr>
        <w:t>决算数大于年初预算数的主要原因是：市财政年中追加预算，用于支付2024年生猪屠宰环节病害猪无害化处理补贴和</w:t>
      </w:r>
      <w:r>
        <w:rPr>
          <w:rFonts w:hint="eastAsia" w:ascii="Times New Roman" w:hAnsi="Times New Roman" w:eastAsia="仿宋_GB2312"/>
          <w:color w:val="auto"/>
          <w:spacing w:val="-2"/>
          <w:kern w:val="0"/>
          <w:sz w:val="32"/>
          <w:szCs w:val="32"/>
          <w:lang w:val="en-US" w:eastAsia="zh-CN"/>
        </w:rPr>
        <w:t>2025年</w:t>
      </w:r>
      <w:r>
        <w:rPr>
          <w:rFonts w:ascii="Times New Roman" w:hAnsi="Times New Roman" w:eastAsia="仿宋_GB2312"/>
          <w:color w:val="auto"/>
          <w:spacing w:val="-2"/>
          <w:kern w:val="0"/>
          <w:sz w:val="32"/>
          <w:szCs w:val="32"/>
        </w:rPr>
        <w:t>农产品质量安全</w:t>
      </w:r>
      <w:r>
        <w:rPr>
          <w:rFonts w:hint="eastAsia" w:ascii="Times New Roman" w:hAnsi="Times New Roman" w:eastAsia="仿宋_GB2312"/>
          <w:color w:val="auto"/>
          <w:spacing w:val="-2"/>
          <w:kern w:val="0"/>
          <w:sz w:val="32"/>
          <w:szCs w:val="32"/>
          <w:lang w:eastAsia="zh-CN"/>
        </w:rPr>
        <w:t>抽样检测工作费用。</w:t>
      </w:r>
    </w:p>
    <w:p w14:paraId="5BFB797A">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spacing w:val="-2"/>
          <w:kern w:val="0"/>
          <w:sz w:val="32"/>
          <w:szCs w:val="32"/>
        </w:rPr>
      </w:pPr>
      <w:r>
        <w:rPr>
          <w:rFonts w:ascii="Times New Roman" w:hAnsi="Times New Roman" w:eastAsia="仿宋_GB2312"/>
          <w:spacing w:val="-2"/>
          <w:kern w:val="0"/>
          <w:sz w:val="32"/>
          <w:szCs w:val="32"/>
        </w:rPr>
        <w:t>1</w:t>
      </w:r>
      <w:r>
        <w:rPr>
          <w:rFonts w:hint="eastAsia" w:ascii="Times New Roman" w:hAnsi="Times New Roman" w:eastAsia="仿宋_GB2312"/>
          <w:spacing w:val="-2"/>
          <w:kern w:val="0"/>
          <w:sz w:val="32"/>
          <w:szCs w:val="32"/>
          <w:lang w:val="en-US" w:eastAsia="zh-CN"/>
        </w:rPr>
        <w:t>1</w:t>
      </w:r>
      <w:r>
        <w:rPr>
          <w:rFonts w:ascii="Times New Roman" w:hAnsi="Times New Roman" w:eastAsia="仿宋_GB2312"/>
          <w:spacing w:val="-2"/>
          <w:kern w:val="0"/>
          <w:sz w:val="32"/>
          <w:szCs w:val="32"/>
        </w:rPr>
        <w:t>、农林水（类）农业农村（款）</w:t>
      </w:r>
      <w:r>
        <w:rPr>
          <w:rFonts w:hint="eastAsia" w:ascii="Times New Roman" w:hAnsi="Times New Roman" w:eastAsia="仿宋_GB2312"/>
          <w:spacing w:val="-2"/>
          <w:kern w:val="0"/>
          <w:sz w:val="32"/>
          <w:szCs w:val="32"/>
          <w:lang w:eastAsia="zh-CN"/>
        </w:rPr>
        <w:t>农业生产发展</w:t>
      </w:r>
      <w:r>
        <w:rPr>
          <w:rFonts w:ascii="Times New Roman" w:hAnsi="Times New Roman" w:eastAsia="仿宋_GB2312"/>
          <w:spacing w:val="-2"/>
          <w:kern w:val="0"/>
          <w:sz w:val="32"/>
          <w:szCs w:val="32"/>
        </w:rPr>
        <w:t>（项）。</w:t>
      </w:r>
    </w:p>
    <w:p w14:paraId="507D1C30">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hint="default" w:ascii="Times New Roman" w:hAnsi="Times New Roman" w:eastAsia="仿宋_GB2312"/>
          <w:color w:val="auto"/>
          <w:spacing w:val="-2"/>
          <w:kern w:val="0"/>
          <w:sz w:val="32"/>
          <w:szCs w:val="32"/>
        </w:rPr>
      </w:pPr>
      <w:r>
        <w:rPr>
          <w:rFonts w:ascii="Times New Roman" w:hAnsi="Times New Roman" w:eastAsia="仿宋_GB2312"/>
          <w:spacing w:val="-2"/>
          <w:kern w:val="0"/>
          <w:sz w:val="32"/>
          <w:szCs w:val="32"/>
        </w:rPr>
        <w:t>年初预算为</w:t>
      </w:r>
      <w:r>
        <w:rPr>
          <w:rFonts w:hint="eastAsia" w:ascii="Times New Roman" w:hAnsi="Times New Roman" w:eastAsia="仿宋_GB2312"/>
          <w:spacing w:val="-2"/>
          <w:kern w:val="0"/>
          <w:sz w:val="32"/>
          <w:szCs w:val="32"/>
          <w:lang w:val="en-US" w:eastAsia="zh-CN"/>
        </w:rPr>
        <w:t>180</w:t>
      </w:r>
      <w:r>
        <w:rPr>
          <w:rFonts w:ascii="Times New Roman" w:hAnsi="Times New Roman" w:eastAsia="仿宋_GB2312"/>
          <w:spacing w:val="-2"/>
          <w:kern w:val="0"/>
          <w:sz w:val="32"/>
          <w:szCs w:val="32"/>
        </w:rPr>
        <w:t>万元，支出决算为</w:t>
      </w:r>
      <w:r>
        <w:rPr>
          <w:rFonts w:hint="eastAsia" w:ascii="Times New Roman" w:hAnsi="Times New Roman" w:eastAsia="仿宋_GB2312"/>
          <w:spacing w:val="-2"/>
          <w:kern w:val="0"/>
          <w:sz w:val="32"/>
          <w:szCs w:val="32"/>
          <w:lang w:val="en-US" w:eastAsia="zh-CN"/>
        </w:rPr>
        <w:t>174.2</w:t>
      </w:r>
      <w:r>
        <w:rPr>
          <w:rFonts w:ascii="Times New Roman" w:hAnsi="Times New Roman" w:eastAsia="仿宋_GB2312"/>
          <w:spacing w:val="-2"/>
          <w:kern w:val="0"/>
          <w:sz w:val="32"/>
          <w:szCs w:val="32"/>
        </w:rPr>
        <w:t>万元，完成年</w:t>
      </w:r>
      <w:r>
        <w:rPr>
          <w:rFonts w:ascii="Times New Roman" w:hAnsi="Times New Roman" w:eastAsia="仿宋_GB2312"/>
          <w:color w:val="auto"/>
          <w:spacing w:val="-2"/>
          <w:kern w:val="0"/>
          <w:sz w:val="32"/>
          <w:szCs w:val="32"/>
        </w:rPr>
        <w:t>初预算的</w:t>
      </w:r>
      <w:r>
        <w:rPr>
          <w:rFonts w:hint="eastAsia" w:ascii="Times New Roman" w:hAnsi="Times New Roman" w:eastAsia="仿宋_GB2312"/>
          <w:color w:val="auto"/>
          <w:spacing w:val="-2"/>
          <w:kern w:val="0"/>
          <w:sz w:val="32"/>
          <w:szCs w:val="32"/>
          <w:lang w:val="en-US" w:eastAsia="zh-CN"/>
        </w:rPr>
        <w:t>96.88</w:t>
      </w:r>
      <w:r>
        <w:rPr>
          <w:rFonts w:ascii="Times New Roman" w:hAnsi="Times New Roman" w:eastAsia="仿宋_GB2312"/>
          <w:color w:val="auto"/>
          <w:spacing w:val="-2"/>
          <w:kern w:val="0"/>
          <w:sz w:val="32"/>
          <w:szCs w:val="32"/>
        </w:rPr>
        <w:t>%，</w:t>
      </w:r>
      <w:r>
        <w:rPr>
          <w:rFonts w:hint="eastAsia" w:ascii="Times New Roman" w:hAnsi="Times New Roman" w:eastAsia="仿宋_GB2312"/>
          <w:spacing w:val="-2"/>
          <w:kern w:val="0"/>
          <w:sz w:val="32"/>
          <w:szCs w:val="32"/>
          <w:lang w:val="en-US" w:eastAsia="zh-CN"/>
        </w:rPr>
        <w:t>决算数小于年初预算数的主要原因是：2025年12月底，因支付</w:t>
      </w:r>
      <w:bookmarkStart w:id="0" w:name="_GoBack"/>
      <w:bookmarkEnd w:id="0"/>
      <w:r>
        <w:rPr>
          <w:rFonts w:hint="eastAsia" w:ascii="Times New Roman" w:hAnsi="Times New Roman" w:eastAsia="仿宋_GB2312"/>
          <w:spacing w:val="-2"/>
          <w:kern w:val="0"/>
          <w:sz w:val="32"/>
          <w:szCs w:val="32"/>
          <w:lang w:val="en-US" w:eastAsia="zh-CN"/>
        </w:rPr>
        <w:t>对象的银行账号有误，导致未支付成功，资金剩余额度被市财政收回。</w:t>
      </w:r>
    </w:p>
    <w:p w14:paraId="5D43D17E">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color w:val="000000"/>
          <w:spacing w:val="-2"/>
          <w:kern w:val="0"/>
          <w:sz w:val="32"/>
          <w:szCs w:val="32"/>
          <w:highlight w:val="none"/>
        </w:rPr>
      </w:pPr>
      <w:r>
        <w:rPr>
          <w:rFonts w:ascii="Times New Roman" w:hAnsi="Times New Roman" w:eastAsia="仿宋_GB2312"/>
          <w:color w:val="000000"/>
          <w:spacing w:val="-2"/>
          <w:kern w:val="0"/>
          <w:sz w:val="32"/>
          <w:szCs w:val="32"/>
          <w:highlight w:val="none"/>
        </w:rPr>
        <w:t>1</w:t>
      </w:r>
      <w:r>
        <w:rPr>
          <w:rFonts w:hint="eastAsia" w:ascii="Times New Roman" w:hAnsi="Times New Roman" w:eastAsia="仿宋_GB2312"/>
          <w:color w:val="000000"/>
          <w:spacing w:val="-2"/>
          <w:kern w:val="0"/>
          <w:sz w:val="32"/>
          <w:szCs w:val="32"/>
          <w:highlight w:val="none"/>
          <w:lang w:val="en-US" w:eastAsia="zh-CN"/>
        </w:rPr>
        <w:t>2</w:t>
      </w:r>
      <w:r>
        <w:rPr>
          <w:rFonts w:ascii="Times New Roman" w:hAnsi="Times New Roman" w:eastAsia="仿宋_GB2312"/>
          <w:color w:val="000000"/>
          <w:spacing w:val="-2"/>
          <w:kern w:val="0"/>
          <w:sz w:val="32"/>
          <w:szCs w:val="32"/>
          <w:highlight w:val="none"/>
        </w:rPr>
        <w:t>、农林水（类）农业农村（款）农村社会事业（项）。</w:t>
      </w:r>
    </w:p>
    <w:p w14:paraId="1BAF1595">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hint="default" w:ascii="Times New Roman" w:hAnsi="Times New Roman" w:eastAsia="仿宋_GB2312"/>
          <w:spacing w:val="-2"/>
          <w:kern w:val="0"/>
          <w:sz w:val="32"/>
          <w:szCs w:val="32"/>
          <w:lang w:val="en-US" w:eastAsia="zh-CN"/>
        </w:rPr>
      </w:pPr>
      <w:r>
        <w:rPr>
          <w:rFonts w:ascii="Times New Roman" w:hAnsi="Times New Roman" w:eastAsia="仿宋_GB2312"/>
          <w:spacing w:val="-2"/>
          <w:kern w:val="0"/>
          <w:sz w:val="32"/>
          <w:szCs w:val="32"/>
          <w:highlight w:val="none"/>
        </w:rPr>
        <w:t>年初预算为</w:t>
      </w:r>
      <w:r>
        <w:rPr>
          <w:rFonts w:hint="eastAsia" w:ascii="Times New Roman" w:hAnsi="Times New Roman" w:eastAsia="仿宋_GB2312"/>
          <w:spacing w:val="-2"/>
          <w:kern w:val="0"/>
          <w:sz w:val="32"/>
          <w:szCs w:val="32"/>
          <w:highlight w:val="none"/>
          <w:lang w:val="en-US" w:eastAsia="zh-CN"/>
        </w:rPr>
        <w:t>29.13</w:t>
      </w:r>
      <w:r>
        <w:rPr>
          <w:rFonts w:ascii="Times New Roman" w:hAnsi="Times New Roman" w:eastAsia="仿宋_GB2312"/>
          <w:spacing w:val="-2"/>
          <w:kern w:val="0"/>
          <w:sz w:val="32"/>
          <w:szCs w:val="32"/>
          <w:highlight w:val="none"/>
        </w:rPr>
        <w:t>万元，支出决算为</w:t>
      </w:r>
      <w:r>
        <w:rPr>
          <w:rFonts w:hint="eastAsia" w:ascii="Times New Roman" w:hAnsi="Times New Roman" w:eastAsia="仿宋_GB2312"/>
          <w:spacing w:val="-2"/>
          <w:kern w:val="0"/>
          <w:sz w:val="32"/>
          <w:szCs w:val="32"/>
          <w:highlight w:val="none"/>
          <w:lang w:val="en-US" w:eastAsia="zh-CN"/>
        </w:rPr>
        <w:t>50.95</w:t>
      </w:r>
      <w:r>
        <w:rPr>
          <w:rFonts w:ascii="Times New Roman" w:hAnsi="Times New Roman" w:eastAsia="仿宋_GB2312"/>
          <w:spacing w:val="-2"/>
          <w:kern w:val="0"/>
          <w:sz w:val="32"/>
          <w:szCs w:val="32"/>
          <w:highlight w:val="none"/>
        </w:rPr>
        <w:t>万元，</w:t>
      </w:r>
      <w:r>
        <w:rPr>
          <w:rFonts w:hint="eastAsia" w:ascii="Times New Roman" w:hAnsi="Times New Roman" w:eastAsia="仿宋_GB2312"/>
          <w:spacing w:val="-2"/>
          <w:kern w:val="0"/>
          <w:sz w:val="32"/>
          <w:szCs w:val="32"/>
          <w:highlight w:val="none"/>
          <w:lang w:eastAsia="zh-CN"/>
        </w:rPr>
        <w:t>完成年初预算的</w:t>
      </w:r>
      <w:r>
        <w:rPr>
          <w:rFonts w:hint="eastAsia" w:ascii="Times New Roman" w:hAnsi="Times New Roman" w:eastAsia="仿宋_GB2312"/>
          <w:spacing w:val="-2"/>
          <w:kern w:val="0"/>
          <w:sz w:val="32"/>
          <w:szCs w:val="32"/>
          <w:highlight w:val="none"/>
          <w:lang w:val="en-US" w:eastAsia="zh-CN"/>
        </w:rPr>
        <w:t>174.91%，</w:t>
      </w:r>
      <w:r>
        <w:rPr>
          <w:rFonts w:hint="eastAsia" w:ascii="Times New Roman" w:hAnsi="Times New Roman" w:eastAsia="仿宋_GB2312"/>
          <w:spacing w:val="-2"/>
          <w:kern w:val="0"/>
          <w:sz w:val="32"/>
          <w:szCs w:val="32"/>
          <w:lang w:val="en-US" w:eastAsia="zh-CN"/>
        </w:rPr>
        <w:t>决算数大于年初预算数的主要原因是：收到省级财政转移支付资金，用于发放2024年与2025年国家级和省部级农业劳模生活补助。</w:t>
      </w:r>
    </w:p>
    <w:p w14:paraId="46FD0230">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color w:val="auto"/>
          <w:spacing w:val="-2"/>
          <w:kern w:val="0"/>
          <w:sz w:val="32"/>
          <w:szCs w:val="32"/>
        </w:rPr>
      </w:pPr>
      <w:r>
        <w:rPr>
          <w:rFonts w:hint="eastAsia" w:ascii="Times New Roman" w:hAnsi="Times New Roman" w:eastAsia="仿宋_GB2312"/>
          <w:color w:val="auto"/>
          <w:spacing w:val="-2"/>
          <w:kern w:val="0"/>
          <w:sz w:val="32"/>
          <w:szCs w:val="32"/>
        </w:rPr>
        <w:t>1</w:t>
      </w:r>
      <w:r>
        <w:rPr>
          <w:rFonts w:hint="eastAsia" w:ascii="Times New Roman" w:hAnsi="Times New Roman" w:eastAsia="仿宋_GB2312"/>
          <w:color w:val="auto"/>
          <w:spacing w:val="-2"/>
          <w:kern w:val="0"/>
          <w:sz w:val="32"/>
          <w:szCs w:val="32"/>
          <w:lang w:val="en-US" w:eastAsia="zh-CN"/>
        </w:rPr>
        <w:t>3</w:t>
      </w:r>
      <w:r>
        <w:rPr>
          <w:rFonts w:hint="eastAsia" w:ascii="Times New Roman" w:hAnsi="Times New Roman" w:eastAsia="仿宋_GB2312"/>
          <w:color w:val="auto"/>
          <w:spacing w:val="-2"/>
          <w:kern w:val="0"/>
          <w:sz w:val="32"/>
          <w:szCs w:val="32"/>
        </w:rPr>
        <w:t>、</w:t>
      </w:r>
      <w:r>
        <w:rPr>
          <w:rFonts w:ascii="Times New Roman" w:hAnsi="Times New Roman" w:eastAsia="仿宋_GB2312"/>
          <w:color w:val="auto"/>
          <w:spacing w:val="-2"/>
          <w:kern w:val="0"/>
          <w:sz w:val="32"/>
          <w:szCs w:val="32"/>
        </w:rPr>
        <w:t>农林水（类）农业农村（款）</w:t>
      </w:r>
      <w:r>
        <w:rPr>
          <w:rFonts w:hint="eastAsia" w:ascii="Times New Roman" w:hAnsi="Times New Roman" w:eastAsia="仿宋_GB2312"/>
          <w:color w:val="auto"/>
          <w:spacing w:val="-2"/>
          <w:kern w:val="0"/>
          <w:sz w:val="32"/>
          <w:szCs w:val="32"/>
          <w:lang w:eastAsia="zh-CN"/>
        </w:rPr>
        <w:t>渔业发展</w:t>
      </w:r>
      <w:r>
        <w:rPr>
          <w:rFonts w:ascii="Times New Roman" w:hAnsi="Times New Roman" w:eastAsia="仿宋_GB2312"/>
          <w:color w:val="auto"/>
          <w:spacing w:val="-2"/>
          <w:kern w:val="0"/>
          <w:sz w:val="32"/>
          <w:szCs w:val="32"/>
        </w:rPr>
        <w:t>（项）。</w:t>
      </w:r>
    </w:p>
    <w:p w14:paraId="1C04B86D">
      <w:pPr>
        <w:pStyle w:val="13"/>
        <w:keepNext w:val="0"/>
        <w:keepLines w:val="0"/>
        <w:pageBreakBefore w:val="0"/>
        <w:widowControl w:val="0"/>
        <w:kinsoku/>
        <w:wordWrap/>
        <w:overflowPunct/>
        <w:topLinePunct w:val="0"/>
        <w:bidi w:val="0"/>
        <w:snapToGrid/>
        <w:spacing w:line="600" w:lineRule="exact"/>
        <w:ind w:firstLine="632" w:firstLineChars="200"/>
        <w:textAlignment w:val="auto"/>
        <w:rPr>
          <w:rFonts w:hint="eastAsia" w:ascii="Times New Roman" w:hAnsi="Times New Roman" w:eastAsia="仿宋_GB2312"/>
          <w:color w:val="auto"/>
          <w:spacing w:val="-2"/>
          <w:kern w:val="0"/>
          <w:sz w:val="32"/>
          <w:szCs w:val="32"/>
          <w:lang w:eastAsia="zh-CN"/>
        </w:rPr>
      </w:pPr>
      <w:r>
        <w:rPr>
          <w:rFonts w:hint="eastAsia" w:ascii="Times New Roman" w:hAnsi="Times New Roman" w:eastAsia="仿宋_GB2312"/>
          <w:color w:val="auto"/>
          <w:spacing w:val="-2"/>
          <w:kern w:val="0"/>
          <w:sz w:val="32"/>
          <w:szCs w:val="32"/>
          <w:u w:val="none"/>
        </w:rPr>
        <w:t>年初预算为</w:t>
      </w:r>
      <w:r>
        <w:rPr>
          <w:rFonts w:hint="eastAsia" w:ascii="Times New Roman" w:hAnsi="Times New Roman" w:eastAsia="仿宋_GB2312"/>
          <w:color w:val="auto"/>
          <w:spacing w:val="-2"/>
          <w:kern w:val="0"/>
          <w:sz w:val="32"/>
          <w:szCs w:val="32"/>
          <w:u w:val="none"/>
          <w:lang w:val="en-US" w:eastAsia="zh-CN"/>
        </w:rPr>
        <w:t>0</w:t>
      </w:r>
      <w:r>
        <w:rPr>
          <w:rFonts w:hint="eastAsia" w:ascii="Times New Roman" w:hAnsi="Times New Roman" w:eastAsia="仿宋_GB2312"/>
          <w:color w:val="auto"/>
          <w:spacing w:val="-2"/>
          <w:kern w:val="0"/>
          <w:sz w:val="32"/>
          <w:szCs w:val="32"/>
          <w:u w:val="none"/>
        </w:rPr>
        <w:t>万元，支出决算为</w:t>
      </w:r>
      <w:r>
        <w:rPr>
          <w:rFonts w:hint="eastAsia" w:ascii="Times New Roman" w:hAnsi="Times New Roman" w:eastAsia="仿宋_GB2312"/>
          <w:color w:val="auto"/>
          <w:spacing w:val="-2"/>
          <w:kern w:val="0"/>
          <w:sz w:val="32"/>
          <w:szCs w:val="32"/>
          <w:u w:val="none"/>
          <w:lang w:val="en-US" w:eastAsia="zh-CN"/>
        </w:rPr>
        <w:t>2.92</w:t>
      </w:r>
      <w:r>
        <w:rPr>
          <w:rFonts w:hint="eastAsia" w:ascii="Times New Roman" w:hAnsi="Times New Roman" w:eastAsia="仿宋_GB2312"/>
          <w:color w:val="auto"/>
          <w:spacing w:val="-2"/>
          <w:kern w:val="0"/>
          <w:sz w:val="32"/>
          <w:szCs w:val="32"/>
          <w:u w:val="none"/>
        </w:rPr>
        <w:t>万元，</w:t>
      </w:r>
      <w:r>
        <w:rPr>
          <w:rFonts w:ascii="Times New Roman" w:hAnsi="Times New Roman" w:eastAsia="仿宋_GB2312"/>
          <w:color w:val="auto"/>
          <w:spacing w:val="-2"/>
          <w:kern w:val="0"/>
          <w:sz w:val="32"/>
          <w:szCs w:val="32"/>
        </w:rPr>
        <w:t>决算数大于年初预算数的主要原因是：</w:t>
      </w:r>
      <w:r>
        <w:rPr>
          <w:rFonts w:hint="eastAsia" w:ascii="Times New Roman" w:hAnsi="Times New Roman" w:eastAsia="仿宋_GB2312"/>
          <w:color w:val="auto"/>
          <w:spacing w:val="-2"/>
          <w:kern w:val="0"/>
          <w:sz w:val="32"/>
          <w:szCs w:val="32"/>
          <w:lang w:eastAsia="zh-CN"/>
        </w:rPr>
        <w:t>省</w:t>
      </w:r>
      <w:r>
        <w:rPr>
          <w:rFonts w:hint="eastAsia" w:ascii="Times New Roman" w:hAnsi="Times New Roman" w:eastAsia="仿宋_GB2312"/>
          <w:color w:val="auto"/>
          <w:spacing w:val="-2"/>
          <w:kern w:val="0"/>
          <w:sz w:val="32"/>
          <w:szCs w:val="32"/>
          <w:u w:val="none"/>
          <w:lang w:eastAsia="zh-CN"/>
        </w:rPr>
        <w:t>级财政转移支付资金，主要用于支付渔政执法船的停泊服务费。</w:t>
      </w:r>
    </w:p>
    <w:p w14:paraId="3DF76ACC">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color w:val="000000"/>
          <w:spacing w:val="-2"/>
          <w:kern w:val="0"/>
          <w:sz w:val="32"/>
          <w:szCs w:val="32"/>
        </w:rPr>
      </w:pPr>
      <w:r>
        <w:rPr>
          <w:rFonts w:hint="default" w:ascii="Times New Roman" w:hAnsi="Times New Roman" w:eastAsia="仿宋_GB2312"/>
          <w:color w:val="000000"/>
          <w:spacing w:val="-2"/>
          <w:kern w:val="0"/>
          <w:sz w:val="32"/>
          <w:szCs w:val="32"/>
        </w:rPr>
        <w:t>1</w:t>
      </w:r>
      <w:r>
        <w:rPr>
          <w:rFonts w:hint="eastAsia" w:ascii="Times New Roman" w:hAnsi="Times New Roman" w:eastAsia="仿宋_GB2312"/>
          <w:color w:val="000000"/>
          <w:spacing w:val="-2"/>
          <w:kern w:val="0"/>
          <w:sz w:val="32"/>
          <w:szCs w:val="32"/>
          <w:lang w:val="en-US" w:eastAsia="zh-CN"/>
        </w:rPr>
        <w:t>5</w:t>
      </w:r>
      <w:r>
        <w:rPr>
          <w:rFonts w:ascii="Times New Roman" w:hAnsi="Times New Roman" w:eastAsia="仿宋_GB2312"/>
          <w:color w:val="000000"/>
          <w:spacing w:val="-2"/>
          <w:kern w:val="0"/>
          <w:sz w:val="32"/>
          <w:szCs w:val="32"/>
        </w:rPr>
        <w:t>、农林水（类）农业农村（款）</w:t>
      </w:r>
      <w:r>
        <w:rPr>
          <w:rFonts w:hint="eastAsia" w:ascii="Times New Roman" w:hAnsi="Times New Roman" w:eastAsia="仿宋_GB2312"/>
          <w:color w:val="000000"/>
          <w:spacing w:val="-2"/>
          <w:kern w:val="0"/>
          <w:sz w:val="32"/>
          <w:szCs w:val="32"/>
          <w:lang w:eastAsia="zh-CN"/>
        </w:rPr>
        <w:t>耕地</w:t>
      </w:r>
      <w:r>
        <w:rPr>
          <w:rFonts w:ascii="Times New Roman" w:hAnsi="Times New Roman" w:eastAsia="仿宋_GB2312"/>
          <w:color w:val="000000"/>
          <w:spacing w:val="-2"/>
          <w:kern w:val="0"/>
          <w:sz w:val="32"/>
          <w:szCs w:val="32"/>
        </w:rPr>
        <w:t>建设</w:t>
      </w:r>
      <w:r>
        <w:rPr>
          <w:rFonts w:hint="eastAsia" w:ascii="Times New Roman" w:hAnsi="Times New Roman" w:eastAsia="仿宋_GB2312"/>
          <w:color w:val="000000"/>
          <w:spacing w:val="-2"/>
          <w:kern w:val="0"/>
          <w:sz w:val="32"/>
          <w:szCs w:val="32"/>
          <w:lang w:eastAsia="zh-CN"/>
        </w:rPr>
        <w:t>与利用</w:t>
      </w:r>
      <w:r>
        <w:rPr>
          <w:rFonts w:ascii="Times New Roman" w:hAnsi="Times New Roman" w:eastAsia="仿宋_GB2312"/>
          <w:color w:val="000000"/>
          <w:spacing w:val="-2"/>
          <w:kern w:val="0"/>
          <w:sz w:val="32"/>
          <w:szCs w:val="32"/>
        </w:rPr>
        <w:t>（项）。</w:t>
      </w:r>
    </w:p>
    <w:p w14:paraId="3326E9B5">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hint="default"/>
          <w:lang w:val="en-US" w:eastAsia="zh-CN"/>
        </w:rPr>
      </w:pPr>
      <w:r>
        <w:rPr>
          <w:rFonts w:ascii="Times New Roman" w:hAnsi="Times New Roman" w:eastAsia="仿宋_GB2312"/>
          <w:color w:val="auto"/>
          <w:spacing w:val="-2"/>
          <w:kern w:val="0"/>
          <w:sz w:val="32"/>
          <w:szCs w:val="32"/>
          <w:u w:val="none"/>
        </w:rPr>
        <w:t>年初预算为</w:t>
      </w:r>
      <w:r>
        <w:rPr>
          <w:rFonts w:hint="eastAsia" w:ascii="Times New Roman" w:hAnsi="Times New Roman" w:eastAsia="仿宋_GB2312"/>
          <w:color w:val="auto"/>
          <w:spacing w:val="-2"/>
          <w:kern w:val="0"/>
          <w:sz w:val="32"/>
          <w:szCs w:val="32"/>
          <w:highlight w:val="none"/>
          <w:u w:val="none"/>
          <w:lang w:val="en-US" w:eastAsia="zh-CN"/>
        </w:rPr>
        <w:t>40</w:t>
      </w:r>
      <w:r>
        <w:rPr>
          <w:rFonts w:ascii="Times New Roman" w:hAnsi="Times New Roman" w:eastAsia="仿宋_GB2312"/>
          <w:color w:val="auto"/>
          <w:spacing w:val="-2"/>
          <w:kern w:val="0"/>
          <w:sz w:val="32"/>
          <w:szCs w:val="32"/>
          <w:u w:val="none"/>
        </w:rPr>
        <w:t>万元，支出决算为</w:t>
      </w:r>
      <w:r>
        <w:rPr>
          <w:rFonts w:hint="eastAsia" w:ascii="Times New Roman" w:hAnsi="Times New Roman" w:eastAsia="仿宋_GB2312"/>
          <w:color w:val="auto"/>
          <w:spacing w:val="-2"/>
          <w:kern w:val="0"/>
          <w:sz w:val="32"/>
          <w:szCs w:val="32"/>
          <w:u w:val="none"/>
          <w:lang w:val="en-US" w:eastAsia="zh-CN"/>
        </w:rPr>
        <w:t>40</w:t>
      </w:r>
      <w:r>
        <w:rPr>
          <w:rFonts w:ascii="Times New Roman" w:hAnsi="Times New Roman" w:eastAsia="仿宋_GB2312"/>
          <w:color w:val="auto"/>
          <w:spacing w:val="-2"/>
          <w:kern w:val="0"/>
          <w:sz w:val="32"/>
          <w:szCs w:val="32"/>
          <w:u w:val="none"/>
        </w:rPr>
        <w:t>万元</w:t>
      </w:r>
      <w:r>
        <w:rPr>
          <w:rFonts w:hint="eastAsia" w:ascii="Times New Roman" w:hAnsi="Times New Roman" w:eastAsia="仿宋_GB2312"/>
          <w:color w:val="auto"/>
          <w:spacing w:val="-2"/>
          <w:kern w:val="0"/>
          <w:sz w:val="32"/>
          <w:szCs w:val="32"/>
          <w:u w:val="none"/>
        </w:rPr>
        <w:t>，完成年初预算的</w:t>
      </w:r>
      <w:r>
        <w:rPr>
          <w:rFonts w:hint="eastAsia" w:ascii="Times New Roman" w:hAnsi="Times New Roman" w:eastAsia="仿宋_GB2312"/>
          <w:color w:val="auto"/>
          <w:spacing w:val="-2"/>
          <w:kern w:val="0"/>
          <w:sz w:val="32"/>
          <w:szCs w:val="32"/>
          <w:u w:val="none"/>
          <w:lang w:val="en-US" w:eastAsia="zh-CN"/>
        </w:rPr>
        <w:t>100</w:t>
      </w:r>
      <w:r>
        <w:rPr>
          <w:rFonts w:hint="eastAsia" w:ascii="Times New Roman" w:hAnsi="Times New Roman" w:eastAsia="仿宋_GB2312"/>
          <w:color w:val="auto"/>
          <w:spacing w:val="-2"/>
          <w:kern w:val="0"/>
          <w:sz w:val="32"/>
          <w:szCs w:val="32"/>
          <w:u w:val="none"/>
        </w:rPr>
        <w:t>%，</w:t>
      </w:r>
      <w:r>
        <w:rPr>
          <w:rFonts w:hint="eastAsia" w:ascii="Times New Roman" w:hAnsi="Times New Roman" w:eastAsia="仿宋_GB2312"/>
          <w:color w:val="auto"/>
          <w:spacing w:val="-2"/>
          <w:kern w:val="0"/>
          <w:sz w:val="32"/>
          <w:szCs w:val="32"/>
          <w:u w:val="none"/>
          <w:lang w:eastAsia="zh-CN"/>
        </w:rPr>
        <w:t>主要</w:t>
      </w:r>
      <w:r>
        <w:rPr>
          <w:rFonts w:hint="eastAsia" w:ascii="Times New Roman" w:hAnsi="Times New Roman" w:eastAsia="仿宋_GB2312"/>
          <w:color w:val="auto"/>
          <w:spacing w:val="-2"/>
          <w:kern w:val="0"/>
          <w:sz w:val="32"/>
          <w:szCs w:val="32"/>
          <w:u w:val="none"/>
        </w:rPr>
        <w:t>用于</w:t>
      </w:r>
      <w:r>
        <w:rPr>
          <w:rFonts w:hint="eastAsia" w:ascii="Times New Roman" w:hAnsi="Times New Roman" w:eastAsia="仿宋_GB2312"/>
          <w:color w:val="auto"/>
          <w:spacing w:val="-2"/>
          <w:kern w:val="0"/>
          <w:sz w:val="32"/>
          <w:szCs w:val="32"/>
          <w:u w:val="none"/>
          <w:lang w:val="en-US" w:eastAsia="zh-CN"/>
        </w:rPr>
        <w:t>开展高标准农田建设。</w:t>
      </w:r>
    </w:p>
    <w:p w14:paraId="276A6155">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color w:val="000000"/>
          <w:spacing w:val="-2"/>
          <w:kern w:val="0"/>
          <w:sz w:val="32"/>
          <w:szCs w:val="32"/>
        </w:rPr>
      </w:pPr>
      <w:r>
        <w:rPr>
          <w:rFonts w:hint="default" w:ascii="Times New Roman" w:hAnsi="Times New Roman" w:eastAsia="仿宋_GB2312"/>
          <w:color w:val="000000"/>
          <w:spacing w:val="-2"/>
          <w:kern w:val="0"/>
          <w:sz w:val="32"/>
          <w:szCs w:val="32"/>
        </w:rPr>
        <w:t>1</w:t>
      </w:r>
      <w:r>
        <w:rPr>
          <w:rFonts w:hint="eastAsia" w:ascii="Times New Roman" w:hAnsi="Times New Roman" w:eastAsia="仿宋_GB2312"/>
          <w:color w:val="000000"/>
          <w:spacing w:val="-2"/>
          <w:kern w:val="0"/>
          <w:sz w:val="32"/>
          <w:szCs w:val="32"/>
          <w:lang w:val="en-US" w:eastAsia="zh-CN"/>
        </w:rPr>
        <w:t>6</w:t>
      </w:r>
      <w:r>
        <w:rPr>
          <w:rFonts w:ascii="Times New Roman" w:hAnsi="Times New Roman" w:eastAsia="仿宋_GB2312"/>
          <w:color w:val="000000"/>
          <w:spacing w:val="-2"/>
          <w:kern w:val="0"/>
          <w:sz w:val="32"/>
          <w:szCs w:val="32"/>
        </w:rPr>
        <w:t>、农林水（类）农业农村（款）其他农业农村支出（项）。</w:t>
      </w:r>
    </w:p>
    <w:p w14:paraId="4F8DF0D7">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hint="eastAsia" w:ascii="Times New Roman" w:hAnsi="Times New Roman" w:eastAsia="仿宋_GB2312"/>
          <w:spacing w:val="-2"/>
          <w:kern w:val="0"/>
          <w:sz w:val="32"/>
          <w:szCs w:val="32"/>
          <w:lang w:val="en-US" w:eastAsia="zh-CN"/>
        </w:rPr>
      </w:pPr>
      <w:r>
        <w:rPr>
          <w:rFonts w:ascii="Times New Roman" w:hAnsi="Times New Roman" w:eastAsia="仿宋_GB2312"/>
          <w:color w:val="auto"/>
          <w:spacing w:val="-2"/>
          <w:kern w:val="0"/>
          <w:sz w:val="32"/>
          <w:szCs w:val="32"/>
        </w:rPr>
        <w:t>年初预算为</w:t>
      </w:r>
      <w:r>
        <w:rPr>
          <w:rFonts w:hint="eastAsia" w:ascii="Times New Roman" w:hAnsi="Times New Roman" w:eastAsia="仿宋_GB2312"/>
          <w:color w:val="auto"/>
          <w:spacing w:val="-2"/>
          <w:kern w:val="0"/>
          <w:sz w:val="32"/>
          <w:szCs w:val="32"/>
          <w:lang w:val="en-US" w:eastAsia="zh-CN"/>
        </w:rPr>
        <w:t>310.7</w:t>
      </w:r>
      <w:r>
        <w:rPr>
          <w:rFonts w:ascii="Times New Roman" w:hAnsi="Times New Roman" w:eastAsia="仿宋_GB2312"/>
          <w:color w:val="auto"/>
          <w:spacing w:val="-2"/>
          <w:kern w:val="0"/>
          <w:sz w:val="32"/>
          <w:szCs w:val="32"/>
        </w:rPr>
        <w:t>万元，支出决算为</w:t>
      </w:r>
      <w:r>
        <w:rPr>
          <w:rFonts w:hint="eastAsia" w:ascii="Times New Roman" w:hAnsi="Times New Roman" w:eastAsia="仿宋_GB2312"/>
          <w:color w:val="auto"/>
          <w:spacing w:val="-2"/>
          <w:kern w:val="0"/>
          <w:sz w:val="32"/>
          <w:szCs w:val="32"/>
          <w:lang w:val="en-US" w:eastAsia="zh-CN"/>
        </w:rPr>
        <w:t>327.62</w:t>
      </w:r>
      <w:r>
        <w:rPr>
          <w:rFonts w:ascii="Times New Roman" w:hAnsi="Times New Roman" w:eastAsia="仿宋_GB2312"/>
          <w:color w:val="auto"/>
          <w:spacing w:val="-2"/>
          <w:kern w:val="0"/>
          <w:sz w:val="32"/>
          <w:szCs w:val="32"/>
        </w:rPr>
        <w:t>万元，</w:t>
      </w:r>
      <w:r>
        <w:rPr>
          <w:rFonts w:hint="eastAsia" w:ascii="Times New Roman" w:hAnsi="Times New Roman" w:eastAsia="仿宋_GB2312"/>
          <w:color w:val="auto"/>
          <w:spacing w:val="-2"/>
          <w:kern w:val="0"/>
          <w:sz w:val="32"/>
          <w:szCs w:val="32"/>
          <w:lang w:eastAsia="zh-CN"/>
        </w:rPr>
        <w:t>完成年初预算的</w:t>
      </w:r>
      <w:r>
        <w:rPr>
          <w:rFonts w:hint="eastAsia" w:ascii="Times New Roman" w:hAnsi="Times New Roman" w:eastAsia="仿宋_GB2312"/>
          <w:color w:val="auto"/>
          <w:spacing w:val="-2"/>
          <w:kern w:val="0"/>
          <w:sz w:val="32"/>
          <w:szCs w:val="32"/>
          <w:lang w:val="en-US" w:eastAsia="zh-CN"/>
        </w:rPr>
        <w:t>105.45%，</w:t>
      </w:r>
      <w:r>
        <w:rPr>
          <w:rFonts w:hint="eastAsia" w:ascii="Times New Roman" w:hAnsi="Times New Roman" w:eastAsia="仿宋_GB2312"/>
          <w:spacing w:val="-2"/>
          <w:kern w:val="0"/>
          <w:sz w:val="32"/>
          <w:szCs w:val="32"/>
          <w:lang w:val="en-US" w:eastAsia="zh-CN"/>
        </w:rPr>
        <w:t>决算数大于年初预算数的主要原因是：</w:t>
      </w:r>
      <w:r>
        <w:rPr>
          <w:rFonts w:hint="default" w:ascii="Times New Roman" w:hAnsi="Times New Roman" w:eastAsia="仿宋_GB2312"/>
          <w:color w:val="auto"/>
          <w:sz w:val="32"/>
          <w:szCs w:val="32"/>
        </w:rPr>
        <w:t>市财政年中追加预算，用于</w:t>
      </w:r>
      <w:r>
        <w:rPr>
          <w:rFonts w:hint="eastAsia" w:ascii="Times New Roman" w:hAnsi="Times New Roman" w:eastAsia="仿宋_GB2312"/>
          <w:color w:val="auto"/>
          <w:sz w:val="32"/>
          <w:szCs w:val="32"/>
          <w:lang w:eastAsia="zh-CN"/>
        </w:rPr>
        <w:t>支付</w:t>
      </w:r>
      <w:r>
        <w:rPr>
          <w:rFonts w:hint="default" w:ascii="Times New Roman" w:hAnsi="Times New Roman" w:eastAsia="仿宋_GB2312"/>
          <w:color w:val="auto"/>
          <w:sz w:val="32"/>
          <w:szCs w:val="32"/>
        </w:rPr>
        <w:t>科教兴农支农小队</w:t>
      </w:r>
      <w:r>
        <w:rPr>
          <w:rFonts w:hint="eastAsia" w:ascii="Times New Roman" w:hAnsi="Times New Roman" w:eastAsia="仿宋_GB2312"/>
          <w:color w:val="auto"/>
          <w:sz w:val="32"/>
          <w:szCs w:val="32"/>
          <w:lang w:eastAsia="zh-CN"/>
        </w:rPr>
        <w:t>队员的交通补贴和生活补助。</w:t>
      </w:r>
    </w:p>
    <w:p w14:paraId="2C481180">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color w:val="000000"/>
          <w:spacing w:val="-2"/>
          <w:kern w:val="0"/>
          <w:sz w:val="32"/>
          <w:szCs w:val="32"/>
        </w:rPr>
      </w:pPr>
      <w:r>
        <w:rPr>
          <w:rFonts w:hint="default" w:ascii="Times New Roman" w:hAnsi="Times New Roman" w:eastAsia="仿宋_GB2312"/>
          <w:color w:val="000000"/>
          <w:spacing w:val="-2"/>
          <w:kern w:val="0"/>
          <w:sz w:val="32"/>
          <w:szCs w:val="32"/>
        </w:rPr>
        <w:t>1</w:t>
      </w:r>
      <w:r>
        <w:rPr>
          <w:rFonts w:hint="eastAsia" w:ascii="Times New Roman" w:hAnsi="Times New Roman" w:eastAsia="仿宋_GB2312"/>
          <w:color w:val="000000"/>
          <w:spacing w:val="-2"/>
          <w:kern w:val="0"/>
          <w:sz w:val="32"/>
          <w:szCs w:val="32"/>
          <w:lang w:val="en-US" w:eastAsia="zh-CN"/>
        </w:rPr>
        <w:t>7</w:t>
      </w:r>
      <w:r>
        <w:rPr>
          <w:rFonts w:ascii="Times New Roman" w:hAnsi="Times New Roman" w:eastAsia="仿宋_GB2312"/>
          <w:color w:val="000000"/>
          <w:spacing w:val="-2"/>
          <w:kern w:val="0"/>
          <w:sz w:val="32"/>
          <w:szCs w:val="32"/>
        </w:rPr>
        <w:t>、农林水（类）</w:t>
      </w:r>
      <w:r>
        <w:rPr>
          <w:rFonts w:hint="eastAsia" w:ascii="Times New Roman" w:hAnsi="Times New Roman" w:eastAsia="仿宋_GB2312"/>
          <w:color w:val="000000"/>
          <w:spacing w:val="-2"/>
          <w:kern w:val="0"/>
          <w:sz w:val="32"/>
          <w:szCs w:val="32"/>
          <w:lang w:eastAsia="zh-CN"/>
        </w:rPr>
        <w:t>林业和草原</w:t>
      </w:r>
      <w:r>
        <w:rPr>
          <w:rFonts w:ascii="Times New Roman" w:hAnsi="Times New Roman" w:eastAsia="仿宋_GB2312"/>
          <w:color w:val="000000"/>
          <w:spacing w:val="-2"/>
          <w:kern w:val="0"/>
          <w:sz w:val="32"/>
          <w:szCs w:val="32"/>
        </w:rPr>
        <w:t>（款）</w:t>
      </w:r>
      <w:r>
        <w:rPr>
          <w:rFonts w:hint="eastAsia" w:ascii="Times New Roman" w:hAnsi="Times New Roman" w:eastAsia="仿宋_GB2312"/>
          <w:color w:val="000000"/>
          <w:spacing w:val="-2"/>
          <w:kern w:val="0"/>
          <w:sz w:val="32"/>
          <w:szCs w:val="32"/>
          <w:lang w:eastAsia="zh-CN"/>
        </w:rPr>
        <w:t>行政运行</w:t>
      </w:r>
      <w:r>
        <w:rPr>
          <w:rFonts w:ascii="Times New Roman" w:hAnsi="Times New Roman" w:eastAsia="仿宋_GB2312"/>
          <w:color w:val="000000"/>
          <w:spacing w:val="-2"/>
          <w:kern w:val="0"/>
          <w:sz w:val="32"/>
          <w:szCs w:val="32"/>
        </w:rPr>
        <w:t>（项）。</w:t>
      </w:r>
    </w:p>
    <w:p w14:paraId="0C55E204">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hint="default" w:ascii="Times New Roman" w:hAnsi="Times New Roman" w:eastAsia="仿宋_GB2312"/>
          <w:spacing w:val="-2"/>
          <w:kern w:val="0"/>
          <w:sz w:val="32"/>
          <w:szCs w:val="32"/>
          <w:lang w:val="en-US" w:eastAsia="zh-CN"/>
        </w:rPr>
      </w:pPr>
      <w:r>
        <w:rPr>
          <w:rFonts w:ascii="Times New Roman" w:hAnsi="Times New Roman" w:eastAsia="仿宋_GB2312"/>
          <w:color w:val="auto"/>
          <w:spacing w:val="-2"/>
          <w:kern w:val="0"/>
          <w:sz w:val="32"/>
          <w:szCs w:val="32"/>
        </w:rPr>
        <w:t>年初预算为</w:t>
      </w:r>
      <w:r>
        <w:rPr>
          <w:rFonts w:hint="eastAsia" w:ascii="Times New Roman" w:hAnsi="Times New Roman" w:eastAsia="仿宋_GB2312"/>
          <w:color w:val="auto"/>
          <w:spacing w:val="-2"/>
          <w:kern w:val="0"/>
          <w:sz w:val="32"/>
          <w:szCs w:val="32"/>
          <w:lang w:val="en-US" w:eastAsia="zh-CN"/>
        </w:rPr>
        <w:t>0</w:t>
      </w:r>
      <w:r>
        <w:rPr>
          <w:rFonts w:ascii="Times New Roman" w:hAnsi="Times New Roman" w:eastAsia="仿宋_GB2312"/>
          <w:color w:val="auto"/>
          <w:spacing w:val="-2"/>
          <w:kern w:val="0"/>
          <w:sz w:val="32"/>
          <w:szCs w:val="32"/>
        </w:rPr>
        <w:t>万元，支出决算为</w:t>
      </w:r>
      <w:r>
        <w:rPr>
          <w:rFonts w:hint="eastAsia" w:ascii="Times New Roman" w:hAnsi="Times New Roman" w:eastAsia="仿宋_GB2312"/>
          <w:color w:val="auto"/>
          <w:spacing w:val="-2"/>
          <w:kern w:val="0"/>
          <w:sz w:val="32"/>
          <w:szCs w:val="32"/>
          <w:lang w:val="en-US" w:eastAsia="zh-CN"/>
        </w:rPr>
        <w:t>284.12</w:t>
      </w:r>
      <w:r>
        <w:rPr>
          <w:rFonts w:ascii="Times New Roman" w:hAnsi="Times New Roman" w:eastAsia="仿宋_GB2312"/>
          <w:color w:val="auto"/>
          <w:spacing w:val="-2"/>
          <w:kern w:val="0"/>
          <w:sz w:val="32"/>
          <w:szCs w:val="32"/>
        </w:rPr>
        <w:t>万元，</w:t>
      </w:r>
      <w:r>
        <w:rPr>
          <w:rFonts w:hint="eastAsia" w:ascii="Times New Roman" w:hAnsi="Times New Roman" w:eastAsia="仿宋_GB2312"/>
          <w:color w:val="auto"/>
          <w:spacing w:val="-2"/>
          <w:kern w:val="0"/>
          <w:sz w:val="32"/>
          <w:szCs w:val="32"/>
          <w:lang w:eastAsia="zh-CN"/>
        </w:rPr>
        <w:t>完成年初预算的</w:t>
      </w:r>
      <w:r>
        <w:rPr>
          <w:rFonts w:hint="eastAsia" w:ascii="Times New Roman" w:hAnsi="Times New Roman" w:eastAsia="仿宋_GB2312"/>
          <w:color w:val="auto"/>
          <w:spacing w:val="-2"/>
          <w:kern w:val="0"/>
          <w:sz w:val="32"/>
          <w:szCs w:val="32"/>
          <w:lang w:val="en-US" w:eastAsia="zh-CN"/>
        </w:rPr>
        <w:t>105.45%，</w:t>
      </w:r>
      <w:r>
        <w:rPr>
          <w:rFonts w:hint="eastAsia" w:ascii="Times New Roman" w:hAnsi="Times New Roman" w:eastAsia="仿宋_GB2312"/>
          <w:spacing w:val="-2"/>
          <w:kern w:val="0"/>
          <w:sz w:val="32"/>
          <w:szCs w:val="32"/>
          <w:lang w:val="en-US" w:eastAsia="zh-CN"/>
        </w:rPr>
        <w:t>决算数大于年初预算数的主要原因是：</w:t>
      </w:r>
      <w:r>
        <w:rPr>
          <w:rFonts w:hint="default" w:ascii="Times New Roman" w:hAnsi="Times New Roman" w:eastAsia="仿宋_GB2312"/>
          <w:color w:val="auto"/>
          <w:sz w:val="32"/>
          <w:szCs w:val="32"/>
        </w:rPr>
        <w:t>市财政年中追加预算，用于</w:t>
      </w:r>
      <w:r>
        <w:rPr>
          <w:rFonts w:hint="eastAsia" w:ascii="Times New Roman" w:hAnsi="Times New Roman" w:eastAsia="仿宋_GB2312"/>
          <w:color w:val="auto"/>
          <w:sz w:val="32"/>
          <w:szCs w:val="32"/>
          <w:lang w:eastAsia="zh-CN"/>
        </w:rPr>
        <w:t>支付在职人员</w:t>
      </w:r>
      <w:r>
        <w:rPr>
          <w:rFonts w:hint="eastAsia" w:ascii="Times New Roman" w:hAnsi="Times New Roman" w:eastAsia="仿宋_GB2312"/>
          <w:color w:val="auto"/>
          <w:sz w:val="32"/>
          <w:szCs w:val="32"/>
          <w:lang w:val="en-US" w:eastAsia="zh-CN"/>
        </w:rPr>
        <w:t>2025年11月与12月</w:t>
      </w:r>
      <w:r>
        <w:rPr>
          <w:rFonts w:hint="eastAsia" w:ascii="Times New Roman" w:hAnsi="Times New Roman" w:eastAsia="仿宋_GB2312"/>
          <w:color w:val="auto"/>
          <w:spacing w:val="-2"/>
          <w:kern w:val="0"/>
          <w:sz w:val="32"/>
          <w:szCs w:val="32"/>
          <w:highlight w:val="none"/>
          <w:lang w:val="en-US" w:eastAsia="zh-CN"/>
        </w:rPr>
        <w:t>工资、缴纳职业年金、生育保险、失业保险和住房公积金。</w:t>
      </w:r>
    </w:p>
    <w:p w14:paraId="59E434A0">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color w:val="000000"/>
          <w:spacing w:val="-2"/>
          <w:kern w:val="0"/>
          <w:sz w:val="32"/>
          <w:szCs w:val="32"/>
        </w:rPr>
      </w:pPr>
      <w:r>
        <w:rPr>
          <w:rFonts w:hint="eastAsia" w:ascii="Times New Roman" w:hAnsi="Times New Roman" w:eastAsia="仿宋_GB2312"/>
          <w:color w:val="000000"/>
          <w:spacing w:val="-2"/>
          <w:kern w:val="0"/>
          <w:sz w:val="32"/>
          <w:szCs w:val="32"/>
          <w:lang w:val="en-US" w:eastAsia="zh-CN"/>
        </w:rPr>
        <w:t>18</w:t>
      </w:r>
      <w:r>
        <w:rPr>
          <w:rFonts w:ascii="Times New Roman" w:hAnsi="Times New Roman" w:eastAsia="仿宋_GB2312"/>
          <w:color w:val="000000"/>
          <w:spacing w:val="-2"/>
          <w:kern w:val="0"/>
          <w:sz w:val="32"/>
          <w:szCs w:val="32"/>
        </w:rPr>
        <w:t>、农林水（类）巩固</w:t>
      </w:r>
      <w:r>
        <w:rPr>
          <w:rFonts w:hint="eastAsia" w:ascii="Times New Roman" w:hAnsi="Times New Roman" w:eastAsia="仿宋_GB2312"/>
          <w:color w:val="000000"/>
          <w:spacing w:val="-2"/>
          <w:kern w:val="0"/>
          <w:sz w:val="32"/>
          <w:szCs w:val="32"/>
          <w:lang w:eastAsia="zh-CN"/>
        </w:rPr>
        <w:t>拓展</w:t>
      </w:r>
      <w:r>
        <w:rPr>
          <w:rFonts w:ascii="Times New Roman" w:hAnsi="Times New Roman" w:eastAsia="仿宋_GB2312"/>
          <w:color w:val="000000"/>
          <w:spacing w:val="-2"/>
          <w:kern w:val="0"/>
          <w:sz w:val="32"/>
          <w:szCs w:val="32"/>
        </w:rPr>
        <w:t>脱贫</w:t>
      </w:r>
      <w:r>
        <w:rPr>
          <w:rFonts w:hint="eastAsia" w:ascii="Times New Roman" w:hAnsi="Times New Roman" w:eastAsia="仿宋_GB2312"/>
          <w:color w:val="000000"/>
          <w:spacing w:val="-2"/>
          <w:kern w:val="0"/>
          <w:sz w:val="32"/>
          <w:szCs w:val="32"/>
          <w:lang w:eastAsia="zh-CN"/>
        </w:rPr>
        <w:t>攻坚成果</w:t>
      </w:r>
      <w:r>
        <w:rPr>
          <w:rFonts w:ascii="Times New Roman" w:hAnsi="Times New Roman" w:eastAsia="仿宋_GB2312"/>
          <w:color w:val="000000"/>
          <w:spacing w:val="-2"/>
          <w:kern w:val="0"/>
          <w:sz w:val="32"/>
          <w:szCs w:val="32"/>
        </w:rPr>
        <w:t>衔接乡村振兴（款）其他巩固脱贫衔接乡村振兴（项）。</w:t>
      </w:r>
    </w:p>
    <w:p w14:paraId="201358A4">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hint="eastAsia" w:ascii="Times New Roman" w:hAnsi="Times New Roman" w:eastAsia="仿宋_GB2312"/>
          <w:color w:val="auto"/>
          <w:spacing w:val="-2"/>
          <w:kern w:val="0"/>
          <w:sz w:val="32"/>
          <w:szCs w:val="32"/>
          <w:lang w:eastAsia="zh-CN"/>
        </w:rPr>
      </w:pPr>
      <w:r>
        <w:rPr>
          <w:rFonts w:ascii="Times New Roman" w:hAnsi="Times New Roman" w:eastAsia="仿宋_GB2312"/>
          <w:color w:val="auto"/>
          <w:spacing w:val="-2"/>
          <w:kern w:val="0"/>
          <w:sz w:val="32"/>
          <w:szCs w:val="32"/>
        </w:rPr>
        <w:t>年初预算为</w:t>
      </w:r>
      <w:r>
        <w:rPr>
          <w:rFonts w:hint="eastAsia" w:ascii="Times New Roman" w:hAnsi="Times New Roman" w:eastAsia="仿宋_GB2312"/>
          <w:color w:val="auto"/>
          <w:spacing w:val="-2"/>
          <w:kern w:val="0"/>
          <w:sz w:val="32"/>
          <w:szCs w:val="32"/>
          <w:highlight w:val="none"/>
          <w:lang w:val="en-US" w:eastAsia="zh-CN"/>
        </w:rPr>
        <w:t>160</w:t>
      </w:r>
      <w:r>
        <w:rPr>
          <w:rFonts w:ascii="Times New Roman" w:hAnsi="Times New Roman" w:eastAsia="仿宋_GB2312"/>
          <w:color w:val="auto"/>
          <w:spacing w:val="-2"/>
          <w:kern w:val="0"/>
          <w:sz w:val="32"/>
          <w:szCs w:val="32"/>
        </w:rPr>
        <w:t>万元，支出决算为</w:t>
      </w:r>
      <w:r>
        <w:rPr>
          <w:rFonts w:hint="eastAsia" w:ascii="Times New Roman" w:hAnsi="Times New Roman" w:eastAsia="仿宋_GB2312"/>
          <w:color w:val="auto"/>
          <w:spacing w:val="-2"/>
          <w:kern w:val="0"/>
          <w:sz w:val="32"/>
          <w:szCs w:val="32"/>
          <w:lang w:val="en-US" w:eastAsia="zh-CN"/>
        </w:rPr>
        <w:t>249</w:t>
      </w:r>
      <w:r>
        <w:rPr>
          <w:rFonts w:ascii="Times New Roman" w:hAnsi="Times New Roman" w:eastAsia="仿宋_GB2312"/>
          <w:color w:val="auto"/>
          <w:spacing w:val="-2"/>
          <w:kern w:val="0"/>
          <w:sz w:val="32"/>
          <w:szCs w:val="32"/>
        </w:rPr>
        <w:t>万元，决算数大于年初预算数的主要原因是：</w:t>
      </w:r>
      <w:r>
        <w:rPr>
          <w:rFonts w:hint="eastAsia" w:ascii="Times New Roman" w:hAnsi="Times New Roman" w:eastAsia="仿宋_GB2312"/>
          <w:color w:val="auto"/>
          <w:spacing w:val="-2"/>
          <w:kern w:val="0"/>
          <w:sz w:val="32"/>
          <w:szCs w:val="32"/>
        </w:rPr>
        <w:t>市财政年中追加预算，用于</w:t>
      </w:r>
      <w:r>
        <w:rPr>
          <w:rFonts w:hint="eastAsia" w:ascii="Times New Roman" w:hAnsi="Times New Roman" w:eastAsia="仿宋_GB2312"/>
          <w:color w:val="auto"/>
          <w:spacing w:val="-2"/>
          <w:kern w:val="0"/>
          <w:sz w:val="32"/>
          <w:szCs w:val="32"/>
          <w:lang w:eastAsia="zh-CN"/>
        </w:rPr>
        <w:t>开展乡村振兴工作。</w:t>
      </w:r>
    </w:p>
    <w:p w14:paraId="01978048">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color w:val="000000"/>
          <w:spacing w:val="-2"/>
          <w:kern w:val="0"/>
          <w:sz w:val="32"/>
          <w:szCs w:val="32"/>
        </w:rPr>
      </w:pPr>
      <w:r>
        <w:rPr>
          <w:rFonts w:hint="eastAsia" w:ascii="Times New Roman" w:hAnsi="Times New Roman" w:eastAsia="仿宋_GB2312"/>
          <w:color w:val="000000"/>
          <w:spacing w:val="-2"/>
          <w:kern w:val="0"/>
          <w:sz w:val="32"/>
          <w:szCs w:val="32"/>
          <w:lang w:val="en-US" w:eastAsia="zh-CN"/>
        </w:rPr>
        <w:t>19</w:t>
      </w:r>
      <w:r>
        <w:rPr>
          <w:rFonts w:ascii="Times New Roman" w:hAnsi="Times New Roman" w:eastAsia="仿宋_GB2312"/>
          <w:color w:val="000000"/>
          <w:spacing w:val="-2"/>
          <w:kern w:val="0"/>
          <w:sz w:val="32"/>
          <w:szCs w:val="32"/>
        </w:rPr>
        <w:t>、</w:t>
      </w:r>
      <w:r>
        <w:rPr>
          <w:rFonts w:hint="eastAsia" w:ascii="Times New Roman" w:hAnsi="Times New Roman" w:eastAsia="仿宋_GB2312"/>
          <w:color w:val="000000"/>
          <w:spacing w:val="-2"/>
          <w:kern w:val="0"/>
          <w:sz w:val="32"/>
          <w:szCs w:val="32"/>
          <w:lang w:eastAsia="zh-CN"/>
        </w:rPr>
        <w:t>资源勘探工业信息等</w:t>
      </w:r>
      <w:r>
        <w:rPr>
          <w:rFonts w:ascii="Times New Roman" w:hAnsi="Times New Roman" w:eastAsia="仿宋_GB2312"/>
          <w:color w:val="000000"/>
          <w:spacing w:val="-2"/>
          <w:kern w:val="0"/>
          <w:sz w:val="32"/>
          <w:szCs w:val="32"/>
        </w:rPr>
        <w:t>（类）</w:t>
      </w:r>
      <w:r>
        <w:rPr>
          <w:rFonts w:hint="eastAsia" w:ascii="Times New Roman" w:hAnsi="Times New Roman" w:eastAsia="仿宋_GB2312"/>
          <w:color w:val="000000"/>
          <w:spacing w:val="-2"/>
          <w:kern w:val="0"/>
          <w:sz w:val="32"/>
          <w:szCs w:val="32"/>
          <w:lang w:eastAsia="zh-CN"/>
        </w:rPr>
        <w:t>其他资源勘探工业信息等</w:t>
      </w:r>
      <w:r>
        <w:rPr>
          <w:rFonts w:ascii="Times New Roman" w:hAnsi="Times New Roman" w:eastAsia="仿宋_GB2312"/>
          <w:color w:val="000000"/>
          <w:spacing w:val="-2"/>
          <w:kern w:val="0"/>
          <w:sz w:val="32"/>
          <w:szCs w:val="32"/>
        </w:rPr>
        <w:t>（款）</w:t>
      </w:r>
      <w:r>
        <w:rPr>
          <w:rFonts w:hint="eastAsia" w:ascii="Times New Roman" w:hAnsi="Times New Roman" w:eastAsia="仿宋_GB2312"/>
          <w:color w:val="000000"/>
          <w:spacing w:val="-2"/>
          <w:kern w:val="0"/>
          <w:sz w:val="32"/>
          <w:szCs w:val="32"/>
          <w:lang w:eastAsia="zh-CN"/>
        </w:rPr>
        <w:t>其他资源勘探工业信息等</w:t>
      </w:r>
      <w:r>
        <w:rPr>
          <w:rFonts w:ascii="Times New Roman" w:hAnsi="Times New Roman" w:eastAsia="仿宋_GB2312"/>
          <w:color w:val="000000"/>
          <w:spacing w:val="-2"/>
          <w:kern w:val="0"/>
          <w:sz w:val="32"/>
          <w:szCs w:val="32"/>
        </w:rPr>
        <w:t>（项）。</w:t>
      </w:r>
    </w:p>
    <w:p w14:paraId="248D7D67">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hint="eastAsia" w:ascii="Times New Roman" w:hAnsi="Times New Roman" w:eastAsia="仿宋_GB2312"/>
          <w:spacing w:val="-2"/>
          <w:kern w:val="0"/>
          <w:sz w:val="32"/>
          <w:szCs w:val="32"/>
          <w:lang w:val="en-US" w:eastAsia="zh-CN"/>
        </w:rPr>
      </w:pPr>
      <w:r>
        <w:rPr>
          <w:rFonts w:ascii="Times New Roman" w:hAnsi="Times New Roman" w:eastAsia="仿宋_GB2312"/>
          <w:color w:val="auto"/>
          <w:spacing w:val="-2"/>
          <w:kern w:val="0"/>
          <w:sz w:val="32"/>
          <w:szCs w:val="32"/>
        </w:rPr>
        <w:t>年初预算为</w:t>
      </w:r>
      <w:r>
        <w:rPr>
          <w:rFonts w:hint="eastAsia" w:ascii="Times New Roman" w:hAnsi="Times New Roman" w:eastAsia="仿宋_GB2312"/>
          <w:color w:val="auto"/>
          <w:spacing w:val="-2"/>
          <w:kern w:val="0"/>
          <w:sz w:val="32"/>
          <w:szCs w:val="32"/>
          <w:highlight w:val="none"/>
          <w:lang w:val="en-US" w:eastAsia="zh-CN"/>
        </w:rPr>
        <w:t>0</w:t>
      </w:r>
      <w:r>
        <w:rPr>
          <w:rFonts w:ascii="Times New Roman" w:hAnsi="Times New Roman" w:eastAsia="仿宋_GB2312"/>
          <w:color w:val="auto"/>
          <w:spacing w:val="-2"/>
          <w:kern w:val="0"/>
          <w:sz w:val="32"/>
          <w:szCs w:val="32"/>
        </w:rPr>
        <w:t>万元，支出决算为</w:t>
      </w:r>
      <w:r>
        <w:rPr>
          <w:rFonts w:hint="eastAsia" w:ascii="Times New Roman" w:hAnsi="Times New Roman" w:eastAsia="仿宋_GB2312"/>
          <w:color w:val="auto"/>
          <w:spacing w:val="-2"/>
          <w:kern w:val="0"/>
          <w:sz w:val="32"/>
          <w:szCs w:val="32"/>
          <w:lang w:val="en-US" w:eastAsia="zh-CN"/>
        </w:rPr>
        <w:t>30</w:t>
      </w:r>
      <w:r>
        <w:rPr>
          <w:rFonts w:ascii="Times New Roman" w:hAnsi="Times New Roman" w:eastAsia="仿宋_GB2312"/>
          <w:color w:val="auto"/>
          <w:spacing w:val="-2"/>
          <w:kern w:val="0"/>
          <w:sz w:val="32"/>
          <w:szCs w:val="32"/>
        </w:rPr>
        <w:t>万元，决算数大于年初预算数的主要原因是：</w:t>
      </w:r>
      <w:r>
        <w:rPr>
          <w:rFonts w:hint="eastAsia" w:ascii="Times New Roman" w:hAnsi="Times New Roman" w:eastAsia="仿宋_GB2312"/>
          <w:color w:val="auto"/>
          <w:spacing w:val="-2"/>
          <w:kern w:val="0"/>
          <w:sz w:val="32"/>
          <w:szCs w:val="32"/>
        </w:rPr>
        <w:t>市财政年中追加预算，用于</w:t>
      </w:r>
      <w:r>
        <w:rPr>
          <w:rFonts w:hint="eastAsia" w:ascii="Times New Roman" w:hAnsi="Times New Roman" w:eastAsia="仿宋_GB2312"/>
          <w:color w:val="auto"/>
          <w:spacing w:val="-2"/>
          <w:kern w:val="0"/>
          <w:sz w:val="32"/>
          <w:szCs w:val="32"/>
          <w:lang w:eastAsia="zh-CN"/>
        </w:rPr>
        <w:t>支付</w:t>
      </w:r>
      <w:r>
        <w:rPr>
          <w:rFonts w:hint="eastAsia" w:ascii="Times New Roman" w:hAnsi="Times New Roman" w:eastAsia="仿宋_GB2312" w:cs="Times New Roman"/>
          <w:sz w:val="32"/>
          <w:szCs w:val="32"/>
          <w:lang w:val="en-US" w:eastAsia="zh-CN"/>
        </w:rPr>
        <w:t>支付</w:t>
      </w:r>
      <w:r>
        <w:rPr>
          <w:rFonts w:hint="eastAsia" w:ascii="Times New Roman" w:hAnsi="Times New Roman" w:eastAsia="仿宋_GB2312"/>
          <w:color w:val="auto"/>
          <w:spacing w:val="-2"/>
          <w:kern w:val="0"/>
          <w:sz w:val="32"/>
          <w:szCs w:val="32"/>
        </w:rPr>
        <w:t>202</w:t>
      </w:r>
      <w:r>
        <w:rPr>
          <w:rFonts w:hint="eastAsia" w:ascii="Times New Roman" w:hAnsi="Times New Roman" w:eastAsia="仿宋_GB2312"/>
          <w:color w:val="auto"/>
          <w:spacing w:val="-2"/>
          <w:kern w:val="0"/>
          <w:sz w:val="32"/>
          <w:szCs w:val="32"/>
          <w:lang w:val="en-US" w:eastAsia="zh-CN"/>
        </w:rPr>
        <w:t>5</w:t>
      </w:r>
      <w:r>
        <w:rPr>
          <w:rFonts w:hint="eastAsia" w:ascii="Times New Roman" w:hAnsi="Times New Roman" w:eastAsia="仿宋_GB2312"/>
          <w:color w:val="auto"/>
          <w:spacing w:val="-2"/>
          <w:kern w:val="0"/>
          <w:sz w:val="32"/>
          <w:szCs w:val="32"/>
        </w:rPr>
        <w:t>年“5+10”现代化产业体系建设产业链专班</w:t>
      </w:r>
      <w:r>
        <w:rPr>
          <w:rFonts w:hint="eastAsia" w:ascii="Times New Roman" w:hAnsi="Times New Roman" w:eastAsia="仿宋_GB2312"/>
          <w:color w:val="auto"/>
          <w:spacing w:val="-2"/>
          <w:kern w:val="0"/>
          <w:sz w:val="32"/>
          <w:szCs w:val="32"/>
          <w:lang w:eastAsia="zh-CN"/>
        </w:rPr>
        <w:t>日常办公</w:t>
      </w:r>
      <w:r>
        <w:rPr>
          <w:rFonts w:hint="eastAsia" w:ascii="Times New Roman" w:hAnsi="Times New Roman" w:eastAsia="仿宋_GB2312"/>
          <w:color w:val="auto"/>
          <w:spacing w:val="-2"/>
          <w:kern w:val="0"/>
          <w:sz w:val="32"/>
          <w:szCs w:val="32"/>
        </w:rPr>
        <w:t>支出</w:t>
      </w:r>
      <w:r>
        <w:rPr>
          <w:rFonts w:hint="eastAsia" w:ascii="Times New Roman" w:hAnsi="Times New Roman" w:eastAsia="仿宋_GB2312"/>
          <w:color w:val="auto"/>
          <w:sz w:val="32"/>
          <w:szCs w:val="32"/>
          <w:lang w:eastAsia="zh-CN"/>
        </w:rPr>
        <w:t>。</w:t>
      </w:r>
    </w:p>
    <w:p w14:paraId="4B56C1FC">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ascii="Times New Roman" w:hAnsi="Times New Roman" w:eastAsia="仿宋_GB2312"/>
          <w:color w:val="000000"/>
          <w:spacing w:val="-2"/>
          <w:kern w:val="0"/>
          <w:sz w:val="32"/>
          <w:szCs w:val="32"/>
        </w:rPr>
      </w:pPr>
      <w:r>
        <w:rPr>
          <w:rFonts w:hint="eastAsia" w:ascii="Times New Roman" w:hAnsi="Times New Roman" w:eastAsia="仿宋_GB2312"/>
          <w:color w:val="000000"/>
          <w:spacing w:val="-2"/>
          <w:kern w:val="0"/>
          <w:sz w:val="32"/>
          <w:szCs w:val="32"/>
          <w:lang w:val="en-US" w:eastAsia="zh-CN"/>
        </w:rPr>
        <w:t>20</w:t>
      </w:r>
      <w:r>
        <w:rPr>
          <w:rFonts w:ascii="Times New Roman" w:hAnsi="Times New Roman" w:eastAsia="仿宋_GB2312"/>
          <w:color w:val="000000"/>
          <w:spacing w:val="-2"/>
          <w:kern w:val="0"/>
          <w:sz w:val="32"/>
          <w:szCs w:val="32"/>
        </w:rPr>
        <w:t>、</w:t>
      </w:r>
      <w:r>
        <w:rPr>
          <w:rFonts w:hint="eastAsia" w:ascii="Times New Roman" w:hAnsi="Times New Roman" w:eastAsia="仿宋_GB2312"/>
          <w:color w:val="000000"/>
          <w:spacing w:val="-2"/>
          <w:kern w:val="0"/>
          <w:sz w:val="32"/>
          <w:szCs w:val="32"/>
          <w:lang w:eastAsia="zh-CN"/>
        </w:rPr>
        <w:t>住房保障</w:t>
      </w:r>
      <w:r>
        <w:rPr>
          <w:rFonts w:ascii="Times New Roman" w:hAnsi="Times New Roman" w:eastAsia="仿宋_GB2312"/>
          <w:color w:val="000000"/>
          <w:spacing w:val="-2"/>
          <w:kern w:val="0"/>
          <w:sz w:val="32"/>
          <w:szCs w:val="32"/>
        </w:rPr>
        <w:t>（类）</w:t>
      </w:r>
      <w:r>
        <w:rPr>
          <w:rFonts w:hint="eastAsia" w:ascii="Times New Roman" w:hAnsi="Times New Roman" w:eastAsia="仿宋_GB2312"/>
          <w:color w:val="000000"/>
          <w:spacing w:val="-2"/>
          <w:kern w:val="0"/>
          <w:sz w:val="32"/>
          <w:szCs w:val="32"/>
          <w:lang w:eastAsia="zh-CN"/>
        </w:rPr>
        <w:t>住房改革</w:t>
      </w:r>
      <w:r>
        <w:rPr>
          <w:rFonts w:ascii="Times New Roman" w:hAnsi="Times New Roman" w:eastAsia="仿宋_GB2312"/>
          <w:color w:val="000000"/>
          <w:spacing w:val="-2"/>
          <w:kern w:val="0"/>
          <w:sz w:val="32"/>
          <w:szCs w:val="32"/>
        </w:rPr>
        <w:t>（款）</w:t>
      </w:r>
      <w:r>
        <w:rPr>
          <w:rFonts w:hint="eastAsia" w:ascii="Times New Roman" w:hAnsi="Times New Roman" w:eastAsia="仿宋_GB2312"/>
          <w:color w:val="000000"/>
          <w:spacing w:val="-2"/>
          <w:kern w:val="0"/>
          <w:sz w:val="32"/>
          <w:szCs w:val="32"/>
          <w:lang w:eastAsia="zh-CN"/>
        </w:rPr>
        <w:t>住房公积金</w:t>
      </w:r>
      <w:r>
        <w:rPr>
          <w:rFonts w:ascii="Times New Roman" w:hAnsi="Times New Roman" w:eastAsia="仿宋_GB2312"/>
          <w:color w:val="000000"/>
          <w:spacing w:val="-2"/>
          <w:kern w:val="0"/>
          <w:sz w:val="32"/>
          <w:szCs w:val="32"/>
        </w:rPr>
        <w:t>（项）。</w:t>
      </w:r>
    </w:p>
    <w:p w14:paraId="632A5C9E">
      <w:pPr>
        <w:keepNext w:val="0"/>
        <w:keepLines w:val="0"/>
        <w:pageBreakBefore w:val="0"/>
        <w:widowControl/>
        <w:shd w:val="clear" w:color="auto" w:fill="FFFFFF"/>
        <w:kinsoku/>
        <w:wordWrap/>
        <w:topLinePunct w:val="0"/>
        <w:bidi w:val="0"/>
        <w:snapToGrid/>
        <w:spacing w:line="600" w:lineRule="exact"/>
        <w:ind w:firstLine="640"/>
        <w:jc w:val="left"/>
        <w:textAlignment w:val="auto"/>
        <w:rPr>
          <w:rFonts w:hint="eastAsia" w:ascii="Times New Roman" w:hAnsi="Times New Roman" w:eastAsia="仿宋_GB2312"/>
          <w:color w:val="0000FF"/>
          <w:spacing w:val="-2"/>
          <w:kern w:val="0"/>
          <w:sz w:val="32"/>
          <w:szCs w:val="32"/>
        </w:rPr>
      </w:pPr>
      <w:r>
        <w:rPr>
          <w:rFonts w:ascii="Times New Roman" w:hAnsi="Times New Roman" w:eastAsia="仿宋_GB2312"/>
          <w:color w:val="auto"/>
          <w:spacing w:val="-2"/>
          <w:kern w:val="0"/>
          <w:sz w:val="32"/>
          <w:szCs w:val="32"/>
        </w:rPr>
        <w:t>年初预算为</w:t>
      </w:r>
      <w:r>
        <w:rPr>
          <w:rFonts w:hint="eastAsia" w:ascii="Times New Roman" w:hAnsi="Times New Roman" w:eastAsia="仿宋_GB2312"/>
          <w:color w:val="auto"/>
          <w:spacing w:val="-2"/>
          <w:kern w:val="0"/>
          <w:sz w:val="32"/>
          <w:szCs w:val="32"/>
          <w:highlight w:val="none"/>
          <w:lang w:val="en-US" w:eastAsia="zh-CN"/>
        </w:rPr>
        <w:t>0</w:t>
      </w:r>
      <w:r>
        <w:rPr>
          <w:rFonts w:ascii="Times New Roman" w:hAnsi="Times New Roman" w:eastAsia="仿宋_GB2312"/>
          <w:color w:val="auto"/>
          <w:spacing w:val="-2"/>
          <w:kern w:val="0"/>
          <w:sz w:val="32"/>
          <w:szCs w:val="32"/>
        </w:rPr>
        <w:t>万元，支出决算为</w:t>
      </w:r>
      <w:r>
        <w:rPr>
          <w:rFonts w:hint="eastAsia" w:ascii="Times New Roman" w:hAnsi="Times New Roman" w:eastAsia="仿宋_GB2312"/>
          <w:color w:val="auto"/>
          <w:spacing w:val="-2"/>
          <w:kern w:val="0"/>
          <w:sz w:val="32"/>
          <w:szCs w:val="32"/>
          <w:lang w:val="en-US" w:eastAsia="zh-CN"/>
        </w:rPr>
        <w:t>9.64</w:t>
      </w:r>
      <w:r>
        <w:rPr>
          <w:rFonts w:ascii="Times New Roman" w:hAnsi="Times New Roman" w:eastAsia="仿宋_GB2312"/>
          <w:color w:val="auto"/>
          <w:spacing w:val="-2"/>
          <w:kern w:val="0"/>
          <w:sz w:val="32"/>
          <w:szCs w:val="32"/>
        </w:rPr>
        <w:t>万元，决算数大于年初预算数的主要原因是：</w:t>
      </w:r>
      <w:r>
        <w:rPr>
          <w:rFonts w:hint="eastAsia" w:ascii="Times New Roman" w:hAnsi="Times New Roman" w:eastAsia="仿宋_GB2312"/>
          <w:color w:val="auto"/>
          <w:spacing w:val="-2"/>
          <w:kern w:val="0"/>
          <w:sz w:val="32"/>
          <w:szCs w:val="32"/>
        </w:rPr>
        <w:t>市财政年中追加预算，用于</w:t>
      </w:r>
      <w:r>
        <w:rPr>
          <w:rFonts w:hint="eastAsia" w:ascii="Times New Roman" w:hAnsi="Times New Roman" w:eastAsia="仿宋_GB2312"/>
          <w:color w:val="auto"/>
          <w:spacing w:val="-2"/>
          <w:kern w:val="0"/>
          <w:sz w:val="32"/>
          <w:szCs w:val="32"/>
          <w:lang w:eastAsia="zh-CN"/>
        </w:rPr>
        <w:t>支付干部职工</w:t>
      </w:r>
      <w:r>
        <w:rPr>
          <w:rFonts w:hint="eastAsia" w:ascii="Times New Roman" w:hAnsi="Times New Roman" w:eastAsia="仿宋_GB2312"/>
          <w:color w:val="auto"/>
          <w:spacing w:val="-2"/>
          <w:kern w:val="0"/>
          <w:sz w:val="32"/>
          <w:szCs w:val="32"/>
          <w:lang w:val="en-US" w:eastAsia="zh-CN"/>
        </w:rPr>
        <w:t>2024年绩效考核奖单位配套</w:t>
      </w:r>
      <w:r>
        <w:rPr>
          <w:rFonts w:hint="eastAsia" w:ascii="Times New Roman" w:hAnsi="Times New Roman" w:eastAsia="仿宋_GB2312"/>
          <w:color w:val="auto"/>
          <w:spacing w:val="-2"/>
          <w:kern w:val="0"/>
          <w:sz w:val="32"/>
          <w:szCs w:val="32"/>
          <w:lang w:eastAsia="zh-CN"/>
        </w:rPr>
        <w:t>住房公积金和</w:t>
      </w:r>
      <w:r>
        <w:rPr>
          <w:rFonts w:hint="eastAsia" w:ascii="Times New Roman" w:hAnsi="Times New Roman" w:eastAsia="仿宋_GB2312"/>
          <w:color w:val="auto"/>
          <w:spacing w:val="-2"/>
          <w:kern w:val="0"/>
          <w:sz w:val="32"/>
          <w:szCs w:val="32"/>
          <w:lang w:val="en-US" w:eastAsia="zh-CN"/>
        </w:rPr>
        <w:t>2025年12月在职人员住房公积金</w:t>
      </w:r>
      <w:r>
        <w:rPr>
          <w:rFonts w:hint="eastAsia" w:ascii="Times New Roman" w:hAnsi="Times New Roman" w:eastAsia="仿宋_GB2312"/>
          <w:color w:val="auto"/>
          <w:spacing w:val="-2"/>
          <w:kern w:val="0"/>
          <w:sz w:val="32"/>
          <w:szCs w:val="32"/>
          <w:lang w:eastAsia="zh-CN"/>
        </w:rPr>
        <w:t>（单位配套）部分</w:t>
      </w:r>
      <w:r>
        <w:rPr>
          <w:rFonts w:hint="eastAsia" w:ascii="Times New Roman" w:hAnsi="Times New Roman" w:eastAsia="仿宋_GB2312"/>
          <w:color w:val="auto"/>
          <w:spacing w:val="-2"/>
          <w:kern w:val="0"/>
          <w:sz w:val="32"/>
          <w:szCs w:val="32"/>
        </w:rPr>
        <w:t>。</w:t>
      </w:r>
    </w:p>
    <w:p w14:paraId="080EF352">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rPr>
        <w:t>按照支出功能分类，</w:t>
      </w:r>
      <w:r>
        <w:rPr>
          <w:rFonts w:hint="eastAsia" w:ascii="Times New Roman" w:hAnsi="Times New Roman" w:eastAsia="仿宋_GB2312" w:cs="Times New Roman"/>
          <w:color w:val="auto"/>
          <w:sz w:val="32"/>
          <w:szCs w:val="32"/>
          <w:lang w:eastAsia="zh-CN"/>
        </w:rPr>
        <w:t>机关事业单位基本养老保险缴费、行政运行、其他农业农村、其他巩固拓展脱贫攻坚成果衔接乡村振兴等</w:t>
      </w:r>
      <w:r>
        <w:rPr>
          <w:rFonts w:hint="eastAsia" w:ascii="Times New Roman" w:hAnsi="Times New Roman" w:eastAsia="仿宋_GB2312" w:cs="Times New Roman"/>
          <w:color w:val="auto"/>
          <w:sz w:val="32"/>
          <w:szCs w:val="32"/>
        </w:rPr>
        <w:t>方面的支出规模较大，主要是：</w:t>
      </w:r>
      <w:r>
        <w:rPr>
          <w:rFonts w:hint="eastAsia" w:ascii="Times New Roman" w:hAnsi="Times New Roman" w:eastAsia="仿宋_GB2312" w:cs="Times New Roman"/>
          <w:color w:val="auto"/>
          <w:sz w:val="32"/>
          <w:szCs w:val="32"/>
          <w:lang w:eastAsia="zh-CN"/>
        </w:rPr>
        <w:t>机关事业单位基本养老保险缴费支出</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286</w:t>
      </w:r>
      <w:r>
        <w:rPr>
          <w:rFonts w:hint="eastAsia" w:ascii="Times New Roman" w:hAnsi="Times New Roman" w:eastAsia="仿宋_GB2312" w:cs="Times New Roman"/>
          <w:color w:val="auto"/>
          <w:sz w:val="32"/>
          <w:szCs w:val="32"/>
        </w:rPr>
        <w:t>万元，占财政拨款支出总额的</w:t>
      </w:r>
      <w:r>
        <w:rPr>
          <w:rFonts w:hint="eastAsia" w:ascii="Times New Roman" w:hAnsi="Times New Roman" w:eastAsia="仿宋_GB2312" w:cs="Times New Roman"/>
          <w:color w:val="auto"/>
          <w:sz w:val="32"/>
          <w:szCs w:val="32"/>
          <w:lang w:val="en-US" w:eastAsia="zh-CN"/>
        </w:rPr>
        <w:t>6.18</w:t>
      </w:r>
      <w:r>
        <w:rPr>
          <w:rFonts w:hint="eastAsia" w:ascii="Times New Roman" w:hAnsi="Times New Roman" w:eastAsia="仿宋_GB2312" w:cs="Times New Roman"/>
          <w:color w:val="auto"/>
          <w:sz w:val="32"/>
          <w:szCs w:val="32"/>
        </w:rPr>
        <w:t>%，主要用于</w:t>
      </w:r>
      <w:r>
        <w:rPr>
          <w:rFonts w:hint="eastAsia" w:ascii="Times New Roman" w:hAnsi="Times New Roman" w:eastAsia="仿宋_GB2312" w:cs="Times New Roman"/>
          <w:color w:val="auto"/>
          <w:sz w:val="32"/>
          <w:szCs w:val="32"/>
          <w:lang w:eastAsia="zh-CN"/>
        </w:rPr>
        <w:t>缴纳在职人员的养老保险；行政运行，</w:t>
      </w:r>
      <w:r>
        <w:rPr>
          <w:rFonts w:hint="eastAsia" w:ascii="Times New Roman" w:hAnsi="Times New Roman" w:eastAsia="仿宋_GB2312" w:cs="Times New Roman"/>
          <w:color w:val="auto"/>
          <w:sz w:val="32"/>
          <w:szCs w:val="32"/>
          <w:lang w:val="en-US" w:eastAsia="zh-CN"/>
        </w:rPr>
        <w:t>2025年度决算数2614.95万元，占财政拨款支出总额的56.53%，主要用于支付在职人员工资；其他农业农村支出，2025年度决算数327.62万元，占财政拨款支出总额的7.08%，主要用于支付“十五五”规划编制、科教兴农、第三次全国土壤普查等；其他巩固拓展脱贫攻坚成果衔接乡村振兴支出，2025年度决算数249万元，占财政拨款支出总额的5.38%，主要用于保障乡村振兴工作。</w:t>
      </w:r>
    </w:p>
    <w:p w14:paraId="633A099E">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89A6E65">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3716.08</w:t>
      </w:r>
      <w:r>
        <w:rPr>
          <w:rFonts w:ascii="Times New Roman" w:hAnsi="Times New Roman" w:eastAsia="仿宋_GB2312" w:cs="Times New Roman"/>
          <w:sz w:val="32"/>
          <w:szCs w:val="32"/>
        </w:rPr>
        <w:t>万元，其中：</w:t>
      </w:r>
    </w:p>
    <w:p w14:paraId="0BDF3A3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3450.8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92.86</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color w:val="auto"/>
          <w:sz w:val="32"/>
          <w:szCs w:val="32"/>
        </w:rPr>
        <w:t>绩效工资、机关事业单位基本养老保险缴费、职业年金缴费、职工基本医疗保险缴费、其他</w:t>
      </w:r>
      <w:r>
        <w:rPr>
          <w:rFonts w:hint="eastAsia" w:ascii="Times New Roman" w:hAnsi="Times New Roman" w:eastAsia="仿宋_GB2312" w:cs="Times New Roman"/>
          <w:color w:val="auto"/>
          <w:sz w:val="32"/>
          <w:szCs w:val="32"/>
        </w:rPr>
        <w:t>社会保障缴费</w:t>
      </w:r>
      <w:r>
        <w:rPr>
          <w:rFonts w:ascii="Times New Roman" w:hAnsi="Times New Roman" w:eastAsia="仿宋_GB2312" w:cs="Times New Roman"/>
          <w:color w:val="auto"/>
          <w:sz w:val="32"/>
          <w:szCs w:val="32"/>
        </w:rPr>
        <w:t>、住房公积金、抚恤金、生活补助、奖励金和其他对个人和家庭的补助。</w:t>
      </w:r>
    </w:p>
    <w:p w14:paraId="2CFECCF9">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265.28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7.14</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水</w:t>
      </w:r>
      <w:r>
        <w:rPr>
          <w:rFonts w:ascii="Times New Roman" w:hAnsi="Times New Roman" w:eastAsia="仿宋_GB2312" w:cs="Times New Roman"/>
          <w:color w:val="auto"/>
          <w:sz w:val="32"/>
          <w:szCs w:val="32"/>
        </w:rPr>
        <w:t>费、</w:t>
      </w:r>
      <w:r>
        <w:rPr>
          <w:rFonts w:hint="eastAsia" w:ascii="Times New Roman" w:hAnsi="Times New Roman" w:eastAsia="仿宋_GB2312" w:cs="Times New Roman"/>
          <w:color w:val="auto"/>
          <w:sz w:val="32"/>
          <w:szCs w:val="32"/>
          <w:lang w:eastAsia="zh-CN"/>
        </w:rPr>
        <w:t>电费、</w:t>
      </w:r>
      <w:r>
        <w:rPr>
          <w:rFonts w:ascii="Times New Roman" w:hAnsi="Times New Roman" w:eastAsia="仿宋_GB2312" w:cs="Times New Roman"/>
          <w:color w:val="auto"/>
          <w:sz w:val="32"/>
          <w:szCs w:val="32"/>
        </w:rPr>
        <w:t>差旅费、</w:t>
      </w:r>
      <w:r>
        <w:rPr>
          <w:rFonts w:hint="eastAsia" w:ascii="Times New Roman" w:hAnsi="Times New Roman" w:eastAsia="仿宋_GB2312" w:cs="Times New Roman"/>
          <w:color w:val="auto"/>
          <w:sz w:val="32"/>
          <w:szCs w:val="32"/>
          <w:lang w:eastAsia="zh-CN"/>
        </w:rPr>
        <w:t>维修</w:t>
      </w:r>
      <w:r>
        <w:rPr>
          <w:rFonts w:ascii="Times New Roman" w:hAnsi="Times New Roman" w:eastAsia="仿宋_GB2312" w:cs="Times New Roman"/>
          <w:color w:val="auto"/>
          <w:sz w:val="32"/>
          <w:szCs w:val="32"/>
        </w:rPr>
        <w:t>费、</w:t>
      </w:r>
      <w:r>
        <w:rPr>
          <w:rFonts w:hint="eastAsia" w:ascii="Times New Roman" w:hAnsi="Times New Roman" w:eastAsia="仿宋_GB2312" w:cs="Times New Roman"/>
          <w:color w:val="auto"/>
          <w:sz w:val="32"/>
          <w:szCs w:val="32"/>
          <w:lang w:eastAsia="zh-CN"/>
        </w:rPr>
        <w:t>租赁费</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会议</w:t>
      </w:r>
      <w:r>
        <w:rPr>
          <w:rFonts w:ascii="Times New Roman" w:hAnsi="Times New Roman" w:eastAsia="仿宋_GB2312" w:cs="Times New Roman"/>
          <w:color w:val="auto"/>
          <w:sz w:val="32"/>
          <w:szCs w:val="32"/>
        </w:rPr>
        <w:t>费、</w:t>
      </w:r>
      <w:r>
        <w:rPr>
          <w:rFonts w:hint="eastAsia" w:ascii="Times New Roman" w:hAnsi="Times New Roman" w:eastAsia="仿宋_GB2312" w:cs="Times New Roman"/>
          <w:color w:val="auto"/>
          <w:sz w:val="32"/>
          <w:szCs w:val="32"/>
          <w:lang w:eastAsia="zh-CN"/>
        </w:rPr>
        <w:t>公务接待费、劳务费、委托业务费、工会经费</w:t>
      </w:r>
      <w:r>
        <w:rPr>
          <w:rFonts w:ascii="Times New Roman" w:hAnsi="Times New Roman" w:eastAsia="仿宋_GB2312" w:cs="Times New Roman"/>
          <w:color w:val="auto"/>
          <w:sz w:val="32"/>
          <w:szCs w:val="32"/>
        </w:rPr>
        <w:t>、福利费、</w:t>
      </w:r>
      <w:r>
        <w:rPr>
          <w:rFonts w:hint="eastAsia" w:ascii="Times New Roman" w:hAnsi="Times New Roman" w:eastAsia="仿宋_GB2312" w:cs="Times New Roman"/>
          <w:color w:val="auto"/>
          <w:sz w:val="32"/>
          <w:szCs w:val="32"/>
          <w:lang w:eastAsia="zh-CN"/>
        </w:rPr>
        <w:t>公务用车运行维护费、</w:t>
      </w:r>
      <w:r>
        <w:rPr>
          <w:rFonts w:ascii="Times New Roman" w:hAnsi="Times New Roman" w:eastAsia="仿宋_GB2312" w:cs="Times New Roman"/>
          <w:color w:val="auto"/>
          <w:sz w:val="32"/>
          <w:szCs w:val="32"/>
        </w:rPr>
        <w:t>其他交通费用、税金及附加费用和其他商品和服务支出。</w:t>
      </w:r>
    </w:p>
    <w:p w14:paraId="0CE9983B">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D9DE699">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2EC5058">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55.23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17.4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45.96</w:t>
      </w:r>
      <w:r>
        <w:rPr>
          <w:rFonts w:ascii="Times New Roman" w:hAnsi="Times New Roman" w:eastAsia="仿宋_GB2312" w:cs="Times New Roman"/>
          <w:sz w:val="32"/>
          <w:szCs w:val="32"/>
        </w:rPr>
        <w:t>%。决算数大于上年数的主要原因</w:t>
      </w:r>
      <w:r>
        <w:rPr>
          <w:rFonts w:hint="eastAsia" w:ascii="Times New Roman" w:hAnsi="Times New Roman" w:eastAsia="仿宋_GB2312" w:cs="Times New Roman"/>
          <w:sz w:val="32"/>
          <w:szCs w:val="32"/>
          <w:lang w:eastAsia="zh-CN"/>
        </w:rPr>
        <w:t>：一是机构改革后，市乡村振兴局工作职责划入市农业农村局，但是“三公”经费财政拨款支出预算未增加；二是</w:t>
      </w:r>
      <w:r>
        <w:rPr>
          <w:rFonts w:hint="eastAsia" w:ascii="Times New Roman" w:hAnsi="Times New Roman" w:eastAsia="仿宋_GB2312" w:cs="Times New Roman"/>
          <w:sz w:val="32"/>
          <w:szCs w:val="32"/>
          <w:lang w:val="en-US" w:eastAsia="zh-CN"/>
        </w:rPr>
        <w:t>2025年为巩固脱贫攻坚成果同乡村振兴有效衔接工作的收官之年，全市迎接了国家和省级实地考核，工作任务繁重，增加了公务用车购置费和公务用车运行维护费。</w:t>
      </w:r>
    </w:p>
    <w:p w14:paraId="5FAD78C2">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7202186">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楷体" w:hAnsi="楷体" w:eastAsia="仿宋_GB2312" w:cs="楷体"/>
          <w:b/>
          <w:bCs/>
          <w:i/>
          <w:color w:val="auto"/>
          <w:sz w:val="32"/>
          <w:szCs w:val="32"/>
        </w:rPr>
      </w:pPr>
      <w:r>
        <w:rPr>
          <w:rFonts w:ascii="Times New Roman" w:hAnsi="Times New Roman" w:eastAsia="仿宋_GB2312"/>
          <w:sz w:val="32"/>
          <w:szCs w:val="32"/>
        </w:rPr>
        <w:t>1</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因公出国（境）费支出</w:t>
      </w:r>
      <w:r>
        <w:rPr>
          <w:rFonts w:hint="eastAsia" w:ascii="Times New Roman" w:hAnsi="Times New Roman" w:eastAsia="仿宋_GB2312"/>
          <w:sz w:val="32"/>
          <w:szCs w:val="32"/>
          <w:lang w:eastAsia="zh-CN"/>
        </w:rPr>
        <w:t>预算为</w:t>
      </w:r>
      <w:r>
        <w:rPr>
          <w:rFonts w:hint="eastAsia" w:ascii="Times New Roman" w:hAnsi="Times New Roman" w:eastAsia="仿宋_GB2312"/>
          <w:sz w:val="32"/>
          <w:szCs w:val="32"/>
          <w:lang w:val="en-US" w:eastAsia="zh-CN"/>
        </w:rPr>
        <w:t>0万元，支出</w:t>
      </w:r>
      <w:r>
        <w:rPr>
          <w:rFonts w:hint="eastAsia" w:ascii="Times New Roman" w:hAnsi="Times New Roman" w:eastAsia="仿宋_GB2312"/>
          <w:sz w:val="32"/>
          <w:szCs w:val="32"/>
        </w:rPr>
        <w:t>决算为0万元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决算数与预算数持平，与上年相比持平，主要原</w:t>
      </w:r>
      <w:r>
        <w:rPr>
          <w:rFonts w:hint="eastAsia" w:ascii="Times New Roman" w:hAnsi="Times New Roman" w:eastAsia="仿宋_GB2312"/>
          <w:sz w:val="32"/>
          <w:szCs w:val="32"/>
          <w:lang w:eastAsia="zh-CN"/>
        </w:rPr>
        <w:t>因是</w:t>
      </w:r>
      <w:r>
        <w:rPr>
          <w:rFonts w:hint="eastAsia" w:ascii="Times New Roman" w:hAnsi="Times New Roman" w:eastAsia="仿宋_GB2312"/>
          <w:sz w:val="32"/>
          <w:szCs w:val="32"/>
        </w:rPr>
        <w:t>本年度未安排因公出国（境）。</w:t>
      </w:r>
      <w:r>
        <w:rPr>
          <w:rFonts w:hint="eastAsia" w:ascii="Times New Roman" w:hAnsi="Times New Roman" w:eastAsia="仿宋_GB2312"/>
          <w:sz w:val="32"/>
          <w:szCs w:val="32"/>
          <w:lang w:val="en-US" w:eastAsia="zh-CN"/>
        </w:rPr>
        <w:t>2025年度</w:t>
      </w:r>
      <w:r>
        <w:rPr>
          <w:rFonts w:hint="eastAsia" w:ascii="Times New Roman" w:hAnsi="Times New Roman" w:eastAsia="仿宋_GB2312"/>
          <w:sz w:val="32"/>
          <w:szCs w:val="32"/>
        </w:rPr>
        <w:t>安排因公出国（境）团组0个，累计0人次。</w:t>
      </w:r>
    </w:p>
    <w:p w14:paraId="379B1180">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55.04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55.04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20.7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60.28</w:t>
      </w:r>
      <w:r>
        <w:rPr>
          <w:rFonts w:ascii="Times New Roman" w:hAnsi="Times New Roman" w:eastAsia="仿宋_GB2312" w:cs="Times New Roman"/>
          <w:sz w:val="32"/>
          <w:szCs w:val="32"/>
        </w:rPr>
        <w:t>%。其中：</w:t>
      </w:r>
    </w:p>
    <w:p w14:paraId="57DD34E6">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sz w:val="32"/>
          <w:szCs w:val="32"/>
        </w:rPr>
        <w:t>公务用车购置费</w:t>
      </w:r>
      <w:r>
        <w:rPr>
          <w:rFonts w:hint="eastAsia" w:ascii="Times New Roman" w:hAnsi="Times New Roman" w:eastAsia="仿宋_GB2312"/>
          <w:sz w:val="32"/>
          <w:szCs w:val="32"/>
          <w:lang w:eastAsia="zh-CN"/>
        </w:rPr>
        <w:t>支出预算为</w:t>
      </w:r>
      <w:r>
        <w:rPr>
          <w:rFonts w:hint="eastAsia" w:ascii="Times New Roman" w:hAnsi="Times New Roman" w:eastAsia="仿宋_GB2312"/>
          <w:sz w:val="32"/>
          <w:szCs w:val="32"/>
          <w:lang w:val="en-US" w:eastAsia="zh-CN"/>
        </w:rPr>
        <w:t>17.38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，支出决算为</w:t>
      </w:r>
      <w:r>
        <w:rPr>
          <w:rFonts w:hint="eastAsia" w:ascii="Times New Roman" w:hAnsi="Times New Roman" w:eastAsia="仿宋_GB2312"/>
          <w:sz w:val="32"/>
          <w:szCs w:val="32"/>
          <w:lang w:val="en-US" w:eastAsia="zh-CN"/>
        </w:rPr>
        <w:t>17.38万元，与上年相比增加17.38万元，增长100%。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大于上年数的主要原因：本年度巩固脱贫攻坚成果同乡村振兴有效衔接工作任务十分繁重，经审批，更新公务用车</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lang w:eastAsia="zh-CN"/>
        </w:rPr>
        <w:t>辆。</w:t>
      </w:r>
    </w:p>
    <w:p w14:paraId="14945CA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eastAsia="zh-CN"/>
        </w:rPr>
        <w:t>支出预算为</w:t>
      </w:r>
      <w:r>
        <w:rPr>
          <w:rFonts w:hint="eastAsia" w:ascii="Times New Roman" w:hAnsi="Times New Roman" w:eastAsia="仿宋_GB2312"/>
          <w:sz w:val="32"/>
          <w:szCs w:val="32"/>
          <w:lang w:val="en-US" w:eastAsia="zh-CN"/>
        </w:rPr>
        <w:t>37.66万元，支出决算为37.66</w:t>
      </w:r>
      <w:r>
        <w:rPr>
          <w:rFonts w:hint="eastAsia" w:ascii="Times New Roman" w:hAnsi="Times New Roman" w:eastAsia="仿宋_GB2312"/>
          <w:sz w:val="32"/>
          <w:szCs w:val="32"/>
        </w:rPr>
        <w:t>万元，主要是</w:t>
      </w:r>
      <w:r>
        <w:rPr>
          <w:rFonts w:hint="default" w:ascii="Times New Roman" w:hAnsi="Times New Roman" w:eastAsia="仿宋_GB2312"/>
          <w:sz w:val="32"/>
          <w:szCs w:val="32"/>
        </w:rPr>
        <w:t>油料、车辆保险费及过路费等方面的</w:t>
      </w:r>
      <w:r>
        <w:rPr>
          <w:rFonts w:hint="eastAsia" w:ascii="Times New Roman" w:hAnsi="Times New Roman" w:eastAsia="仿宋_GB2312"/>
          <w:sz w:val="32"/>
          <w:szCs w:val="32"/>
        </w:rPr>
        <w:t>支出，</w:t>
      </w:r>
      <w:r>
        <w:rPr>
          <w:rFonts w:hint="eastAsia" w:ascii="Times New Roman" w:hAnsi="Times New Roman" w:eastAsia="仿宋_GB2312"/>
          <w:sz w:val="32"/>
          <w:szCs w:val="32"/>
          <w:lang w:eastAsia="zh-CN"/>
        </w:rPr>
        <w:t>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与上年相比增加</w:t>
      </w:r>
      <w:r>
        <w:rPr>
          <w:rFonts w:hint="eastAsia" w:ascii="Times New Roman" w:hAnsi="Times New Roman" w:eastAsia="仿宋_GB2312"/>
          <w:sz w:val="32"/>
          <w:szCs w:val="32"/>
          <w:lang w:val="en-US" w:eastAsia="zh-CN"/>
        </w:rPr>
        <w:t>3.32</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9.67</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决算数大于</w:t>
      </w:r>
      <w:r>
        <w:rPr>
          <w:rFonts w:hint="eastAsia" w:ascii="Times New Roman" w:hAnsi="Times New Roman" w:eastAsia="仿宋_GB2312"/>
          <w:sz w:val="32"/>
          <w:szCs w:val="32"/>
          <w:lang w:eastAsia="zh-CN"/>
        </w:rPr>
        <w:t>上年</w:t>
      </w:r>
      <w:r>
        <w:rPr>
          <w:rFonts w:hint="eastAsia" w:ascii="Times New Roman" w:hAnsi="Times New Roman" w:eastAsia="仿宋_GB2312"/>
          <w:sz w:val="32"/>
          <w:szCs w:val="32"/>
        </w:rPr>
        <w:t>数的主要原因是</w:t>
      </w:r>
      <w:r>
        <w:rPr>
          <w:rFonts w:hint="default" w:ascii="Times New Roman" w:hAnsi="Times New Roman" w:eastAsia="仿宋_GB2312"/>
          <w:sz w:val="32"/>
          <w:szCs w:val="32"/>
        </w:rPr>
        <w:t>：</w:t>
      </w:r>
      <w:r>
        <w:rPr>
          <w:rFonts w:hint="eastAsia" w:ascii="Times New Roman" w:hAnsi="Times New Roman" w:eastAsia="仿宋_GB2312"/>
          <w:sz w:val="32"/>
          <w:szCs w:val="32"/>
          <w:lang w:eastAsia="zh-CN"/>
        </w:rPr>
        <w:t>本年度巩固脱贫攻坚成果同乡村振兴有效衔接工作任务十分繁重。全市迎接了国家级和省级实地考核</w:t>
      </w:r>
      <w:r>
        <w:rPr>
          <w:rFonts w:hint="eastAsia" w:ascii="仿宋_GB2312" w:hAnsi="仿宋" w:eastAsia="仿宋_GB2312"/>
          <w:color w:val="auto"/>
          <w:spacing w:val="-2"/>
          <w:sz w:val="32"/>
          <w:szCs w:val="32"/>
          <w:lang w:eastAsia="zh-CN"/>
        </w:rPr>
        <w:t>。</w:t>
      </w:r>
      <w:r>
        <w:rPr>
          <w:rFonts w:hint="eastAsia" w:ascii="Times New Roman" w:hAnsi="Times New Roman" w:eastAsia="仿宋_GB2312"/>
          <w:sz w:val="32"/>
          <w:szCs w:val="32"/>
        </w:rPr>
        <w:t>截</w:t>
      </w:r>
      <w:r>
        <w:rPr>
          <w:rFonts w:hint="eastAsia" w:ascii="Times New Roman" w:hAnsi="Times New Roman" w:eastAsia="仿宋_GB2312"/>
          <w:sz w:val="32"/>
          <w:szCs w:val="32"/>
          <w:lang w:eastAsia="zh-CN"/>
        </w:rPr>
        <w:t>至</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辆。</w:t>
      </w:r>
    </w:p>
    <w:p w14:paraId="5733FC71">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94.89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sz w:val="32"/>
          <w:szCs w:val="32"/>
          <w:lang w:eastAsia="zh-CN"/>
        </w:rPr>
        <w:t>严控公务接待费的审批。</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人次</w:t>
      </w:r>
      <w:r>
        <w:rPr>
          <w:rFonts w:hint="eastAsia" w:ascii="Times New Roman" w:hAnsi="Times New Roman" w:eastAsia="仿宋_GB2312"/>
          <w:sz w:val="32"/>
          <w:szCs w:val="32"/>
        </w:rPr>
        <w:t>，</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有效衔接工作调研、农产品质量安全监管等业务工作</w:t>
      </w:r>
      <w:r>
        <w:rPr>
          <w:rFonts w:ascii="Times New Roman" w:hAnsi="Times New Roman" w:eastAsia="仿宋_GB2312" w:cs="Times New Roman"/>
          <w:sz w:val="32"/>
          <w:szCs w:val="32"/>
        </w:rPr>
        <w:t>发生的接待支出。</w:t>
      </w:r>
    </w:p>
    <w:p w14:paraId="0C747816">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A31ACBE">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39.77</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39.77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39.77</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62594E76">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其他政府性基金债务收入安排</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其他政府性基金债务收入安排</w:t>
      </w:r>
      <w:r>
        <w:rPr>
          <w:rFonts w:ascii="Times New Roman" w:hAnsi="Times New Roman" w:eastAsia="仿宋_GB2312" w:cs="Times New Roman"/>
          <w:sz w:val="32"/>
          <w:szCs w:val="32"/>
        </w:rPr>
        <w:t>（项）。</w:t>
      </w:r>
    </w:p>
    <w:p w14:paraId="0B5D855B">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39.77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支付怀化市本级智慧渔政视频监控系统建设及服务项目的剩余款。</w:t>
      </w:r>
    </w:p>
    <w:p w14:paraId="06F59C00">
      <w:pPr>
        <w:pStyle w:val="13"/>
        <w:keepNext w:val="0"/>
        <w:keepLines w:val="0"/>
        <w:pageBreakBefore w:val="0"/>
        <w:kinsoku/>
        <w:wordWrap/>
        <w:topLinePunct w:val="0"/>
        <w:bidi w:val="0"/>
        <w:snapToGrid/>
        <w:spacing w:line="600" w:lineRule="exact"/>
        <w:ind w:firstLine="640" w:firstLineChars="200"/>
        <w:jc w:val="both"/>
        <w:textAlignment w:val="auto"/>
        <w:rPr>
          <w:rFonts w:ascii="Times New Roman" w:hAnsi="黑体" w:cs="Times New Roman"/>
          <w:bCs/>
          <w:color w:val="auto"/>
          <w:sz w:val="32"/>
          <w:szCs w:val="32"/>
        </w:rPr>
      </w:pPr>
      <w:r>
        <w:rPr>
          <w:rFonts w:hint="eastAsia" w:ascii="Times New Roman" w:hAnsi="黑体" w:cs="Times New Roman"/>
          <w:bCs/>
          <w:color w:val="auto"/>
          <w:sz w:val="32"/>
          <w:szCs w:val="32"/>
        </w:rPr>
        <w:t>九、国有资本经营预算财政拨款</w:t>
      </w:r>
      <w:r>
        <w:rPr>
          <w:rFonts w:hint="eastAsia" w:ascii="Times New Roman" w:hAnsi="黑体" w:cs="Times New Roman"/>
          <w:bCs/>
          <w:color w:val="auto"/>
          <w:sz w:val="32"/>
          <w:szCs w:val="32"/>
          <w:lang w:eastAsia="zh-CN"/>
        </w:rPr>
        <w:t>收入</w:t>
      </w:r>
      <w:r>
        <w:rPr>
          <w:rFonts w:hint="eastAsia" w:ascii="Times New Roman" w:hAnsi="黑体" w:cs="Times New Roman"/>
          <w:bCs/>
          <w:color w:val="auto"/>
          <w:sz w:val="32"/>
          <w:szCs w:val="32"/>
        </w:rPr>
        <w:t>支出决算情况说明</w:t>
      </w:r>
    </w:p>
    <w:p w14:paraId="5F9D0A14">
      <w:pPr>
        <w:pStyle w:val="13"/>
        <w:keepNext w:val="0"/>
        <w:keepLines w:val="0"/>
        <w:pageBreakBefore w:val="0"/>
        <w:kinsoku/>
        <w:wordWrap/>
        <w:topLinePunct w:val="0"/>
        <w:bidi w:val="0"/>
        <w:snapToGrid/>
        <w:spacing w:line="600" w:lineRule="exact"/>
        <w:ind w:firstLine="640" w:firstLineChars="200"/>
        <w:jc w:val="both"/>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年度本部门无国有资本经营预算财政拨款</w:t>
      </w:r>
      <w:r>
        <w:rPr>
          <w:rFonts w:hint="eastAsia" w:ascii="Times New Roman" w:hAnsi="Times New Roman" w:eastAsia="仿宋_GB2312" w:cs="Times New Roman"/>
          <w:color w:val="auto"/>
          <w:sz w:val="32"/>
          <w:szCs w:val="32"/>
          <w:lang w:eastAsia="zh-CN"/>
        </w:rPr>
        <w:t>收入</w:t>
      </w:r>
      <w:r>
        <w:rPr>
          <w:rFonts w:hint="eastAsia" w:ascii="Times New Roman" w:hAnsi="Times New Roman" w:eastAsia="仿宋_GB2312" w:cs="Times New Roman"/>
          <w:color w:val="auto"/>
          <w:sz w:val="32"/>
          <w:szCs w:val="32"/>
        </w:rPr>
        <w:t>支出。</w:t>
      </w:r>
    </w:p>
    <w:p w14:paraId="7794937F">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428B06C9">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265.28</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207.89万</w:t>
      </w:r>
      <w:r>
        <w:rPr>
          <w:rFonts w:ascii="Times New Roman" w:hAnsi="Times New Roman" w:eastAsia="仿宋_GB2312" w:cs="Times New Roman"/>
          <w:sz w:val="32"/>
          <w:szCs w:val="32"/>
        </w:rPr>
        <w:t>元，降低</w:t>
      </w:r>
      <w:r>
        <w:rPr>
          <w:rFonts w:hint="eastAsia" w:ascii="Times New Roman" w:hAnsi="Times New Roman" w:eastAsia="仿宋_GB2312" w:cs="Times New Roman"/>
          <w:sz w:val="32"/>
          <w:szCs w:val="32"/>
          <w:lang w:val="en-US" w:eastAsia="zh-CN"/>
        </w:rPr>
        <w:t>43.94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压减</w:t>
      </w:r>
      <w:r>
        <w:rPr>
          <w:rFonts w:hint="eastAsia" w:ascii="Times New Roman" w:hAnsi="Times New Roman" w:eastAsia="仿宋_GB2312" w:cs="Times New Roman"/>
          <w:sz w:val="32"/>
          <w:szCs w:val="32"/>
          <w:lang w:eastAsia="zh-CN"/>
        </w:rPr>
        <w:t>办公费、差旅费、会议费和培训费的</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eastAsia="zh-CN"/>
        </w:rPr>
        <w:t>。</w:t>
      </w:r>
    </w:p>
    <w:p w14:paraId="7478C565">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19CD49CD">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17.36</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业务工作</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758</w:t>
      </w:r>
      <w:r>
        <w:rPr>
          <w:rFonts w:ascii="Times New Roman" w:hAnsi="Times New Roman" w:eastAsia="仿宋_GB2312" w:cs="Times New Roman"/>
          <w:sz w:val="32"/>
          <w:szCs w:val="32"/>
        </w:rPr>
        <w:t>人，内容为</w:t>
      </w:r>
      <w:r>
        <w:rPr>
          <w:rFonts w:hint="default" w:ascii="Times New Roman" w:hAnsi="Times New Roman" w:eastAsia="仿宋_GB2312"/>
          <w:sz w:val="32"/>
          <w:szCs w:val="32"/>
        </w:rPr>
        <w:t>农作物病虫害防控、</w:t>
      </w:r>
      <w:r>
        <w:rPr>
          <w:rFonts w:hint="eastAsia" w:ascii="Times New Roman" w:hAnsi="Times New Roman" w:eastAsia="仿宋_GB2312" w:cs="Times New Roman"/>
          <w:sz w:val="32"/>
          <w:szCs w:val="32"/>
          <w:lang w:eastAsia="zh-CN"/>
        </w:rPr>
        <w:t>第三次全国土壤普查成果汇总、有效衔接工作、大湘西地区优质农产品产销对接、“十五五”规划编制、人居环境整治提升、科教支农工作部署等工作会议。</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2.38</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业务技术</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133</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农业农村系统公文能力提升及政务礼仪、农业农村统计、有效衔接工作等。</w:t>
      </w:r>
    </w:p>
    <w:p w14:paraId="17FCB0A5">
      <w:pPr>
        <w:keepNext w:val="0"/>
        <w:keepLines w:val="0"/>
        <w:pageBreakBefore w:val="0"/>
        <w:kinsoku/>
        <w:wordWrap/>
        <w:topLinePunct w:val="0"/>
        <w:bidi w:val="0"/>
        <w:snapToGrid/>
        <w:spacing w:line="600" w:lineRule="exact"/>
        <w:ind w:firstLine="640" w:firstLineChars="200"/>
        <w:textAlignment w:val="auto"/>
        <w:rPr>
          <w:rFonts w:ascii="Times New Roman" w:hAnsi="仿宋_GB2312" w:eastAsia="仿宋_GB2312"/>
          <w:color w:val="auto"/>
          <w:kern w:val="0"/>
          <w:sz w:val="32"/>
          <w:szCs w:val="32"/>
          <w:highlight w:val="none"/>
        </w:rPr>
      </w:pPr>
      <w:r>
        <w:rPr>
          <w:rFonts w:ascii="Times New Roman" w:hAnsi="Times New Roman" w:eastAsia="仿宋_GB2312"/>
          <w:color w:val="auto"/>
          <w:kern w:val="0"/>
          <w:sz w:val="32"/>
          <w:szCs w:val="32"/>
          <w:highlight w:val="none"/>
        </w:rPr>
        <w:t>202</w:t>
      </w:r>
      <w:r>
        <w:rPr>
          <w:rFonts w:hint="eastAsia" w:ascii="Times New Roman" w:hAnsi="Times New Roman" w:eastAsia="仿宋_GB2312"/>
          <w:color w:val="auto"/>
          <w:kern w:val="0"/>
          <w:sz w:val="32"/>
          <w:szCs w:val="32"/>
          <w:highlight w:val="none"/>
          <w:lang w:val="en-US" w:eastAsia="zh-CN"/>
        </w:rPr>
        <w:t>5</w:t>
      </w:r>
      <w:r>
        <w:rPr>
          <w:rFonts w:ascii="Times New Roman" w:hAnsi="仿宋_GB2312" w:eastAsia="仿宋_GB2312"/>
          <w:color w:val="auto"/>
          <w:kern w:val="0"/>
          <w:sz w:val="32"/>
          <w:szCs w:val="32"/>
          <w:highlight w:val="none"/>
        </w:rPr>
        <w:t>年本部门没有举办节庆、晚会、论坛、赛事等活动，开支</w:t>
      </w:r>
      <w:r>
        <w:rPr>
          <w:rFonts w:ascii="Times New Roman" w:hAnsi="Times New Roman" w:eastAsia="仿宋_GB2312"/>
          <w:color w:val="auto"/>
          <w:kern w:val="0"/>
          <w:sz w:val="32"/>
          <w:szCs w:val="32"/>
          <w:highlight w:val="none"/>
        </w:rPr>
        <w:t>0</w:t>
      </w:r>
      <w:r>
        <w:rPr>
          <w:rFonts w:ascii="Times New Roman" w:hAnsi="仿宋_GB2312" w:eastAsia="仿宋_GB2312"/>
          <w:color w:val="auto"/>
          <w:kern w:val="0"/>
          <w:sz w:val="32"/>
          <w:szCs w:val="32"/>
          <w:highlight w:val="none"/>
        </w:rPr>
        <w:t>万元。</w:t>
      </w:r>
    </w:p>
    <w:p w14:paraId="1116A904">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0778682E">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403.96</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72.9</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3.31</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327.75</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403.96</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301.86</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74.73</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489A1E41">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27ADBC98">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本</w:t>
      </w:r>
      <w:r>
        <w:rPr>
          <w:rFonts w:ascii="Times New Roman" w:hAnsi="Times New Roman" w:eastAsia="仿宋_GB2312" w:cs="Times New Roman"/>
          <w:color w:val="auto"/>
          <w:sz w:val="32"/>
          <w:szCs w:val="32"/>
        </w:rPr>
        <w:t>部门共有车辆</w:t>
      </w:r>
      <w:r>
        <w:rPr>
          <w:rFonts w:hint="eastAsia" w:ascii="Times New Roman" w:hAnsi="Times New Roman" w:eastAsia="仿宋_GB2312" w:cs="Times New Roman"/>
          <w:color w:val="auto"/>
          <w:sz w:val="32"/>
          <w:szCs w:val="32"/>
          <w:lang w:val="en-US" w:eastAsia="zh-CN"/>
        </w:rPr>
        <w:t>11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8</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开展农业农村业务工作</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D9E3261">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53CCB48">
      <w:pPr>
        <w:pStyle w:val="13"/>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olor w:val="auto"/>
          <w:sz w:val="32"/>
          <w:szCs w:val="32"/>
          <w:lang w:eastAsia="zh-CN"/>
        </w:rPr>
      </w:pPr>
      <w:r>
        <w:rPr>
          <w:rFonts w:ascii="Times New Roman" w:hAnsi="Times New Roman" w:eastAsia="楷体_GB2312" w:cs="Times New Roman"/>
          <w:b/>
          <w:bCs/>
          <w:sz w:val="32"/>
          <w:szCs w:val="32"/>
        </w:rPr>
        <w:t>（一）绩效评价工作开展情况。</w:t>
      </w:r>
      <w:r>
        <w:rPr>
          <w:rFonts w:hint="eastAsia" w:ascii="Times New Roman" w:hAnsi="Times New Roman" w:eastAsia="仿宋_GB2312"/>
          <w:color w:val="auto"/>
          <w:sz w:val="32"/>
          <w:szCs w:val="32"/>
          <w:lang w:eastAsia="zh-CN"/>
        </w:rPr>
        <w:t>根据《怀化市财政局关于开展202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年度部门整体支出与专项资金绩效自评工作的通知》（怀财绩〔202</w:t>
      </w:r>
      <w:r>
        <w:rPr>
          <w:rFonts w:hint="eastAsia" w:ascii="Times New Roman" w:hAnsi="Times New Roman" w:eastAsia="仿宋_GB2312"/>
          <w:color w:val="auto"/>
          <w:sz w:val="32"/>
          <w:szCs w:val="32"/>
          <w:lang w:val="en-US" w:eastAsia="zh-CN"/>
        </w:rPr>
        <w:t>6</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highlight w:val="none"/>
          <w:lang w:eastAsia="zh-CN"/>
        </w:rPr>
        <w:t>6号）</w:t>
      </w:r>
      <w:r>
        <w:rPr>
          <w:rFonts w:hint="eastAsia" w:ascii="Times New Roman" w:hAnsi="Times New Roman" w:eastAsia="仿宋_GB2312"/>
          <w:color w:val="auto"/>
          <w:sz w:val="32"/>
          <w:szCs w:val="32"/>
          <w:lang w:eastAsia="zh-CN"/>
        </w:rPr>
        <w:t>要求，我</w:t>
      </w:r>
      <w:r>
        <w:rPr>
          <w:rFonts w:hint="default" w:ascii="Times New Roman" w:hAnsi="Times New Roman" w:eastAsia="仿宋_GB2312"/>
          <w:color w:val="auto"/>
          <w:sz w:val="32"/>
          <w:szCs w:val="32"/>
          <w:lang w:eastAsia="zh-CN"/>
        </w:rPr>
        <w:t>单位</w:t>
      </w:r>
      <w:r>
        <w:rPr>
          <w:rFonts w:hint="eastAsia" w:ascii="Times New Roman" w:hAnsi="Times New Roman" w:eastAsia="仿宋_GB2312"/>
          <w:color w:val="auto"/>
          <w:sz w:val="32"/>
          <w:szCs w:val="32"/>
          <w:lang w:eastAsia="zh-CN"/>
        </w:rPr>
        <w:t>对202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年度整体支出情况开展了绩效自评，涉及项目</w:t>
      </w:r>
      <w:r>
        <w:rPr>
          <w:rFonts w:hint="eastAsia" w:ascii="Times New Roman" w:hAnsi="Times New Roman" w:eastAsia="仿宋_GB2312"/>
          <w:color w:val="auto"/>
          <w:sz w:val="32"/>
          <w:szCs w:val="32"/>
          <w:lang w:val="en-US" w:eastAsia="zh-CN"/>
        </w:rPr>
        <w:t>26个，共涉及资金4665.67万元，</w:t>
      </w:r>
      <w:r>
        <w:rPr>
          <w:rFonts w:hint="default" w:ascii="Times New Roman" w:hAnsi="Times New Roman" w:eastAsia="仿宋_GB2312"/>
          <w:color w:val="auto"/>
          <w:sz w:val="32"/>
          <w:szCs w:val="32"/>
          <w:lang w:eastAsia="zh-CN"/>
        </w:rPr>
        <w:t>其中，基本支出</w:t>
      </w:r>
      <w:r>
        <w:rPr>
          <w:rFonts w:hint="eastAsia" w:ascii="Times New Roman" w:hAnsi="Times New Roman" w:eastAsia="仿宋_GB2312"/>
          <w:color w:val="auto"/>
          <w:sz w:val="32"/>
          <w:szCs w:val="32"/>
          <w:lang w:val="en-US" w:eastAsia="zh-CN"/>
        </w:rPr>
        <w:t>3716.08</w:t>
      </w:r>
      <w:r>
        <w:rPr>
          <w:rFonts w:hint="default" w:ascii="Times New Roman" w:hAnsi="Times New Roman" w:eastAsia="仿宋_GB2312"/>
          <w:color w:val="auto"/>
          <w:sz w:val="32"/>
          <w:szCs w:val="32"/>
          <w:lang w:eastAsia="zh-CN"/>
        </w:rPr>
        <w:t>万元，项目支出</w:t>
      </w:r>
      <w:r>
        <w:rPr>
          <w:rFonts w:hint="eastAsia" w:ascii="Times New Roman" w:hAnsi="Times New Roman" w:eastAsia="仿宋_GB2312"/>
          <w:color w:val="auto"/>
          <w:sz w:val="32"/>
          <w:szCs w:val="32"/>
          <w:lang w:val="en-US" w:eastAsia="zh-CN"/>
        </w:rPr>
        <w:t>949.59</w:t>
      </w:r>
      <w:r>
        <w:rPr>
          <w:rFonts w:hint="default"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lang w:eastAsia="zh-CN"/>
        </w:rPr>
        <w:t>基本支出核算的主要内容是为保障</w:t>
      </w:r>
      <w:r>
        <w:rPr>
          <w:rFonts w:hint="default" w:ascii="Times New Roman" w:hAnsi="Times New Roman" w:eastAsia="仿宋_GB2312"/>
          <w:color w:val="auto"/>
          <w:sz w:val="32"/>
          <w:szCs w:val="32"/>
          <w:lang w:eastAsia="zh-CN"/>
        </w:rPr>
        <w:t>我单位</w:t>
      </w:r>
      <w:r>
        <w:rPr>
          <w:rFonts w:hint="eastAsia" w:ascii="Times New Roman" w:hAnsi="Times New Roman" w:eastAsia="仿宋_GB2312"/>
          <w:color w:val="auto"/>
          <w:sz w:val="32"/>
          <w:szCs w:val="32"/>
          <w:lang w:eastAsia="zh-CN"/>
        </w:rPr>
        <w:t>正常运转、完成日常工作任务而发生的人员支出和公用支出。项目支出核算的主要内容是</w:t>
      </w:r>
      <w:r>
        <w:rPr>
          <w:rFonts w:hint="default" w:ascii="Times New Roman" w:hAnsi="Times New Roman" w:eastAsia="仿宋_GB2312"/>
          <w:color w:val="auto"/>
          <w:sz w:val="32"/>
          <w:szCs w:val="32"/>
          <w:lang w:eastAsia="zh-CN"/>
        </w:rPr>
        <w:t>我单位</w:t>
      </w:r>
      <w:r>
        <w:rPr>
          <w:rFonts w:hint="eastAsia" w:ascii="Times New Roman" w:hAnsi="Times New Roman" w:eastAsia="仿宋_GB2312"/>
          <w:color w:val="auto"/>
          <w:sz w:val="32"/>
          <w:szCs w:val="32"/>
          <w:lang w:eastAsia="zh-CN"/>
        </w:rPr>
        <w:t>完成特定的工作任务或事业发展目标，</w:t>
      </w:r>
    </w:p>
    <w:p w14:paraId="148FF43C">
      <w:pPr>
        <w:keepNext w:val="0"/>
        <w:keepLines w:val="0"/>
        <w:pageBreakBefore w:val="0"/>
        <w:numPr>
          <w:ilvl w:val="0"/>
          <w:numId w:val="0"/>
        </w:numPr>
        <w:kinsoku/>
        <w:wordWrap/>
        <w:overflowPunct w:val="0"/>
        <w:topLinePunct w:val="0"/>
        <w:bidi w:val="0"/>
        <w:snapToGrid/>
        <w:spacing w:line="600" w:lineRule="exact"/>
        <w:ind w:firstLine="640" w:firstLineChars="200"/>
        <w:textAlignment w:val="auto"/>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lang w:eastAsia="zh-CN"/>
        </w:rPr>
        <w:t>（二）</w:t>
      </w:r>
      <w:r>
        <w:rPr>
          <w:rFonts w:ascii="Times New Roman" w:hAnsi="Times New Roman" w:eastAsia="楷体_GB2312" w:cs="Times New Roman"/>
          <w:b/>
          <w:bCs/>
          <w:sz w:val="32"/>
          <w:szCs w:val="32"/>
        </w:rPr>
        <w:t>绩效评价结果。</w:t>
      </w:r>
    </w:p>
    <w:p w14:paraId="4DA9C83E">
      <w:pPr>
        <w:keepNext w:val="0"/>
        <w:keepLines w:val="0"/>
        <w:pageBreakBefore w:val="0"/>
        <w:kinsoku/>
        <w:wordWrap/>
        <w:topLinePunct w:val="0"/>
        <w:bidi w:val="0"/>
        <w:snapToGrid/>
        <w:spacing w:line="600" w:lineRule="exact"/>
        <w:ind w:firstLine="640" w:firstLineChars="200"/>
        <w:textAlignment w:val="auto"/>
        <w:rPr>
          <w:rFonts w:hint="default" w:ascii="Times New Roman" w:hAnsi="Times New Roman" w:eastAsia="仿宋_GB2312"/>
          <w:bCs/>
          <w:color w:val="000000"/>
          <w:kern w:val="0"/>
          <w:sz w:val="32"/>
          <w:szCs w:val="32"/>
        </w:rPr>
      </w:pPr>
      <w:r>
        <w:rPr>
          <w:rFonts w:hint="eastAsia" w:ascii="Times New Roman" w:hAnsi="Times New Roman" w:eastAsia="仿宋_GB2312" w:cs="黑体"/>
          <w:color w:val="auto"/>
          <w:kern w:val="0"/>
          <w:sz w:val="32"/>
          <w:szCs w:val="32"/>
          <w:lang w:eastAsia="zh-CN" w:bidi="ar-SA"/>
        </w:rPr>
        <w:t>本部门</w:t>
      </w:r>
      <w:r>
        <w:rPr>
          <w:rFonts w:hint="default" w:ascii="Times New Roman" w:hAnsi="Times New Roman" w:eastAsia="仿宋_GB2312" w:cs="黑体"/>
          <w:color w:val="auto"/>
          <w:kern w:val="0"/>
          <w:sz w:val="32"/>
          <w:szCs w:val="32"/>
          <w:lang w:eastAsia="zh-CN" w:bidi="ar-SA"/>
        </w:rPr>
        <w:t>整体支出绩效评价情况具体见《</w:t>
      </w:r>
      <w:r>
        <w:rPr>
          <w:rFonts w:hint="eastAsia" w:ascii="Times New Roman" w:hAnsi="Times New Roman" w:eastAsia="仿宋_GB2312" w:cs="黑体"/>
          <w:color w:val="auto"/>
          <w:kern w:val="0"/>
          <w:sz w:val="32"/>
          <w:szCs w:val="32"/>
          <w:lang w:val="en-US" w:eastAsia="zh-CN" w:bidi="ar-SA"/>
        </w:rPr>
        <w:t>怀化市农业农村局2025年度部门整体支出绩效评价报告</w:t>
      </w:r>
      <w:r>
        <w:rPr>
          <w:rFonts w:hint="eastAsia" w:ascii="Times New Roman" w:hAnsi="Times New Roman" w:eastAsia="仿宋_GB2312" w:cs="黑体"/>
          <w:color w:val="auto"/>
          <w:kern w:val="0"/>
          <w:sz w:val="32"/>
          <w:szCs w:val="32"/>
          <w:lang w:eastAsia="zh-CN" w:bidi="ar-SA"/>
        </w:rPr>
        <w:t>》（附件</w:t>
      </w:r>
      <w:r>
        <w:rPr>
          <w:rFonts w:hint="default" w:ascii="Times New Roman" w:hAnsi="Times New Roman" w:eastAsia="仿宋_GB2312" w:cs="黑体"/>
          <w:color w:val="auto"/>
          <w:kern w:val="0"/>
          <w:sz w:val="32"/>
          <w:szCs w:val="32"/>
          <w:lang w:eastAsia="zh-CN" w:bidi="ar-SA"/>
        </w:rPr>
        <w:t>2</w:t>
      </w:r>
      <w:r>
        <w:rPr>
          <w:rFonts w:ascii="Times New Roman" w:hAnsi="仿宋_GB2312" w:eastAsia="仿宋_GB2312"/>
          <w:bCs/>
          <w:color w:val="000000"/>
          <w:kern w:val="0"/>
          <w:sz w:val="32"/>
          <w:szCs w:val="32"/>
        </w:rPr>
        <w:t>）。</w:t>
      </w:r>
    </w:p>
    <w:p w14:paraId="375A24DF">
      <w:pPr>
        <w:pStyle w:val="13"/>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p>
    <w:p w14:paraId="24715962">
      <w:pPr>
        <w:keepNext w:val="0"/>
        <w:keepLines w:val="0"/>
        <w:pageBreakBefore w:val="0"/>
        <w:kinsoku/>
        <w:wordWrap/>
        <w:topLinePunct w:val="0"/>
        <w:bidi w:val="0"/>
        <w:snapToGrid/>
        <w:spacing w:line="600" w:lineRule="exact"/>
        <w:ind w:firstLine="640" w:firstLineChars="200"/>
        <w:textAlignment w:val="auto"/>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w:t>
      </w:r>
      <w:r>
        <w:rPr>
          <w:rFonts w:hint="default" w:ascii="Times New Roman" w:hAnsi="Times New Roman" w:eastAsia="仿宋_GB2312" w:cs="黑体"/>
          <w:color w:val="000000"/>
          <w:kern w:val="0"/>
          <w:sz w:val="32"/>
          <w:szCs w:val="32"/>
          <w:lang w:val="en-US"/>
        </w:rPr>
        <w:t>.</w:t>
      </w:r>
      <w:r>
        <w:rPr>
          <w:rFonts w:hint="default" w:ascii="Times New Roman" w:hAnsi="Times New Roman" w:eastAsia="仿宋_GB2312" w:cs="黑体"/>
          <w:color w:val="000000"/>
          <w:kern w:val="0"/>
          <w:sz w:val="32"/>
          <w:szCs w:val="32"/>
        </w:rPr>
        <w:t>全面</w:t>
      </w:r>
      <w:r>
        <w:rPr>
          <w:rFonts w:hint="eastAsia" w:ascii="Times New Roman" w:hAnsi="Times New Roman" w:eastAsia="仿宋_GB2312" w:cs="黑体"/>
          <w:color w:val="000000"/>
          <w:kern w:val="0"/>
          <w:sz w:val="32"/>
          <w:szCs w:val="32"/>
        </w:rPr>
        <w:t>做好部门预算编制工作。因工作需要，市财政年中追加专项业务经费和上级转移支付资金，导致财政拨款收入预决算差异率较大。在编制年初预算的时候，紧密结合工作实际，在“一上”工作过程中，做细做好相关业务工作经费的编报，有效降低预决算差异率。</w:t>
      </w:r>
    </w:p>
    <w:p w14:paraId="46F71BD4">
      <w:pPr>
        <w:keepNext w:val="0"/>
        <w:keepLines w:val="0"/>
        <w:pageBreakBefore w:val="0"/>
        <w:kinsoku/>
        <w:wordWrap/>
        <w:topLinePunct w:val="0"/>
        <w:bidi w:val="0"/>
        <w:snapToGrid/>
        <w:spacing w:line="600" w:lineRule="exact"/>
        <w:ind w:firstLine="640" w:firstLineChars="200"/>
        <w:jc w:val="left"/>
        <w:textAlignment w:val="auto"/>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2</w:t>
      </w:r>
      <w:r>
        <w:rPr>
          <w:rFonts w:hint="default" w:ascii="Times New Roman" w:hAnsi="Times New Roman" w:eastAsia="仿宋_GB2312" w:cs="黑体"/>
          <w:color w:val="000000"/>
          <w:kern w:val="0"/>
          <w:sz w:val="32"/>
          <w:szCs w:val="32"/>
          <w:lang w:val="en-US"/>
        </w:rPr>
        <w:t>.</w:t>
      </w:r>
      <w:r>
        <w:rPr>
          <w:rFonts w:hint="default" w:ascii="Times New Roman" w:hAnsi="Times New Roman" w:eastAsia="仿宋_GB2312" w:cs="黑体"/>
          <w:color w:val="000000"/>
          <w:kern w:val="0"/>
          <w:sz w:val="32"/>
          <w:szCs w:val="32"/>
        </w:rPr>
        <w:t>建立</w:t>
      </w:r>
      <w:r>
        <w:rPr>
          <w:rFonts w:hint="eastAsia" w:ascii="Times New Roman" w:hAnsi="Times New Roman" w:eastAsia="仿宋_GB2312" w:cs="黑体"/>
          <w:color w:val="000000"/>
          <w:kern w:val="0"/>
          <w:sz w:val="32"/>
          <w:szCs w:val="32"/>
        </w:rPr>
        <w:t>健全财务内控制度</w:t>
      </w:r>
      <w:r>
        <w:rPr>
          <w:rFonts w:hint="default" w:ascii="Times New Roman" w:hAnsi="Times New Roman" w:eastAsia="仿宋_GB2312" w:cs="黑体"/>
          <w:color w:val="000000"/>
          <w:kern w:val="0"/>
          <w:sz w:val="32"/>
          <w:szCs w:val="32"/>
        </w:rPr>
        <w:t>。</w:t>
      </w:r>
      <w:r>
        <w:rPr>
          <w:rFonts w:hint="eastAsia" w:ascii="Times New Roman" w:hAnsi="Times New Roman" w:eastAsia="仿宋_GB2312" w:cs="黑体"/>
          <w:color w:val="000000"/>
          <w:kern w:val="0"/>
          <w:sz w:val="32"/>
          <w:szCs w:val="32"/>
        </w:rPr>
        <w:t>根据专项资金绩效评价要求，加强对项目的组织和管理，动态监督项目实施进度和完成质量，加强各部门的沟通，确保项目的顺利进行。</w:t>
      </w:r>
    </w:p>
    <w:p w14:paraId="564DFE19">
      <w:pPr>
        <w:pStyle w:val="13"/>
        <w:jc w:val="center"/>
        <w:rPr>
          <w:rFonts w:ascii="Times New Roman" w:hAnsi="Times New Roman" w:cs="Times New Roman"/>
          <w:sz w:val="72"/>
          <w:szCs w:val="72"/>
        </w:rPr>
      </w:pPr>
    </w:p>
    <w:p w14:paraId="01642D00">
      <w:pPr>
        <w:pStyle w:val="13"/>
        <w:jc w:val="center"/>
        <w:rPr>
          <w:rFonts w:ascii="Times New Roman" w:hAnsi="Times New Roman" w:cs="Times New Roman"/>
          <w:sz w:val="72"/>
          <w:szCs w:val="72"/>
        </w:rPr>
      </w:pPr>
    </w:p>
    <w:p w14:paraId="3B5D2535">
      <w:pPr>
        <w:pStyle w:val="13"/>
        <w:jc w:val="center"/>
        <w:rPr>
          <w:rFonts w:ascii="Times New Roman" w:hAnsi="Times New Roman" w:cs="Times New Roman"/>
          <w:sz w:val="72"/>
          <w:szCs w:val="72"/>
        </w:rPr>
      </w:pPr>
    </w:p>
    <w:p w14:paraId="6ACEE218">
      <w:pPr>
        <w:pStyle w:val="13"/>
        <w:jc w:val="center"/>
        <w:rPr>
          <w:rFonts w:ascii="Times New Roman" w:hAnsi="Times New Roman" w:cs="Times New Roman"/>
          <w:sz w:val="72"/>
          <w:szCs w:val="72"/>
        </w:rPr>
      </w:pPr>
    </w:p>
    <w:p w14:paraId="6EC936CD">
      <w:pPr>
        <w:pStyle w:val="13"/>
        <w:jc w:val="center"/>
        <w:rPr>
          <w:rFonts w:ascii="Times New Roman" w:hAnsi="Times New Roman" w:cs="Times New Roman"/>
          <w:sz w:val="72"/>
          <w:szCs w:val="72"/>
        </w:rPr>
      </w:pPr>
    </w:p>
    <w:p w14:paraId="1CA50BEC">
      <w:pPr>
        <w:pStyle w:val="13"/>
        <w:jc w:val="center"/>
        <w:rPr>
          <w:sz w:val="72"/>
          <w:szCs w:val="72"/>
        </w:rPr>
      </w:pPr>
    </w:p>
    <w:p w14:paraId="4BE9AE2A">
      <w:pPr>
        <w:pStyle w:val="13"/>
        <w:jc w:val="center"/>
        <w:rPr>
          <w:sz w:val="72"/>
          <w:szCs w:val="72"/>
        </w:rPr>
      </w:pPr>
    </w:p>
    <w:p w14:paraId="5A048565">
      <w:pPr>
        <w:pStyle w:val="13"/>
        <w:jc w:val="center"/>
        <w:rPr>
          <w:sz w:val="72"/>
          <w:szCs w:val="72"/>
        </w:rPr>
      </w:pPr>
    </w:p>
    <w:p w14:paraId="3E249E5F">
      <w:pPr>
        <w:pStyle w:val="13"/>
        <w:jc w:val="center"/>
        <w:rPr>
          <w:sz w:val="72"/>
          <w:szCs w:val="72"/>
        </w:rPr>
      </w:pPr>
    </w:p>
    <w:p w14:paraId="594CD88F">
      <w:pPr>
        <w:pStyle w:val="13"/>
        <w:jc w:val="center"/>
        <w:rPr>
          <w:sz w:val="72"/>
          <w:szCs w:val="72"/>
        </w:rPr>
      </w:pPr>
    </w:p>
    <w:p w14:paraId="7A89F9C2">
      <w:pPr>
        <w:pStyle w:val="13"/>
        <w:jc w:val="center"/>
        <w:rPr>
          <w:sz w:val="72"/>
          <w:szCs w:val="72"/>
        </w:rPr>
      </w:pPr>
    </w:p>
    <w:p w14:paraId="06E728AD">
      <w:pPr>
        <w:pStyle w:val="13"/>
        <w:jc w:val="center"/>
        <w:rPr>
          <w:sz w:val="72"/>
          <w:szCs w:val="72"/>
        </w:rPr>
      </w:pPr>
    </w:p>
    <w:p w14:paraId="1FE39904">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3AE76565">
      <w:pPr>
        <w:jc w:val="center"/>
        <w:rPr>
          <w:rFonts w:hint="eastAsia" w:ascii="方正小标宋_GBK" w:hAnsi="方正小标宋_GBK" w:eastAsia="方正小标宋_GBK" w:cs="方正小标宋_GBK"/>
          <w:color w:val="000000"/>
          <w:kern w:val="0"/>
          <w:sz w:val="70"/>
          <w:szCs w:val="70"/>
        </w:rPr>
      </w:pPr>
    </w:p>
    <w:p w14:paraId="2F07AA00">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3228F9E0">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6A57AFD1">
      <w:pPr>
        <w:ind w:firstLine="640" w:firstLineChars="200"/>
        <w:rPr>
          <w:rFonts w:ascii="Times New Roman" w:hAnsi="Times New Roman" w:eastAsia="仿宋_GB2312" w:cs="黑体"/>
          <w:sz w:val="32"/>
          <w:szCs w:val="32"/>
        </w:rPr>
      </w:pPr>
    </w:p>
    <w:p w14:paraId="14ACA8A3">
      <w:pPr>
        <w:ind w:firstLine="640" w:firstLineChars="200"/>
        <w:rPr>
          <w:rFonts w:ascii="Times New Roman" w:hAnsi="Times New Roman" w:eastAsia="仿宋_GB2312" w:cs="黑体"/>
          <w:sz w:val="32"/>
          <w:szCs w:val="32"/>
        </w:rPr>
      </w:pPr>
      <w:r>
        <w:rPr>
          <w:rFonts w:ascii="Times New Roman" w:hAnsi="Times New Roman" w:eastAsia="仿宋_GB2312" w:cs="黑体"/>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2DCCF672">
      <w:pPr>
        <w:pStyle w:val="8"/>
        <w:widowControl/>
        <w:shd w:val="clear" w:color="auto" w:fill="FFFFFF"/>
        <w:spacing w:beforeAutospacing="0" w:afterAutospacing="0" w:line="600" w:lineRule="atLeast"/>
        <w:ind w:firstLine="640"/>
        <w:rPr>
          <w:rFonts w:ascii="Times New Roman" w:hAnsi="Times New Roman" w:eastAsia="仿宋_GB2312" w:cs="黑体"/>
          <w:sz w:val="32"/>
          <w:szCs w:val="32"/>
        </w:rPr>
      </w:pPr>
      <w:r>
        <w:rPr>
          <w:rFonts w:hint="eastAsia" w:ascii="Times New Roman" w:hAnsi="Times New Roman" w:eastAsia="仿宋_GB2312" w:cs="黑体"/>
          <w:sz w:val="32"/>
          <w:szCs w:val="32"/>
        </w:rPr>
        <w:t>二、“三公”经费：纳入财政预算管理的“三公</w:t>
      </w:r>
      <w:r>
        <w:rPr>
          <w:rFonts w:hint="eastAsia" w:ascii="Times New Roman" w:hAnsi="Times New Roman" w:eastAsia="仿宋_GB2312" w:cs="黑体"/>
          <w:sz w:val="32"/>
          <w:szCs w:val="32"/>
          <w:lang w:eastAsia="zh-CN"/>
        </w:rPr>
        <w:t>”</w:t>
      </w:r>
      <w:r>
        <w:rPr>
          <w:rFonts w:hint="eastAsia" w:ascii="Times New Roman" w:hAnsi="Times New Roman" w:eastAsia="仿宋_GB2312" w:cs="黑体"/>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8772ADA">
      <w:pPr>
        <w:pStyle w:val="13"/>
        <w:jc w:val="center"/>
        <w:rPr>
          <w:rFonts w:hint="eastAsia" w:ascii="方正小标宋_GBK" w:hAnsi="方正小标宋_GBK" w:eastAsia="方正小标宋_GBK" w:cs="方正小标宋_GBK"/>
          <w:sz w:val="72"/>
          <w:szCs w:val="72"/>
        </w:rPr>
      </w:pPr>
    </w:p>
    <w:p w14:paraId="112666E7">
      <w:pPr>
        <w:pStyle w:val="13"/>
        <w:jc w:val="center"/>
        <w:rPr>
          <w:rFonts w:hint="eastAsia" w:ascii="方正小标宋_GBK" w:hAnsi="方正小标宋_GBK" w:eastAsia="方正小标宋_GBK" w:cs="方正小标宋_GBK"/>
          <w:sz w:val="72"/>
          <w:szCs w:val="72"/>
        </w:rPr>
      </w:pPr>
    </w:p>
    <w:p w14:paraId="7B1CC102">
      <w:pPr>
        <w:pStyle w:val="13"/>
        <w:jc w:val="center"/>
        <w:rPr>
          <w:rFonts w:hint="eastAsia" w:ascii="方正小标宋_GBK" w:hAnsi="方正小标宋_GBK" w:eastAsia="方正小标宋_GBK" w:cs="方正小标宋_GBK"/>
          <w:sz w:val="72"/>
          <w:szCs w:val="72"/>
        </w:rPr>
      </w:pPr>
    </w:p>
    <w:p w14:paraId="090611C4">
      <w:pPr>
        <w:pStyle w:val="13"/>
        <w:jc w:val="center"/>
        <w:rPr>
          <w:rFonts w:hint="eastAsia" w:ascii="方正小标宋_GBK" w:hAnsi="方正小标宋_GBK" w:eastAsia="方正小标宋_GBK" w:cs="方正小标宋_GBK"/>
          <w:sz w:val="72"/>
          <w:szCs w:val="72"/>
        </w:rPr>
      </w:pPr>
    </w:p>
    <w:p w14:paraId="3BFF88F7">
      <w:pPr>
        <w:pStyle w:val="13"/>
        <w:jc w:val="center"/>
        <w:rPr>
          <w:rFonts w:hint="eastAsia" w:ascii="方正小标宋_GBK" w:hAnsi="方正小标宋_GBK" w:eastAsia="方正小标宋_GBK" w:cs="方正小标宋_GBK"/>
          <w:sz w:val="72"/>
          <w:szCs w:val="72"/>
        </w:rPr>
      </w:pPr>
    </w:p>
    <w:p w14:paraId="54FCD4A9">
      <w:pPr>
        <w:pStyle w:val="13"/>
        <w:jc w:val="center"/>
        <w:rPr>
          <w:rFonts w:hint="eastAsia" w:ascii="方正小标宋_GBK" w:hAnsi="方正小标宋_GBK" w:eastAsia="方正小标宋_GBK" w:cs="方正小标宋_GBK"/>
          <w:sz w:val="72"/>
          <w:szCs w:val="72"/>
        </w:rPr>
      </w:pPr>
    </w:p>
    <w:p w14:paraId="51E53590">
      <w:pPr>
        <w:pStyle w:val="13"/>
        <w:jc w:val="center"/>
        <w:rPr>
          <w:rFonts w:hint="eastAsia" w:ascii="方正小标宋_GBK" w:hAnsi="方正小标宋_GBK" w:eastAsia="方正小标宋_GBK" w:cs="方正小标宋_GBK"/>
          <w:sz w:val="72"/>
          <w:szCs w:val="72"/>
        </w:rPr>
      </w:pPr>
    </w:p>
    <w:p w14:paraId="787AC3AB">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4638DA89">
      <w:pPr>
        <w:pStyle w:val="13"/>
        <w:jc w:val="center"/>
        <w:rPr>
          <w:rFonts w:hint="eastAsia" w:ascii="方正小标宋_GBK" w:hAnsi="方正小标宋_GBK" w:eastAsia="方正小标宋_GBK" w:cs="方正小标宋_GBK"/>
          <w:sz w:val="70"/>
          <w:szCs w:val="70"/>
        </w:rPr>
      </w:pPr>
    </w:p>
    <w:p w14:paraId="77B5B6E9">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2A06AFFD">
      <w:pPr>
        <w:rPr>
          <w:sz w:val="72"/>
          <w:szCs w:val="72"/>
        </w:rPr>
      </w:pPr>
      <w:r>
        <w:rPr>
          <w:sz w:val="72"/>
          <w:szCs w:val="72"/>
        </w:rPr>
        <w:br w:type="page"/>
      </w:r>
    </w:p>
    <w:p w14:paraId="2250EB0F">
      <w:pPr>
        <w:ind w:firstLine="640" w:firstLineChars="200"/>
        <w:rPr>
          <w:rFonts w:ascii="Times New Roman" w:hAnsi="Times New Roman" w:eastAsia="仿宋_GB2312"/>
          <w:bCs/>
          <w:color w:val="000000"/>
          <w:kern w:val="0"/>
          <w:sz w:val="32"/>
          <w:szCs w:val="32"/>
        </w:rPr>
      </w:pPr>
    </w:p>
    <w:p w14:paraId="58BB9CB5">
      <w:pPr>
        <w:ind w:firstLine="640" w:firstLineChars="200"/>
        <w:rPr>
          <w:rFonts w:ascii="Times New Roman" w:hAnsi="Times New Roman" w:eastAsia="仿宋_GB2312"/>
          <w:bCs/>
          <w:color w:val="000000"/>
          <w:kern w:val="0"/>
          <w:sz w:val="32"/>
          <w:szCs w:val="32"/>
        </w:rPr>
      </w:pPr>
      <w:r>
        <w:rPr>
          <w:rFonts w:ascii="Times New Roman" w:hAnsi="Times New Roman" w:eastAsia="仿宋_GB2312"/>
          <w:bCs/>
          <w:color w:val="000000"/>
          <w:kern w:val="0"/>
          <w:sz w:val="32"/>
          <w:szCs w:val="32"/>
        </w:rPr>
        <w:t>1</w:t>
      </w:r>
      <w:r>
        <w:rPr>
          <w:rFonts w:hint="default" w:ascii="Times New Roman" w:hAnsi="Times New Roman" w:eastAsia="仿宋_GB2312"/>
          <w:bCs/>
          <w:color w:val="000000"/>
          <w:kern w:val="0"/>
          <w:sz w:val="32"/>
          <w:szCs w:val="32"/>
          <w:lang w:val="en-US"/>
        </w:rPr>
        <w:t>.</w:t>
      </w:r>
      <w:r>
        <w:rPr>
          <w:rFonts w:ascii="Times New Roman" w:hAnsi="仿宋_GB2312" w:eastAsia="仿宋_GB2312"/>
          <w:bCs/>
          <w:color w:val="000000"/>
          <w:kern w:val="0"/>
          <w:sz w:val="32"/>
          <w:szCs w:val="32"/>
        </w:rPr>
        <w:t>怀化市</w:t>
      </w:r>
      <w:r>
        <w:rPr>
          <w:rFonts w:hint="eastAsia" w:ascii="Times New Roman" w:hAnsi="仿宋_GB2312" w:eastAsia="仿宋_GB2312"/>
          <w:bCs/>
          <w:color w:val="000000"/>
          <w:kern w:val="0"/>
          <w:sz w:val="32"/>
          <w:szCs w:val="32"/>
        </w:rPr>
        <w:t>农业农村局</w:t>
      </w:r>
      <w:r>
        <w:rPr>
          <w:rFonts w:ascii="Times New Roman" w:hAnsi="Times New Roman" w:eastAsia="仿宋_GB2312"/>
          <w:bCs/>
          <w:color w:val="000000"/>
          <w:kern w:val="0"/>
          <w:sz w:val="32"/>
          <w:szCs w:val="32"/>
        </w:rPr>
        <w:t>202</w:t>
      </w:r>
      <w:r>
        <w:rPr>
          <w:rFonts w:hint="default" w:ascii="Times New Roman" w:hAnsi="Times New Roman" w:eastAsia="仿宋_GB2312"/>
          <w:bCs/>
          <w:color w:val="000000"/>
          <w:kern w:val="0"/>
          <w:sz w:val="32"/>
          <w:szCs w:val="32"/>
          <w:lang w:val="en-US" w:eastAsia="zh-CN"/>
        </w:rPr>
        <w:t>5</w:t>
      </w:r>
      <w:r>
        <w:rPr>
          <w:rFonts w:ascii="Times New Roman" w:hAnsi="仿宋_GB2312" w:eastAsia="仿宋_GB2312"/>
          <w:bCs/>
          <w:color w:val="000000"/>
          <w:kern w:val="0"/>
          <w:sz w:val="32"/>
          <w:szCs w:val="32"/>
        </w:rPr>
        <w:t>年度部门决算公开表格；</w:t>
      </w:r>
    </w:p>
    <w:p w14:paraId="38A36325">
      <w:pPr>
        <w:spacing w:line="600" w:lineRule="exact"/>
        <w:ind w:firstLine="640" w:firstLineChars="200"/>
        <w:rPr>
          <w:rFonts w:ascii="Times New Roman" w:hAnsi="Times New Roman" w:eastAsia="仿宋_GB2312"/>
          <w:bCs/>
          <w:color w:val="000000"/>
          <w:kern w:val="0"/>
          <w:sz w:val="32"/>
          <w:szCs w:val="32"/>
        </w:rPr>
      </w:pPr>
      <w:r>
        <w:rPr>
          <w:rFonts w:ascii="Times New Roman" w:hAnsi="Times New Roman" w:eastAsia="仿宋_GB2312"/>
          <w:bCs/>
          <w:color w:val="000000"/>
          <w:kern w:val="0"/>
          <w:sz w:val="32"/>
          <w:szCs w:val="32"/>
        </w:rPr>
        <w:t>2</w:t>
      </w:r>
      <w:r>
        <w:rPr>
          <w:rFonts w:hint="default" w:ascii="Times New Roman" w:hAnsi="Times New Roman" w:eastAsia="仿宋_GB2312"/>
          <w:bCs/>
          <w:color w:val="000000"/>
          <w:kern w:val="0"/>
          <w:sz w:val="32"/>
          <w:szCs w:val="32"/>
          <w:lang w:val="en-US"/>
        </w:rPr>
        <w:t>.</w:t>
      </w:r>
      <w:r>
        <w:rPr>
          <w:rFonts w:ascii="Times New Roman" w:hAnsi="仿宋_GB2312" w:eastAsia="仿宋_GB2312"/>
          <w:bCs/>
          <w:color w:val="000000"/>
          <w:kern w:val="0"/>
          <w:sz w:val="32"/>
          <w:szCs w:val="32"/>
        </w:rPr>
        <w:t>怀化市</w:t>
      </w:r>
      <w:r>
        <w:rPr>
          <w:rFonts w:hint="eastAsia" w:ascii="Times New Roman" w:hAnsi="仿宋_GB2312" w:eastAsia="仿宋_GB2312"/>
          <w:bCs/>
          <w:color w:val="000000"/>
          <w:kern w:val="0"/>
          <w:sz w:val="32"/>
          <w:szCs w:val="32"/>
        </w:rPr>
        <w:t>农业农村局</w:t>
      </w:r>
      <w:r>
        <w:rPr>
          <w:rFonts w:ascii="Times New Roman" w:hAnsi="Times New Roman" w:eastAsia="仿宋_GB2312"/>
          <w:bCs/>
          <w:color w:val="000000"/>
          <w:kern w:val="0"/>
          <w:sz w:val="32"/>
          <w:szCs w:val="32"/>
        </w:rPr>
        <w:t>202</w:t>
      </w:r>
      <w:r>
        <w:rPr>
          <w:rFonts w:hint="default" w:ascii="Times New Roman" w:hAnsi="Times New Roman" w:eastAsia="仿宋_GB2312"/>
          <w:bCs/>
          <w:color w:val="000000"/>
          <w:kern w:val="0"/>
          <w:sz w:val="32"/>
          <w:szCs w:val="32"/>
          <w:lang w:val="en-US" w:eastAsia="zh-CN"/>
        </w:rPr>
        <w:t>5</w:t>
      </w:r>
      <w:r>
        <w:rPr>
          <w:rFonts w:ascii="Times New Roman" w:hAnsi="仿宋_GB2312" w:eastAsia="仿宋_GB2312"/>
          <w:bCs/>
          <w:color w:val="000000"/>
          <w:kern w:val="0"/>
          <w:sz w:val="32"/>
          <w:szCs w:val="32"/>
        </w:rPr>
        <w:t>年度</w:t>
      </w:r>
      <w:r>
        <w:rPr>
          <w:rFonts w:hint="eastAsia" w:ascii="Times New Roman" w:hAnsi="仿宋_GB2312" w:eastAsia="仿宋_GB2312"/>
          <w:bCs/>
          <w:color w:val="000000"/>
          <w:kern w:val="0"/>
          <w:sz w:val="32"/>
          <w:szCs w:val="32"/>
          <w:lang w:eastAsia="zh-CN"/>
        </w:rPr>
        <w:t>部门</w:t>
      </w:r>
      <w:r>
        <w:rPr>
          <w:rFonts w:ascii="Times New Roman" w:hAnsi="仿宋_GB2312" w:eastAsia="仿宋_GB2312"/>
          <w:bCs/>
          <w:color w:val="000000"/>
          <w:kern w:val="0"/>
          <w:sz w:val="32"/>
          <w:szCs w:val="32"/>
        </w:rPr>
        <w:t>整体支出绩效评价报告</w:t>
      </w:r>
    </w:p>
    <w:p w14:paraId="4047F38E">
      <w:pPr>
        <w:spacing w:line="600" w:lineRule="exact"/>
        <w:ind w:firstLine="640" w:firstLineChars="200"/>
        <w:jc w:val="left"/>
        <w:rPr>
          <w:rFonts w:ascii="Times New Roman" w:hAnsi="Times New Roman"/>
          <w:color w:val="000000"/>
          <w:kern w:val="0"/>
          <w:sz w:val="32"/>
          <w:szCs w:val="32"/>
        </w:rPr>
      </w:pPr>
    </w:p>
    <w:p w14:paraId="7107E0FB">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14:paraId="1943BA30">
      <w:pPr>
        <w:pStyle w:val="13"/>
        <w:jc w:val="center"/>
        <w:rPr>
          <w:sz w:val="72"/>
          <w:szCs w:val="72"/>
        </w:rPr>
      </w:pPr>
    </w:p>
    <w:p w14:paraId="2BBB8129">
      <w:pPr>
        <w:pStyle w:val="13"/>
        <w:jc w:val="center"/>
        <w:rPr>
          <w:sz w:val="72"/>
          <w:szCs w:val="72"/>
        </w:rPr>
      </w:pPr>
    </w:p>
    <w:p w14:paraId="1A3F5FC2">
      <w:pPr>
        <w:jc w:val="left"/>
        <w:rPr>
          <w:rFonts w:ascii="Times New Roman" w:hAnsi="Times New Roman" w:cs="Times New Roman"/>
          <w:color w:val="000000"/>
          <w:kern w:val="0"/>
          <w:sz w:val="32"/>
          <w:szCs w:val="32"/>
        </w:rPr>
      </w:pPr>
    </w:p>
    <w:sectPr>
      <w:footerReference r:id="rId6"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roma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7D11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4B778">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07FC6">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80CDC">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39FEC">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8039FEC">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1FDF485C"/>
    <w:rsid w:val="2B716407"/>
    <w:rsid w:val="2FDF85B8"/>
    <w:rsid w:val="2FFFEE04"/>
    <w:rsid w:val="32CDF08E"/>
    <w:rsid w:val="34DF85B0"/>
    <w:rsid w:val="3B8F36BC"/>
    <w:rsid w:val="3DBA6522"/>
    <w:rsid w:val="3EFF0312"/>
    <w:rsid w:val="491FF225"/>
    <w:rsid w:val="4FFD214C"/>
    <w:rsid w:val="5777D4F5"/>
    <w:rsid w:val="59DD8326"/>
    <w:rsid w:val="5DEF592A"/>
    <w:rsid w:val="5EED43FB"/>
    <w:rsid w:val="5FC6BB1E"/>
    <w:rsid w:val="5FF720F1"/>
    <w:rsid w:val="6265BA5B"/>
    <w:rsid w:val="67FF5C0B"/>
    <w:rsid w:val="6AFE28DF"/>
    <w:rsid w:val="6AFF8906"/>
    <w:rsid w:val="6EC33E89"/>
    <w:rsid w:val="6EFC0924"/>
    <w:rsid w:val="6FB74722"/>
    <w:rsid w:val="6FEF8B7E"/>
    <w:rsid w:val="6FFBDCB6"/>
    <w:rsid w:val="71A6591B"/>
    <w:rsid w:val="737D59BA"/>
    <w:rsid w:val="74EEC97D"/>
    <w:rsid w:val="77C37683"/>
    <w:rsid w:val="79D19834"/>
    <w:rsid w:val="79EDC149"/>
    <w:rsid w:val="79FF515B"/>
    <w:rsid w:val="79FFA67B"/>
    <w:rsid w:val="7B77675F"/>
    <w:rsid w:val="7BF549BF"/>
    <w:rsid w:val="7BFF7A5D"/>
    <w:rsid w:val="7E9E1962"/>
    <w:rsid w:val="7E9F11B4"/>
    <w:rsid w:val="7EEB68EB"/>
    <w:rsid w:val="7F37EC1E"/>
    <w:rsid w:val="7F7DCD9D"/>
    <w:rsid w:val="7F970A6F"/>
    <w:rsid w:val="7FC1FFF3"/>
    <w:rsid w:val="7FC69637"/>
    <w:rsid w:val="7FDF8620"/>
    <w:rsid w:val="7FE8C8F7"/>
    <w:rsid w:val="7FEFF436"/>
    <w:rsid w:val="7FF91219"/>
    <w:rsid w:val="7FFB242F"/>
    <w:rsid w:val="7FFDB408"/>
    <w:rsid w:val="7FFE4EEB"/>
    <w:rsid w:val="95FB2B98"/>
    <w:rsid w:val="9A639BC2"/>
    <w:rsid w:val="9BFA491D"/>
    <w:rsid w:val="9FF7D786"/>
    <w:rsid w:val="ABBFB23D"/>
    <w:rsid w:val="B6AFFE39"/>
    <w:rsid w:val="B9BFEDCE"/>
    <w:rsid w:val="BF39E6A7"/>
    <w:rsid w:val="C3B4DA5A"/>
    <w:rsid w:val="CBFF70E0"/>
    <w:rsid w:val="CBFFA086"/>
    <w:rsid w:val="CFF50B82"/>
    <w:rsid w:val="CFFFAD89"/>
    <w:rsid w:val="D3FEE71F"/>
    <w:rsid w:val="D5A396D7"/>
    <w:rsid w:val="DFFE359E"/>
    <w:rsid w:val="DFFE4FFD"/>
    <w:rsid w:val="EEABED75"/>
    <w:rsid w:val="F2DAC523"/>
    <w:rsid w:val="F56FDF51"/>
    <w:rsid w:val="F6B69F17"/>
    <w:rsid w:val="F73BC7B6"/>
    <w:rsid w:val="F77F1D61"/>
    <w:rsid w:val="F7FED3A9"/>
    <w:rsid w:val="F8C9DB26"/>
    <w:rsid w:val="F97E8EAE"/>
    <w:rsid w:val="FB36E1A6"/>
    <w:rsid w:val="FB3BE134"/>
    <w:rsid w:val="FB942F2E"/>
    <w:rsid w:val="FBF762FB"/>
    <w:rsid w:val="FCFF4275"/>
    <w:rsid w:val="FD52F64C"/>
    <w:rsid w:val="FD7FEEEA"/>
    <w:rsid w:val="FDFFB577"/>
    <w:rsid w:val="FEEA50FE"/>
    <w:rsid w:val="FEED983A"/>
    <w:rsid w:val="FF6FAB67"/>
    <w:rsid w:val="FF7A6901"/>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kern w:val="0"/>
      <w:sz w:val="24"/>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1463</Words>
  <Characters>8342</Characters>
  <Lines>69</Lines>
  <Paragraphs>19</Paragraphs>
  <TotalTime>2</TotalTime>
  <ScaleCrop>false</ScaleCrop>
  <LinksUpToDate>false</LinksUpToDate>
  <CharactersWithSpaces>9786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2025-08-21T02:17:00Z</dcterms:created>
  <dc:creator>李航 null</dc:creator>
  <cp:lastModifiedBy>A梦</cp:lastModifiedBy>
  <cp:lastPrinted>2024-08-11T10:20:00Z</cp:lastPrinted>
  <dcterms:modified xsi:type="dcterms:W3CDTF">2026-10-12T10:41:48Z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