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BF4F1">
      <w:pPr>
        <w:pStyle w:val="18"/>
        <w:jc w:val="both"/>
        <w:rPr>
          <w:rFonts w:hAnsi="黑体"/>
          <w:color w:val="auto"/>
          <w:sz w:val="36"/>
          <w:szCs w:val="36"/>
        </w:rPr>
      </w:pPr>
      <w:r>
        <w:rPr>
          <w:rFonts w:hint="eastAsia" w:hAnsi="黑体"/>
          <w:color w:val="auto"/>
          <w:sz w:val="36"/>
          <w:szCs w:val="36"/>
        </w:rPr>
        <w:t>附件1</w:t>
      </w:r>
    </w:p>
    <w:p w14:paraId="1108C63D">
      <w:pPr>
        <w:pStyle w:val="18"/>
        <w:jc w:val="center"/>
        <w:rPr>
          <w:rFonts w:ascii="Times New Roman" w:hAnsi="Times New Roman" w:cs="Times New Roman"/>
          <w:color w:val="auto"/>
          <w:sz w:val="56"/>
          <w:szCs w:val="56"/>
        </w:rPr>
      </w:pPr>
    </w:p>
    <w:p w14:paraId="27CD4915">
      <w:pPr>
        <w:pStyle w:val="18"/>
        <w:jc w:val="center"/>
        <w:rPr>
          <w:rFonts w:ascii="Times New Roman" w:hAnsi="Times New Roman" w:cs="Times New Roman"/>
          <w:color w:val="auto"/>
          <w:sz w:val="84"/>
          <w:szCs w:val="84"/>
        </w:rPr>
      </w:pPr>
    </w:p>
    <w:p w14:paraId="0E8C93C0">
      <w:pPr>
        <w:pStyle w:val="18"/>
        <w:jc w:val="center"/>
        <w:rPr>
          <w:rFonts w:ascii="Times New Roman" w:hAnsi="Times New Roman" w:cs="Times New Roman"/>
          <w:color w:val="auto"/>
          <w:sz w:val="84"/>
          <w:szCs w:val="84"/>
        </w:rPr>
      </w:pPr>
    </w:p>
    <w:p w14:paraId="12D250F4">
      <w:pPr>
        <w:pStyle w:val="18"/>
        <w:jc w:val="center"/>
        <w:rPr>
          <w:rFonts w:ascii="Times New Roman" w:hAnsi="Times New Roman" w:eastAsia="方正小标宋简体" w:cs="Times New Roman"/>
          <w:color w:val="auto"/>
          <w:sz w:val="72"/>
          <w:szCs w:val="72"/>
        </w:rPr>
      </w:pPr>
      <w:r>
        <w:rPr>
          <w:rFonts w:ascii="Times New Roman" w:hAnsi="Times New Roman" w:eastAsia="方正小标宋简体" w:cs="Times New Roman"/>
          <w:color w:val="auto"/>
          <w:sz w:val="72"/>
          <w:szCs w:val="72"/>
        </w:rPr>
        <w:t>202</w:t>
      </w:r>
      <w:r>
        <w:rPr>
          <w:rFonts w:hint="eastAsia" w:ascii="Times New Roman" w:hAnsi="Times New Roman" w:eastAsia="方正小标宋简体" w:cs="Times New Roman"/>
          <w:color w:val="auto"/>
          <w:sz w:val="72"/>
          <w:szCs w:val="72"/>
          <w:lang w:val="en-US" w:eastAsia="zh-CN"/>
        </w:rPr>
        <w:t>5</w:t>
      </w:r>
      <w:r>
        <w:rPr>
          <w:rFonts w:ascii="Times New Roman" w:hAnsi="Times New Roman" w:eastAsia="方正小标宋简体" w:cs="Times New Roman"/>
          <w:color w:val="auto"/>
          <w:sz w:val="72"/>
          <w:szCs w:val="72"/>
        </w:rPr>
        <w:t>年度</w:t>
      </w:r>
    </w:p>
    <w:p w14:paraId="3300876D">
      <w:pPr>
        <w:pStyle w:val="18"/>
        <w:jc w:val="center"/>
        <w:rPr>
          <w:rFonts w:hint="eastAsia" w:ascii="Times New Roman" w:hAnsi="Times New Roman" w:eastAsia="方正小标宋简体" w:cs="Times New Roman"/>
          <w:color w:val="auto"/>
          <w:sz w:val="72"/>
          <w:szCs w:val="72"/>
          <w:lang w:eastAsia="zh-CN"/>
        </w:rPr>
      </w:pPr>
      <w:r>
        <w:rPr>
          <w:rFonts w:hint="eastAsia" w:ascii="Times New Roman" w:hAnsi="Times New Roman" w:eastAsia="方正小标宋简体" w:cs="Times New Roman"/>
          <w:color w:val="auto"/>
          <w:sz w:val="72"/>
          <w:szCs w:val="72"/>
          <w:lang w:eastAsia="zh-CN"/>
        </w:rPr>
        <w:t>怀化市农业科技教育促进</w:t>
      </w:r>
    </w:p>
    <w:p w14:paraId="76272EA1">
      <w:pPr>
        <w:pStyle w:val="18"/>
        <w:jc w:val="center"/>
        <w:rPr>
          <w:rFonts w:ascii="Times New Roman" w:hAnsi="Times New Roman" w:eastAsia="方正小标宋简体" w:cs="Times New Roman"/>
          <w:color w:val="auto"/>
          <w:sz w:val="72"/>
          <w:szCs w:val="72"/>
        </w:rPr>
      </w:pPr>
      <w:r>
        <w:rPr>
          <w:rFonts w:hint="eastAsia" w:ascii="Times New Roman" w:hAnsi="Times New Roman" w:eastAsia="方正小标宋简体" w:cs="Times New Roman"/>
          <w:color w:val="auto"/>
          <w:sz w:val="72"/>
          <w:szCs w:val="72"/>
          <w:lang w:eastAsia="zh-CN"/>
        </w:rPr>
        <w:t>中心</w:t>
      </w:r>
      <w:r>
        <w:rPr>
          <w:rFonts w:ascii="Times New Roman" w:hAnsi="Times New Roman" w:eastAsia="方正小标宋简体" w:cs="Times New Roman"/>
          <w:color w:val="auto"/>
          <w:sz w:val="72"/>
          <w:szCs w:val="72"/>
        </w:rPr>
        <w:t>部门决算</w:t>
      </w:r>
    </w:p>
    <w:p w14:paraId="1B2AF5ED">
      <w:pPr>
        <w:pStyle w:val="18"/>
        <w:jc w:val="center"/>
        <w:rPr>
          <w:rFonts w:ascii="Times New Roman" w:hAnsi="Times New Roman" w:eastAsia="方正小标宋_GBK" w:cs="Times New Roman"/>
          <w:color w:val="auto"/>
          <w:sz w:val="56"/>
          <w:szCs w:val="56"/>
        </w:rPr>
      </w:pPr>
    </w:p>
    <w:p w14:paraId="0AC3B34A">
      <w:pPr>
        <w:pStyle w:val="18"/>
        <w:jc w:val="center"/>
        <w:rPr>
          <w:rFonts w:ascii="Times New Roman" w:hAnsi="Times New Roman" w:cs="Times New Roman"/>
          <w:color w:val="auto"/>
          <w:sz w:val="56"/>
          <w:szCs w:val="56"/>
        </w:rPr>
      </w:pPr>
    </w:p>
    <w:p w14:paraId="2201A719">
      <w:pPr>
        <w:pStyle w:val="18"/>
        <w:rPr>
          <w:rFonts w:ascii="Times New Roman" w:hAnsi="Times New Roman" w:cs="Times New Roman"/>
          <w:color w:val="auto"/>
          <w:sz w:val="56"/>
          <w:szCs w:val="56"/>
        </w:rPr>
      </w:pPr>
    </w:p>
    <w:p w14:paraId="3AB63634">
      <w:pPr>
        <w:pStyle w:val="18"/>
        <w:jc w:val="center"/>
        <w:rPr>
          <w:rFonts w:ascii="Times New Roman" w:hAnsi="Times New Roman" w:cs="Times New Roman"/>
          <w:color w:val="auto"/>
          <w:sz w:val="32"/>
          <w:szCs w:val="32"/>
        </w:rPr>
      </w:pPr>
    </w:p>
    <w:p w14:paraId="42D7B51B">
      <w:pPr>
        <w:pStyle w:val="18"/>
        <w:jc w:val="center"/>
        <w:rPr>
          <w:rFonts w:ascii="Times New Roman" w:hAnsi="Times New Roman" w:cs="Times New Roman"/>
          <w:color w:val="auto"/>
          <w:sz w:val="32"/>
          <w:szCs w:val="32"/>
        </w:rPr>
      </w:pPr>
    </w:p>
    <w:p w14:paraId="11B0BD2C">
      <w:pPr>
        <w:pStyle w:val="18"/>
        <w:jc w:val="center"/>
        <w:rPr>
          <w:rFonts w:ascii="Times New Roman" w:hAnsi="Times New Roman" w:cs="Times New Roman"/>
          <w:color w:val="auto"/>
          <w:sz w:val="32"/>
          <w:szCs w:val="32"/>
        </w:rPr>
      </w:pPr>
    </w:p>
    <w:p w14:paraId="003E9AAA">
      <w:pPr>
        <w:pStyle w:val="18"/>
        <w:jc w:val="center"/>
        <w:rPr>
          <w:rFonts w:ascii="Times New Roman" w:hAnsi="Times New Roman" w:cs="Times New Roman"/>
          <w:color w:val="auto"/>
          <w:sz w:val="32"/>
          <w:szCs w:val="32"/>
        </w:rPr>
      </w:pPr>
    </w:p>
    <w:p w14:paraId="105B2F56">
      <w:pPr>
        <w:pStyle w:val="18"/>
        <w:jc w:val="center"/>
        <w:rPr>
          <w:rFonts w:ascii="Times New Roman" w:hAnsi="Times New Roman" w:cs="Times New Roman"/>
          <w:color w:val="auto"/>
          <w:sz w:val="32"/>
          <w:szCs w:val="32"/>
        </w:rPr>
      </w:pPr>
    </w:p>
    <w:p w14:paraId="2ECF4ABE">
      <w:pPr>
        <w:pStyle w:val="18"/>
        <w:spacing w:line="600" w:lineRule="exact"/>
        <w:jc w:val="both"/>
        <w:rPr>
          <w:rFonts w:ascii="Times New Roman" w:hAnsi="Times New Roman" w:cs="Times New Roman"/>
          <w:b/>
          <w:color w:val="auto"/>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4D2B897">
      <w:pPr>
        <w:pStyle w:val="18"/>
        <w:spacing w:line="600" w:lineRule="exact"/>
        <w:jc w:val="center"/>
        <w:rPr>
          <w:rFonts w:ascii="Times New Roman" w:hAnsi="Times New Roman" w:cs="Times New Roman"/>
          <w:bCs/>
          <w:color w:val="auto"/>
          <w:sz w:val="36"/>
          <w:szCs w:val="28"/>
        </w:rPr>
      </w:pPr>
      <w:r>
        <w:rPr>
          <w:rFonts w:ascii="Times New Roman" w:hAnsi="Times New Roman" w:cs="Times New Roman"/>
          <w:bCs/>
          <w:color w:val="auto"/>
          <w:sz w:val="36"/>
          <w:szCs w:val="28"/>
        </w:rPr>
        <w:t>目  录</w:t>
      </w:r>
    </w:p>
    <w:p w14:paraId="3B194350">
      <w:pPr>
        <w:pStyle w:val="18"/>
        <w:spacing w:line="600" w:lineRule="exact"/>
        <w:jc w:val="center"/>
        <w:rPr>
          <w:rFonts w:ascii="Times New Roman" w:hAnsi="Times New Roman" w:cs="Times New Roman"/>
          <w:b/>
          <w:color w:val="auto"/>
          <w:sz w:val="36"/>
          <w:szCs w:val="28"/>
        </w:rPr>
      </w:pPr>
    </w:p>
    <w:p w14:paraId="1DC7094C">
      <w:pPr>
        <w:pStyle w:val="18"/>
        <w:spacing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 xml:space="preserve">第一部分 </w:t>
      </w:r>
      <w:r>
        <w:rPr>
          <w:rFonts w:hint="eastAsia" w:ascii="Times New Roman" w:hAnsi="Times New Roman" w:cs="Times New Roman"/>
          <w:bCs/>
          <w:color w:val="auto"/>
          <w:sz w:val="32"/>
          <w:szCs w:val="32"/>
          <w:lang w:eastAsia="zh-CN"/>
        </w:rPr>
        <w:t>怀化市农业科技教育促进中心</w:t>
      </w:r>
      <w:r>
        <w:rPr>
          <w:rFonts w:ascii="Times New Roman" w:hAnsi="Times New Roman" w:cs="Times New Roman"/>
          <w:bCs/>
          <w:color w:val="auto"/>
          <w:sz w:val="32"/>
          <w:szCs w:val="32"/>
        </w:rPr>
        <w:t>概况</w:t>
      </w:r>
    </w:p>
    <w:p w14:paraId="219E1CA8">
      <w:pPr>
        <w:pStyle w:val="18"/>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一、部门职责</w:t>
      </w:r>
    </w:p>
    <w:p w14:paraId="57AF1B73">
      <w:pPr>
        <w:pStyle w:val="18"/>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二、机构设置及决算单位构成</w:t>
      </w:r>
    </w:p>
    <w:p w14:paraId="6A058FBD">
      <w:pPr>
        <w:pStyle w:val="18"/>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第二部分 部门决算表</w:t>
      </w:r>
    </w:p>
    <w:p w14:paraId="425347C9">
      <w:pPr>
        <w:pStyle w:val="18"/>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一、收入支出决算总表</w:t>
      </w:r>
    </w:p>
    <w:p w14:paraId="6483945D">
      <w:pPr>
        <w:pStyle w:val="18"/>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二、收入决算表</w:t>
      </w:r>
    </w:p>
    <w:p w14:paraId="558F899E">
      <w:pPr>
        <w:pStyle w:val="18"/>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三、支出决算表</w:t>
      </w:r>
    </w:p>
    <w:p w14:paraId="771D11F2">
      <w:pPr>
        <w:pStyle w:val="18"/>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四、财政拨款收入支出决算总表</w:t>
      </w:r>
    </w:p>
    <w:p w14:paraId="28133EBD">
      <w:pPr>
        <w:pStyle w:val="18"/>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五、一般公共预算财政拨款支出决算表</w:t>
      </w:r>
    </w:p>
    <w:p w14:paraId="4AAB629C">
      <w:pPr>
        <w:pStyle w:val="18"/>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六、一般公共预算财政拨款基本支出决算明细表</w:t>
      </w:r>
    </w:p>
    <w:p w14:paraId="01DF95EB">
      <w:pPr>
        <w:pStyle w:val="18"/>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七、政府性基金预算财政拨款收入支出决算表</w:t>
      </w:r>
    </w:p>
    <w:p w14:paraId="4DA7295C">
      <w:pPr>
        <w:pStyle w:val="18"/>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八、国有资本经营预算财政拨款支出决算表</w:t>
      </w:r>
    </w:p>
    <w:p w14:paraId="6FFCCB29">
      <w:pPr>
        <w:pStyle w:val="18"/>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九、财政拨款“三公”经费支出决算表</w:t>
      </w:r>
    </w:p>
    <w:p w14:paraId="2EEB1C6A">
      <w:pPr>
        <w:pStyle w:val="18"/>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第三部分 部门决算情况说明</w:t>
      </w:r>
    </w:p>
    <w:p w14:paraId="44DD2F07">
      <w:pPr>
        <w:pStyle w:val="18"/>
        <w:spacing w:line="600" w:lineRule="exact"/>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一、收入支出决算总体情况说明</w:t>
      </w:r>
      <w:r>
        <w:rPr>
          <w:rFonts w:hint="eastAsia" w:ascii="Times New Roman" w:hAnsi="Times New Roman" w:eastAsia="仿宋_GB2312" w:cs="Times New Roman"/>
          <w:color w:val="auto"/>
          <w:sz w:val="32"/>
          <w:szCs w:val="32"/>
          <w:lang w:eastAsia="zh-CN"/>
        </w:rPr>
        <w:t>XX部门（单位</w:t>
      </w:r>
    </w:p>
    <w:p w14:paraId="32828163">
      <w:pPr>
        <w:spacing w:line="600" w:lineRule="exact"/>
        <w:jc w:val="lef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二、收入决算情况说明</w:t>
      </w:r>
    </w:p>
    <w:p w14:paraId="0CE309D0">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三、支出决算情况说明</w:t>
      </w:r>
    </w:p>
    <w:p w14:paraId="4405535A">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四、财政拨款收入支出决算总体情况说明</w:t>
      </w:r>
    </w:p>
    <w:p w14:paraId="4702BED2">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五、一般公共预算财政拨款支出决算情况说明</w:t>
      </w:r>
    </w:p>
    <w:p w14:paraId="42354979">
      <w:pPr>
        <w:autoSpaceDE w:val="0"/>
        <w:autoSpaceDN w:val="0"/>
        <w:adjustRightInd w:val="0"/>
        <w:spacing w:line="600" w:lineRule="exact"/>
        <w:jc w:val="left"/>
        <w:rPr>
          <w:rFonts w:ascii="Times New Roman" w:hAnsi="Times New Roman" w:eastAsia="仿宋_GB2312" w:cs="Times New Roman"/>
          <w:color w:val="auto"/>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2A77F36">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六、一般公共预算财政拨款基本支出决算情况说明</w:t>
      </w:r>
    </w:p>
    <w:p w14:paraId="7F8D2980">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七、财政拨款“三公”经费支出决算情况说明</w:t>
      </w:r>
    </w:p>
    <w:p w14:paraId="6B244479">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八、政府性基金预算收入支出决算情况</w:t>
      </w:r>
    </w:p>
    <w:p w14:paraId="1B529198">
      <w:pPr>
        <w:autoSpaceDE w:val="0"/>
        <w:autoSpaceDN w:val="0"/>
        <w:adjustRightInd w:val="0"/>
        <w:spacing w:line="600" w:lineRule="exact"/>
        <w:jc w:val="left"/>
        <w:rPr>
          <w:rFonts w:hint="eastAsia" w:ascii="Times New Roman" w:hAnsi="Times New Roman" w:eastAsia="仿宋_GB2312" w:cs="Times New Roman"/>
          <w:color w:val="auto"/>
          <w:kern w:val="0"/>
          <w:sz w:val="32"/>
          <w:szCs w:val="32"/>
          <w:lang w:val="en" w:eastAsia="zh-CN"/>
        </w:rPr>
      </w:pPr>
      <w:r>
        <w:rPr>
          <w:rFonts w:ascii="Times New Roman" w:hAnsi="Times New Roman" w:eastAsia="仿宋_GB2312" w:cs="Times New Roman"/>
          <w:color w:val="auto"/>
          <w:kern w:val="0"/>
          <w:sz w:val="32"/>
          <w:szCs w:val="32"/>
        </w:rPr>
        <w:t>九、</w:t>
      </w:r>
      <w:r>
        <w:rPr>
          <w:rFonts w:hint="eastAsia" w:ascii="Times New Roman" w:hAnsi="Times New Roman" w:eastAsia="仿宋_GB2312" w:cs="Times New Roman"/>
          <w:color w:val="auto"/>
          <w:kern w:val="0"/>
          <w:sz w:val="32"/>
          <w:szCs w:val="32"/>
          <w:lang w:eastAsia="zh-CN"/>
        </w:rPr>
        <w:t>国有资产经营预算收入支出决算情况</w:t>
      </w:r>
    </w:p>
    <w:p w14:paraId="332B037C">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十、关于机关运行经费支出说明</w:t>
      </w:r>
    </w:p>
    <w:p w14:paraId="7E6BB29C">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十一、一般性支出情况说明</w:t>
      </w:r>
    </w:p>
    <w:p w14:paraId="6DA575A4">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sz w:val="32"/>
          <w:szCs w:val="32"/>
        </w:rPr>
        <w:t>十二、</w:t>
      </w:r>
      <w:r>
        <w:rPr>
          <w:rFonts w:ascii="Times New Roman" w:hAnsi="Times New Roman" w:eastAsia="仿宋_GB2312" w:cs="Times New Roman"/>
          <w:color w:val="auto"/>
          <w:kern w:val="0"/>
          <w:sz w:val="32"/>
          <w:szCs w:val="32"/>
        </w:rPr>
        <w:t>关于政府采购支出说明</w:t>
      </w:r>
    </w:p>
    <w:p w14:paraId="043CB2FD">
      <w:pPr>
        <w:pStyle w:val="18"/>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十三、关于202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年度预算绩效管理情况的说明</w:t>
      </w:r>
    </w:p>
    <w:p w14:paraId="3621B37B">
      <w:pPr>
        <w:pStyle w:val="18"/>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第四部分 名词解释</w:t>
      </w:r>
    </w:p>
    <w:p w14:paraId="025F8978">
      <w:pPr>
        <w:pStyle w:val="18"/>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第五部分 附件</w:t>
      </w:r>
    </w:p>
    <w:p w14:paraId="4919D291">
      <w:pPr>
        <w:pStyle w:val="18"/>
        <w:spacing w:line="600" w:lineRule="exact"/>
        <w:rPr>
          <w:rFonts w:ascii="Times New Roman" w:hAnsi="Times New Roman" w:cs="Times New Roman"/>
          <w:bCs/>
          <w:color w:val="auto"/>
          <w:sz w:val="28"/>
          <w:szCs w:val="28"/>
        </w:rPr>
      </w:pPr>
    </w:p>
    <w:p w14:paraId="76380C5C">
      <w:pPr>
        <w:jc w:val="center"/>
        <w:rPr>
          <w:rFonts w:ascii="Times New Roman" w:hAnsi="Times New Roman" w:cs="Times New Roman"/>
          <w:color w:val="auto"/>
          <w:sz w:val="72"/>
          <w:szCs w:val="72"/>
        </w:rPr>
      </w:pPr>
    </w:p>
    <w:p w14:paraId="45CDF08C">
      <w:pPr>
        <w:jc w:val="center"/>
        <w:rPr>
          <w:rFonts w:ascii="Times New Roman" w:hAnsi="Times New Roman" w:cs="Times New Roman"/>
          <w:color w:val="auto"/>
          <w:sz w:val="72"/>
          <w:szCs w:val="72"/>
        </w:rPr>
      </w:pPr>
    </w:p>
    <w:p w14:paraId="218F0F2A">
      <w:pPr>
        <w:jc w:val="center"/>
        <w:rPr>
          <w:rFonts w:ascii="Times New Roman" w:hAnsi="Times New Roman" w:cs="Times New Roman"/>
          <w:color w:val="auto"/>
          <w:sz w:val="72"/>
          <w:szCs w:val="72"/>
        </w:rPr>
      </w:pPr>
    </w:p>
    <w:p w14:paraId="577BE88F">
      <w:pPr>
        <w:pStyle w:val="12"/>
        <w:rPr>
          <w:rFonts w:ascii="Times New Roman" w:hAnsi="Times New Roman" w:cs="Times New Roman"/>
          <w:color w:val="auto"/>
        </w:rPr>
        <w:sectPr>
          <w:footerReference r:id="rId5" w:type="default"/>
          <w:pgSz w:w="11906" w:h="16838"/>
          <w:pgMar w:top="1417" w:right="1588" w:bottom="1417" w:left="1588" w:header="851" w:footer="992" w:gutter="0"/>
          <w:pgNumType w:start="1"/>
          <w:cols w:space="425" w:num="1"/>
          <w:docGrid w:type="lines" w:linePitch="312" w:charSpace="0"/>
        </w:sectPr>
      </w:pPr>
    </w:p>
    <w:p w14:paraId="40E615E0">
      <w:pPr>
        <w:rPr>
          <w:rFonts w:ascii="Times New Roman" w:hAnsi="Times New Roman" w:eastAsia="方正小标宋_GBK" w:cs="Times New Roman"/>
          <w:color w:val="auto"/>
          <w:sz w:val="72"/>
          <w:szCs w:val="72"/>
        </w:rPr>
      </w:pPr>
    </w:p>
    <w:p w14:paraId="047EAC67">
      <w:pPr>
        <w:pStyle w:val="18"/>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第一部分</w:t>
      </w:r>
    </w:p>
    <w:p w14:paraId="6BC0E200">
      <w:pPr>
        <w:pStyle w:val="18"/>
        <w:spacing w:line="360" w:lineRule="auto"/>
        <w:jc w:val="center"/>
        <w:rPr>
          <w:rFonts w:ascii="Times New Roman" w:hAnsi="Times New Roman" w:eastAsia="方正小标宋_GBK" w:cs="Times New Roman"/>
          <w:color w:val="auto"/>
          <w:sz w:val="52"/>
          <w:szCs w:val="52"/>
        </w:rPr>
      </w:pPr>
      <w:r>
        <w:rPr>
          <w:rFonts w:hint="eastAsia" w:ascii="Times New Roman" w:hAnsi="Times New Roman" w:eastAsia="方正小标宋_GBK" w:cs="Times New Roman"/>
          <w:color w:val="auto"/>
          <w:sz w:val="52"/>
          <w:szCs w:val="52"/>
        </w:rPr>
        <w:t>怀化市农业科技教育促进中心</w:t>
      </w:r>
      <w:r>
        <w:rPr>
          <w:rFonts w:ascii="Times New Roman" w:hAnsi="Times New Roman" w:eastAsia="方正小标宋_GBK" w:cs="Times New Roman"/>
          <w:color w:val="auto"/>
          <w:sz w:val="52"/>
          <w:szCs w:val="52"/>
        </w:rPr>
        <w:t>概况</w:t>
      </w:r>
    </w:p>
    <w:p w14:paraId="5C0D9763">
      <w:pPr>
        <w:pStyle w:val="8"/>
        <w:ind w:left="0" w:leftChars="0" w:firstLine="0" w:firstLineChars="0"/>
        <w:rPr>
          <w:rFonts w:ascii="Times New Roman" w:hAnsi="Times New Roman" w:cs="Times New Roman"/>
          <w:color w:val="auto"/>
        </w:rPr>
      </w:pPr>
    </w:p>
    <w:p w14:paraId="01316411">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0" w:name="heading_2"/>
      <w:r>
        <w:rPr>
          <w:rFonts w:hint="eastAsia" w:cs="黑体"/>
          <w:b w:val="0"/>
          <w:bCs w:val="0"/>
          <w:color w:val="auto"/>
          <w:sz w:val="32"/>
          <w:szCs w:val="32"/>
          <w:lang w:eastAsia="zh-CN"/>
        </w:rPr>
        <w:t>一、</w:t>
      </w:r>
      <w:r>
        <w:rPr>
          <w:rFonts w:ascii="黑体" w:hAnsi="黑体" w:eastAsia="黑体" w:cs="黑体"/>
          <w:b w:val="0"/>
          <w:bCs w:val="0"/>
          <w:color w:val="auto"/>
          <w:sz w:val="32"/>
          <w:szCs w:val="32"/>
        </w:rPr>
        <w:t>部门职责</w:t>
      </w:r>
      <w:bookmarkEnd w:id="0"/>
    </w:p>
    <w:p w14:paraId="4C7C483A">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怀化市农业科技教育促进中心是市农业农村局所属二级预算单位，主要职责为：</w:t>
      </w:r>
    </w:p>
    <w:p w14:paraId="310A11B1">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1.</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承担组织实施全市农业科技教育、高素质农民培育工作，制定工作规划并督促检查落实。</w:t>
      </w:r>
    </w:p>
    <w:p w14:paraId="53DAFC6B">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2.</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承担农业科技教育、高素质农民培育能力提升行动，推动乡村振兴带头人学历、能力提升计划；承担综合类农民培训、实训示范基地、田间学校建设工作。</w:t>
      </w:r>
    </w:p>
    <w:p w14:paraId="48F5DD2A">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3.</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承担农业产业科技教育领军人才培养计划实施，推进农业科技教育培训服务、农业科技推广成果转换。</w:t>
      </w:r>
    </w:p>
    <w:p w14:paraId="08EC3DBD">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4.</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承担全市高素质农民培育教材编写管理，开展科技教育培训下乡、农业科技推广活动，建立高素质农民培育样板示范体系。</w:t>
      </w:r>
    </w:p>
    <w:p w14:paraId="660A74B4">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5.</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承担全市农业科技教育、高素质农民培育系统队伍建设，负责农民体育协会组织管理工作。</w:t>
      </w:r>
    </w:p>
    <w:p w14:paraId="72624C5E">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6.</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完成市农业农村局交办的其他任务。</w:t>
      </w:r>
    </w:p>
    <w:p w14:paraId="2AC96D42">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1" w:name="heading_3"/>
      <w:r>
        <w:rPr>
          <w:rFonts w:hint="eastAsia" w:cs="黑体"/>
          <w:b w:val="0"/>
          <w:bCs w:val="0"/>
          <w:color w:val="auto"/>
          <w:sz w:val="32"/>
          <w:szCs w:val="32"/>
          <w:lang w:eastAsia="zh-CN"/>
        </w:rPr>
        <w:t>二、</w:t>
      </w:r>
      <w:r>
        <w:rPr>
          <w:rFonts w:ascii="黑体" w:hAnsi="黑体" w:eastAsia="黑体" w:cs="黑体"/>
          <w:b w:val="0"/>
          <w:bCs w:val="0"/>
          <w:color w:val="auto"/>
          <w:sz w:val="32"/>
          <w:szCs w:val="32"/>
        </w:rPr>
        <w:t>机构设置及决算单位构成</w:t>
      </w:r>
      <w:bookmarkEnd w:id="1"/>
    </w:p>
    <w:p w14:paraId="597A45E2">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rPr>
      </w:pPr>
      <w:bookmarkStart w:id="2" w:name="heading_4"/>
      <w:r>
        <w:rPr>
          <w:rFonts w:hint="eastAsia" w:cs="楷体_GB2312"/>
          <w:b w:val="0"/>
          <w:bCs w:val="0"/>
          <w:color w:val="auto"/>
          <w:sz w:val="32"/>
          <w:szCs w:val="32"/>
          <w:lang w:eastAsia="zh-CN"/>
        </w:rPr>
        <w:t>（一）</w:t>
      </w:r>
      <w:r>
        <w:rPr>
          <w:rFonts w:ascii="Times New Roman" w:hAnsi="Times New Roman" w:eastAsia="楷体_GB2312" w:cs="楷体_GB2312"/>
          <w:b w:val="0"/>
          <w:bCs w:val="0"/>
          <w:color w:val="auto"/>
          <w:sz w:val="32"/>
          <w:szCs w:val="32"/>
        </w:rPr>
        <w:t>内设机构设置</w:t>
      </w:r>
      <w:bookmarkEnd w:id="2"/>
    </w:p>
    <w:p w14:paraId="25A7A4E3">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怀化市农业科技教育促进中心为二级部门预算单位，内设综合事务部、培训开发部、体系建设部三个职能科室，机构规格为副科级。</w:t>
      </w:r>
    </w:p>
    <w:p w14:paraId="535438C2">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rPr>
      </w:pPr>
      <w:bookmarkStart w:id="3" w:name="heading_5"/>
      <w:r>
        <w:rPr>
          <w:rFonts w:hint="eastAsia" w:cs="楷体_GB2312"/>
          <w:b w:val="0"/>
          <w:bCs w:val="0"/>
          <w:color w:val="auto"/>
          <w:sz w:val="32"/>
          <w:szCs w:val="32"/>
          <w:lang w:eastAsia="zh-CN"/>
        </w:rPr>
        <w:t>（二）</w:t>
      </w:r>
      <w:r>
        <w:rPr>
          <w:rFonts w:ascii="Times New Roman" w:hAnsi="Times New Roman" w:eastAsia="楷体_GB2312" w:cs="楷体_GB2312"/>
          <w:b w:val="0"/>
          <w:bCs w:val="0"/>
          <w:color w:val="auto"/>
          <w:sz w:val="32"/>
          <w:szCs w:val="32"/>
        </w:rPr>
        <w:t>决算单位构成</w:t>
      </w:r>
      <w:bookmarkEnd w:id="3"/>
    </w:p>
    <w:p w14:paraId="202B7A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color w:val="auto"/>
          <w:kern w:val="0"/>
          <w:sz w:val="32"/>
          <w:szCs w:val="32"/>
        </w:rPr>
      </w:pPr>
      <w:r>
        <w:rPr>
          <w:rFonts w:ascii="Times New Roman" w:hAnsi="Times New Roman" w:eastAsia="仿宋_GB2312" w:cs="仿宋_GB2312"/>
          <w:b w:val="0"/>
          <w:bCs w:val="0"/>
          <w:color w:val="auto"/>
          <w:sz w:val="32"/>
          <w:szCs w:val="32"/>
        </w:rPr>
        <w:t>2025年部门决算汇总公开单位仅包含怀化市农业科技教育促进中心本级。截至2025年末，单位编制数15名，实有在职人员15人，其中事业管理人员和专业技术人员13人、机关和事业工人2人，人员编制控制率为100％。</w:t>
      </w:r>
    </w:p>
    <w:p w14:paraId="34A3D3B8">
      <w:pPr>
        <w:jc w:val="left"/>
        <w:rPr>
          <w:rFonts w:ascii="Times New Roman" w:hAnsi="Times New Roman" w:eastAsia="仿宋_GB2312" w:cs="Times New Roman"/>
          <w:color w:val="auto"/>
          <w:sz w:val="28"/>
          <w:szCs w:val="32"/>
        </w:rPr>
      </w:pPr>
    </w:p>
    <w:p w14:paraId="08F566DB">
      <w:pPr>
        <w:jc w:val="center"/>
        <w:rPr>
          <w:rFonts w:ascii="Times New Roman" w:hAnsi="Times New Roman" w:eastAsia="黑体" w:cs="Times New Roman"/>
          <w:color w:val="auto"/>
          <w:sz w:val="28"/>
          <w:szCs w:val="28"/>
        </w:rPr>
      </w:pPr>
    </w:p>
    <w:p w14:paraId="4440FADF">
      <w:pPr>
        <w:jc w:val="center"/>
        <w:rPr>
          <w:rFonts w:ascii="Times New Roman" w:hAnsi="Times New Roman" w:eastAsia="黑体" w:cs="Times New Roman"/>
          <w:color w:val="auto"/>
          <w:sz w:val="28"/>
          <w:szCs w:val="28"/>
        </w:rPr>
      </w:pPr>
    </w:p>
    <w:p w14:paraId="4EABFCFE">
      <w:pPr>
        <w:jc w:val="center"/>
        <w:rPr>
          <w:rFonts w:ascii="Times New Roman" w:hAnsi="Times New Roman" w:eastAsia="黑体" w:cs="Times New Roman"/>
          <w:color w:val="auto"/>
          <w:sz w:val="28"/>
          <w:szCs w:val="28"/>
        </w:rPr>
      </w:pPr>
    </w:p>
    <w:p w14:paraId="5E0B1C4C">
      <w:pPr>
        <w:jc w:val="center"/>
        <w:rPr>
          <w:rFonts w:ascii="Times New Roman" w:hAnsi="Times New Roman" w:eastAsia="黑体" w:cs="Times New Roman"/>
          <w:color w:val="auto"/>
          <w:sz w:val="28"/>
          <w:szCs w:val="28"/>
        </w:rPr>
      </w:pPr>
    </w:p>
    <w:p w14:paraId="4B192E24">
      <w:pPr>
        <w:jc w:val="center"/>
        <w:rPr>
          <w:rFonts w:ascii="Times New Roman" w:hAnsi="Times New Roman" w:eastAsia="黑体" w:cs="Times New Roman"/>
          <w:color w:val="auto"/>
          <w:sz w:val="28"/>
          <w:szCs w:val="28"/>
        </w:rPr>
      </w:pPr>
    </w:p>
    <w:p w14:paraId="37413F1A">
      <w:pPr>
        <w:pStyle w:val="12"/>
        <w:rPr>
          <w:rFonts w:ascii="Times New Roman" w:hAnsi="Times New Roman" w:cs="Times New Roman"/>
          <w:color w:val="auto"/>
        </w:rPr>
        <w:sectPr>
          <w:footerReference r:id="rId6" w:type="default"/>
          <w:pgSz w:w="11906" w:h="16838"/>
          <w:pgMar w:top="1417" w:right="1588" w:bottom="1417" w:left="1588" w:header="851" w:footer="992" w:gutter="0"/>
          <w:pgNumType w:start="1"/>
          <w:cols w:space="425" w:num="1"/>
          <w:docGrid w:type="lines" w:linePitch="312" w:charSpace="0"/>
        </w:sectPr>
      </w:pPr>
    </w:p>
    <w:p w14:paraId="3F5D4CF0">
      <w:pPr>
        <w:pStyle w:val="18"/>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第二部分    部门决算表</w:t>
      </w:r>
    </w:p>
    <w:p w14:paraId="3C91483B">
      <w:pPr>
        <w:widowControl/>
        <w:spacing w:after="156" w:afterLines="50"/>
        <w:jc w:val="center"/>
        <w:textAlignment w:val="center"/>
        <w:rPr>
          <w:rFonts w:ascii="Times New Roman" w:hAnsi="Times New Roman" w:eastAsia="黑体" w:cs="Times New Roman"/>
          <w:color w:val="auto"/>
          <w:sz w:val="36"/>
          <w:szCs w:val="36"/>
        </w:rPr>
      </w:pPr>
      <w:r>
        <w:rPr>
          <w:rFonts w:ascii="Times New Roman" w:hAnsi="Times New Roman" w:eastAsia="黑体" w:cs="Times New Roman"/>
          <w:color w:val="auto"/>
          <w:kern w:val="0"/>
          <w:sz w:val="36"/>
          <w:szCs w:val="36"/>
        </w:rPr>
        <w:t>收入支出决算总表</w:t>
      </w:r>
    </w:p>
    <w:p w14:paraId="2CEDB7A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kern w:val="0"/>
          <w:sz w:val="20"/>
          <w:szCs w:val="20"/>
        </w:rPr>
        <w:t>公开01表</w:t>
      </w:r>
    </w:p>
    <w:p w14:paraId="6906500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rPr>
        <w:t>部门：</w:t>
      </w:r>
      <w:r>
        <w:rPr>
          <w:rFonts w:hint="eastAsia" w:ascii="Times New Roman" w:hAnsi="Times New Roman" w:eastAsia="仿宋_GB2312" w:cs="Times New Roman"/>
          <w:color w:val="auto"/>
          <w:kern w:val="0"/>
          <w:sz w:val="20"/>
          <w:szCs w:val="20"/>
          <w:lang w:eastAsia="zh-CN"/>
        </w:rPr>
        <w:t>怀化市农业科技教育促进中心</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kern w:val="0"/>
          <w:sz w:val="20"/>
          <w:szCs w:val="20"/>
        </w:rPr>
        <w:t>单位：万元</w:t>
      </w:r>
    </w:p>
    <w:tbl>
      <w:tblPr>
        <w:tblW w:w="142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136"/>
        <w:gridCol w:w="898"/>
        <w:gridCol w:w="1225"/>
        <w:gridCol w:w="4835"/>
        <w:gridCol w:w="900"/>
        <w:gridCol w:w="1226"/>
      </w:tblGrid>
      <w:tr w14:paraId="5FA40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0" w:hRule="atLeast"/>
          <w:tblHeader/>
          <w:jc w:val="center"/>
        </w:trPr>
        <w:tc>
          <w:tcPr>
            <w:tcW w:w="1225"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F711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收入</w:t>
            </w:r>
          </w:p>
        </w:tc>
        <w:tc>
          <w:tcPr>
            <w:tcW w:w="1225"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5333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支出</w:t>
            </w:r>
          </w:p>
        </w:tc>
      </w:tr>
      <w:tr w14:paraId="5CCFC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CFBF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项目</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D18B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行次</w:t>
            </w:r>
          </w:p>
        </w:tc>
        <w:tc>
          <w:tcPr>
            <w:tcW w:w="12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E600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金额</w:t>
            </w: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956A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项目</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01D6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行次</w:t>
            </w:r>
          </w:p>
        </w:tc>
        <w:tc>
          <w:tcPr>
            <w:tcW w:w="12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F45C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金额</w:t>
            </w:r>
          </w:p>
        </w:tc>
      </w:tr>
      <w:tr w14:paraId="77606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D17D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栏次</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837957">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2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AD64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A93F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栏次</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5613E7">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22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2D50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w:t>
            </w:r>
          </w:p>
        </w:tc>
      </w:tr>
      <w:tr w14:paraId="27250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0DDC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一、一般公共预算财政拨款收入</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436C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1225" w:type="dxa"/>
            <w:tcBorders>
              <w:top w:val="nil"/>
              <w:left w:val="nil"/>
              <w:bottom w:val="nil"/>
              <w:right w:val="nil"/>
            </w:tcBorders>
            <w:shd w:val="clear"/>
            <w:noWrap/>
            <w:vAlign w:val="center"/>
          </w:tcPr>
          <w:p w14:paraId="3BB4C2C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288.15 </w:t>
            </w: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D557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一、一般公共服务支出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C20B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w:t>
            </w:r>
          </w:p>
        </w:tc>
        <w:tc>
          <w:tcPr>
            <w:tcW w:w="1225" w:type="dxa"/>
            <w:tcBorders>
              <w:top w:val="nil"/>
              <w:left w:val="nil"/>
              <w:bottom w:val="nil"/>
              <w:right w:val="nil"/>
            </w:tcBorders>
            <w:shd w:val="clear"/>
            <w:noWrap/>
            <w:vAlign w:val="center"/>
          </w:tcPr>
          <w:p w14:paraId="7D385FD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20.86 </w:t>
            </w:r>
          </w:p>
        </w:tc>
      </w:tr>
      <w:tr w14:paraId="385C4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35DC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二、政府性基金预算财政拨款收入</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BDD8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4D71F35">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6867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二、外交支出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C041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32</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65C7A0B">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2D748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8AF4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三、国有资本经营预算财政拨款收入</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60D4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50A6A52">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4487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三、国防支出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666B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33</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CEBC677">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541A7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919B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四、上级补助收入</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F2FF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A86CB65">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0E5E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四、公共安全支出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78C3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34</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842F054">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60113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BB59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五、事业收入</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F495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E5E5E52">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7238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五、教育支出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3886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35</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C04B67">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01A7E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E48A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六、经营收入</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A351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6</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AF69CCB">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7638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六、科学技术支出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2670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36</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C6DD22F">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71741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A308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七、附属单位上缴收入</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6491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7</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2543F0C">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5D63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七、文化旅游体育与传媒支出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DABC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37</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FCB8D6">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05719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8F61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八、其他收入</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B6A6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8</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D6292D1">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A4FC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八、社会保障和就业支出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FDC8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38</w:t>
            </w:r>
          </w:p>
        </w:tc>
        <w:tc>
          <w:tcPr>
            <w:tcW w:w="1225" w:type="dxa"/>
            <w:tcBorders>
              <w:top w:val="nil"/>
              <w:left w:val="nil"/>
              <w:bottom w:val="nil"/>
              <w:right w:val="nil"/>
            </w:tcBorders>
            <w:shd w:val="clear"/>
            <w:noWrap/>
            <w:vAlign w:val="center"/>
          </w:tcPr>
          <w:p w14:paraId="76C012E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20.84 </w:t>
            </w:r>
          </w:p>
        </w:tc>
      </w:tr>
      <w:tr w14:paraId="74041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AEB025">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F7BE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9</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0432AC">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270E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九、卫生健康支出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8FFA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39</w:t>
            </w:r>
          </w:p>
        </w:tc>
        <w:tc>
          <w:tcPr>
            <w:tcW w:w="1225" w:type="dxa"/>
            <w:tcBorders>
              <w:top w:val="nil"/>
              <w:left w:val="nil"/>
              <w:bottom w:val="nil"/>
              <w:right w:val="nil"/>
            </w:tcBorders>
            <w:shd w:val="clear"/>
            <w:noWrap/>
            <w:vAlign w:val="center"/>
          </w:tcPr>
          <w:p w14:paraId="31CB179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8.34 </w:t>
            </w:r>
          </w:p>
        </w:tc>
      </w:tr>
      <w:tr w14:paraId="12BDF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7BB6BF">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17C2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10</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9E7CCF">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61B0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十、节能环保支出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D91B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40</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9BE266F">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1B5F5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2130B4">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C858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11</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73EED83">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826A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十一、城乡社区支出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7A00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41</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0A5E618">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71CA5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2D9643">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FB04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12</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19798CB">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2F69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十二、农林水支出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12C3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42</w:t>
            </w:r>
          </w:p>
        </w:tc>
        <w:tc>
          <w:tcPr>
            <w:tcW w:w="1225" w:type="dxa"/>
            <w:tcBorders>
              <w:top w:val="nil"/>
              <w:left w:val="nil"/>
              <w:bottom w:val="nil"/>
              <w:right w:val="nil"/>
            </w:tcBorders>
            <w:shd w:val="clear"/>
            <w:noWrap/>
            <w:vAlign w:val="center"/>
          </w:tcPr>
          <w:p w14:paraId="4BB1CF8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236.47 </w:t>
            </w:r>
          </w:p>
        </w:tc>
      </w:tr>
      <w:tr w14:paraId="3D0E0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8BC2DE">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8A50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13</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391E1C1">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1B95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十三、交通运输支出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E9F7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43</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1B63EE6">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6519F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32B83E">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0C8F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14</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ECBB0AA">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CC32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十四、资源勘探工业信息等支出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FDCD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44</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AB771F">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77905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2B9F9B">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C59D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15</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F78BFE">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48A1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十五、商业服务业等支出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F664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45</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ECBC548">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0C13C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16000E">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ED71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16</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687A0AD">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18BB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十六、金融支出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FFB0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46</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7743AE2">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19643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0C4A9E">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201F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17</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644D8E">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182B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十七、援助其他地区支出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FCE0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47</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4830B3">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50579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DBFE7D">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3CD4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18</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AF1C0D">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1784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十八、自然资源海洋气象等支出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15AF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48</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8E569DF">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73FB5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3051C5">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CA03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19</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47F875">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5A66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十九、住房保障支出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56EF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49</w:t>
            </w:r>
          </w:p>
        </w:tc>
        <w:tc>
          <w:tcPr>
            <w:tcW w:w="1225" w:type="dxa"/>
            <w:tcBorders>
              <w:top w:val="nil"/>
              <w:left w:val="nil"/>
              <w:bottom w:val="nil"/>
              <w:right w:val="nil"/>
            </w:tcBorders>
            <w:shd w:val="clear"/>
            <w:noWrap/>
            <w:vAlign w:val="center"/>
          </w:tcPr>
          <w:p w14:paraId="1F642E2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1.65 </w:t>
            </w:r>
          </w:p>
        </w:tc>
      </w:tr>
      <w:tr w14:paraId="26A3B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5C22CE">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B51A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F3AE523">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2397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二十、粮油物资储备支出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D5E4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50</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06B4442">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3687F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7F61EA">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DE77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ACEE7A8">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C6DA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二十一、国有资本经营预算支出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3C8C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51</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B466621">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08566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1A0ED8">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EF93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22</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1A9E842">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FC45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二十二、灾害防治及应急管理支出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5890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52</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A3632A0">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59801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EC66FC">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CDB6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23</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661002">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41F6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二十三、其他支出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D331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53</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B8AB9E1">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2B041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C8B0EA">
            <w:pPr>
              <w:snapToGrid w:val="0"/>
              <w:ind w:left="0" w:leftChars="0" w:right="0" w:rightChars="0" w:firstLine="0" w:firstLineChars="0"/>
              <w:jc w:val="left"/>
              <w:rPr>
                <w:rFonts w:hint="eastAsia" w:ascii="宋体" w:hAnsi="宋体" w:eastAsia="宋体" w:cs="宋体"/>
                <w:b/>
                <w:bCs/>
                <w:i w:val="0"/>
                <w:iCs w:val="0"/>
                <w:color w:val="auto"/>
                <w:sz w:val="20"/>
                <w:szCs w:val="20"/>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77CC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24</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26990E">
            <w:pPr>
              <w:snapToGrid w:val="0"/>
              <w:ind w:left="0" w:leftChars="0" w:right="0" w:rightChars="0" w:firstLine="0" w:firstLineChars="0"/>
              <w:jc w:val="right"/>
              <w:rPr>
                <w:rFonts w:hint="eastAsia" w:ascii="宋体" w:hAnsi="宋体" w:eastAsia="宋体" w:cs="宋体"/>
                <w:i w:val="0"/>
                <w:iCs w:val="0"/>
                <w:color w:val="auto"/>
                <w:sz w:val="20"/>
                <w:szCs w:val="20"/>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4696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二十四、债务还本支出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A137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54</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13B4B4">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601C1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FC4847">
            <w:pPr>
              <w:snapToGrid w:val="0"/>
              <w:ind w:left="0" w:leftChars="0" w:right="0" w:rightChars="0" w:firstLine="0" w:firstLineChars="0"/>
              <w:jc w:val="left"/>
              <w:rPr>
                <w:rFonts w:hint="eastAsia" w:ascii="宋体" w:hAnsi="宋体" w:eastAsia="宋体" w:cs="宋体"/>
                <w:i w:val="0"/>
                <w:iCs w:val="0"/>
                <w:color w:val="auto"/>
                <w:sz w:val="20"/>
                <w:szCs w:val="20"/>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7090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25</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4773BB0">
            <w:pPr>
              <w:snapToGrid w:val="0"/>
              <w:ind w:left="0" w:leftChars="0" w:right="0" w:rightChars="0" w:firstLine="0" w:firstLineChars="0"/>
              <w:jc w:val="right"/>
              <w:rPr>
                <w:rFonts w:hint="eastAsia" w:ascii="宋体" w:hAnsi="宋体" w:eastAsia="宋体" w:cs="宋体"/>
                <w:i w:val="0"/>
                <w:iCs w:val="0"/>
                <w:color w:val="auto"/>
                <w:sz w:val="20"/>
                <w:szCs w:val="20"/>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4A87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二十五、债务付息支出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FC85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55</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113D5BB">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40FD4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1EE14D">
            <w:pPr>
              <w:snapToGrid w:val="0"/>
              <w:ind w:left="0" w:leftChars="0" w:right="0" w:rightChars="0" w:firstLine="0" w:firstLineChars="0"/>
              <w:jc w:val="left"/>
              <w:rPr>
                <w:rFonts w:hint="eastAsia" w:ascii="宋体" w:hAnsi="宋体" w:eastAsia="宋体" w:cs="宋体"/>
                <w:i w:val="0"/>
                <w:iCs w:val="0"/>
                <w:color w:val="auto"/>
                <w:sz w:val="20"/>
                <w:szCs w:val="20"/>
                <w:u w:val="none"/>
              </w:rPr>
            </w:pP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9C7E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26</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2BFC16">
            <w:pPr>
              <w:snapToGrid w:val="0"/>
              <w:ind w:left="0" w:leftChars="0" w:right="0" w:rightChars="0" w:firstLine="0" w:firstLineChars="0"/>
              <w:jc w:val="right"/>
              <w:rPr>
                <w:rFonts w:hint="eastAsia" w:ascii="宋体" w:hAnsi="宋体" w:eastAsia="宋体" w:cs="宋体"/>
                <w:i w:val="0"/>
                <w:iCs w:val="0"/>
                <w:color w:val="auto"/>
                <w:sz w:val="20"/>
                <w:szCs w:val="20"/>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BAFC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二十六、抗疫特别国债安排的支出</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BED2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56</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E148DCF">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53C0E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1BEA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本年收入合计</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1CD1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27</w:t>
            </w:r>
          </w:p>
        </w:tc>
        <w:tc>
          <w:tcPr>
            <w:tcW w:w="1225" w:type="dxa"/>
            <w:tcBorders>
              <w:top w:val="nil"/>
              <w:left w:val="nil"/>
              <w:bottom w:val="nil"/>
              <w:right w:val="nil"/>
            </w:tcBorders>
            <w:shd w:val="clear"/>
            <w:noWrap/>
            <w:vAlign w:val="center"/>
          </w:tcPr>
          <w:p w14:paraId="29B4D59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288.15 </w:t>
            </w: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4528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本年支出合计</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E2DD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57</w:t>
            </w:r>
          </w:p>
        </w:tc>
        <w:tc>
          <w:tcPr>
            <w:tcW w:w="1225" w:type="dxa"/>
            <w:tcBorders>
              <w:top w:val="nil"/>
              <w:left w:val="nil"/>
              <w:bottom w:val="nil"/>
              <w:right w:val="nil"/>
            </w:tcBorders>
            <w:shd w:val="clear"/>
            <w:noWrap/>
            <w:vAlign w:val="center"/>
          </w:tcPr>
          <w:p w14:paraId="4B52B2C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288.15 </w:t>
            </w:r>
          </w:p>
        </w:tc>
      </w:tr>
      <w:tr w14:paraId="4E4BC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5D9A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使用非财政拨款结余（含专用结余）</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6EF7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28</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3E4B976">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7395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结余分配</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9595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58</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6F9F144">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213FB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521B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年初结转和结余</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0361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29</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533239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8FA8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年末结转和结余</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CDCA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59</w:t>
            </w:r>
          </w:p>
        </w:tc>
        <w:tc>
          <w:tcPr>
            <w:tcW w:w="122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D4D6E2B">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6B628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680E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总计</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8BD6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30</w:t>
            </w:r>
          </w:p>
        </w:tc>
        <w:tc>
          <w:tcPr>
            <w:tcW w:w="1225" w:type="dxa"/>
            <w:tcBorders>
              <w:top w:val="nil"/>
              <w:left w:val="nil"/>
              <w:bottom w:val="nil"/>
              <w:right w:val="nil"/>
            </w:tcBorders>
            <w:shd w:val="clear"/>
            <w:noWrap/>
            <w:vAlign w:val="center"/>
          </w:tcPr>
          <w:p w14:paraId="6760D4F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288.15 </w:t>
            </w:r>
          </w:p>
        </w:tc>
        <w:tc>
          <w:tcPr>
            <w:tcW w:w="483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2385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总计</w:t>
            </w:r>
          </w:p>
        </w:tc>
        <w:tc>
          <w:tcPr>
            <w:tcW w:w="9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5482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60</w:t>
            </w:r>
          </w:p>
        </w:tc>
        <w:tc>
          <w:tcPr>
            <w:tcW w:w="1225" w:type="dxa"/>
            <w:tcBorders>
              <w:top w:val="nil"/>
              <w:left w:val="nil"/>
              <w:bottom w:val="nil"/>
              <w:right w:val="nil"/>
            </w:tcBorders>
            <w:shd w:val="clear"/>
            <w:noWrap/>
            <w:vAlign w:val="center"/>
          </w:tcPr>
          <w:p w14:paraId="48D702D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288.15 </w:t>
            </w:r>
          </w:p>
        </w:tc>
      </w:tr>
    </w:tbl>
    <w:p w14:paraId="2E9CA6ED">
      <w:pPr>
        <w:widowControl/>
        <w:jc w:val="left"/>
        <w:textAlignment w:val="center"/>
        <w:rPr>
          <w:rFonts w:ascii="Times New Roman" w:hAnsi="Times New Roman" w:eastAsia="宋体" w:cs="Times New Roman"/>
          <w:color w:val="auto"/>
          <w:kern w:val="0"/>
          <w:sz w:val="24"/>
          <w:szCs w:val="24"/>
        </w:rPr>
      </w:pPr>
    </w:p>
    <w:p w14:paraId="014E0470">
      <w:pPr>
        <w:widowControl/>
        <w:jc w:val="left"/>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注：1.本表反映部门本年度的总收支和年末结转结余情况。</w:t>
      </w:r>
      <w:r>
        <w:rPr>
          <w:rFonts w:ascii="Times New Roman" w:hAnsi="Times New Roman" w:eastAsia="仿宋_GB2312" w:cs="Times New Roman"/>
          <w:color w:val="auto"/>
          <w:kern w:val="0"/>
          <w:sz w:val="24"/>
          <w:szCs w:val="24"/>
        </w:rPr>
        <w:br w:type="textWrapping"/>
      </w:r>
      <w:r>
        <w:rPr>
          <w:rFonts w:ascii="Times New Roman" w:hAnsi="Times New Roman" w:eastAsia="仿宋_GB2312" w:cs="Times New Roman"/>
          <w:color w:val="auto"/>
          <w:kern w:val="0"/>
          <w:sz w:val="24"/>
          <w:szCs w:val="24"/>
        </w:rPr>
        <w:t xml:space="preserve">    2.本套报表金额单位转换时可能存在尾数误差。</w:t>
      </w:r>
    </w:p>
    <w:p w14:paraId="220AA641">
      <w:pPr>
        <w:rPr>
          <w:rFonts w:ascii="Times New Roman" w:hAnsi="Times New Roman" w:eastAsia="黑体" w:cs="Times New Roman"/>
          <w:color w:val="auto"/>
          <w:kern w:val="0"/>
          <w:sz w:val="32"/>
          <w:szCs w:val="32"/>
        </w:rPr>
      </w:pPr>
      <w:r>
        <w:rPr>
          <w:color w:val="auto"/>
        </w:rPr>
        <w:br w:type="page"/>
      </w:r>
    </w:p>
    <w:p w14:paraId="36A1582E">
      <w:pPr>
        <w:widowControl/>
        <w:spacing w:after="156" w:afterLines="50"/>
        <w:jc w:val="center"/>
        <w:textAlignment w:val="center"/>
        <w:rPr>
          <w:rFonts w:ascii="Times New Roman" w:hAnsi="Times New Roman" w:eastAsia="黑体" w:cs="Times New Roman"/>
          <w:color w:val="auto"/>
          <w:kern w:val="0"/>
          <w:sz w:val="36"/>
          <w:szCs w:val="36"/>
        </w:rPr>
      </w:pPr>
      <w:r>
        <w:rPr>
          <w:rFonts w:ascii="Times New Roman" w:hAnsi="Times New Roman" w:eastAsia="黑体" w:cs="Times New Roman"/>
          <w:color w:val="auto"/>
          <w:kern w:val="0"/>
          <w:sz w:val="36"/>
          <w:szCs w:val="36"/>
        </w:rPr>
        <w:t>收入决算表</w:t>
      </w:r>
    </w:p>
    <w:p w14:paraId="2561B57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auto"/>
          <w:sz w:val="20"/>
          <w:szCs w:val="20"/>
        </w:rPr>
      </w:pP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0"/>
          <w:szCs w:val="20"/>
        </w:rPr>
        <w:t>公开02表</w:t>
      </w:r>
    </w:p>
    <w:p w14:paraId="5F9D0BD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auto"/>
          <w:sz w:val="20"/>
          <w:szCs w:val="20"/>
        </w:rPr>
      </w:pPr>
      <w:r>
        <w:rPr>
          <w:rFonts w:ascii="Times New Roman" w:hAnsi="Times New Roman" w:eastAsia="仿宋_GB2312" w:cs="Times New Roman"/>
          <w:color w:val="auto"/>
          <w:sz w:val="20"/>
          <w:szCs w:val="20"/>
        </w:rPr>
        <w:t>部门：</w:t>
      </w:r>
      <w:r>
        <w:rPr>
          <w:rFonts w:hint="eastAsia" w:ascii="Times New Roman" w:hAnsi="Times New Roman" w:eastAsia="仿宋_GB2312" w:cs="Times New Roman"/>
          <w:color w:val="auto"/>
          <w:kern w:val="0"/>
          <w:sz w:val="20"/>
          <w:szCs w:val="20"/>
          <w:lang w:eastAsia="zh-CN"/>
        </w:rPr>
        <w:t>怀化市农业科技教育促进中心</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0"/>
          <w:szCs w:val="20"/>
        </w:rPr>
        <w:t>　</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0"/>
          <w:szCs w:val="20"/>
        </w:rPr>
        <w:t>单位：万元</w:t>
      </w:r>
    </w:p>
    <w:tbl>
      <w:tblPr>
        <w:tblW w:w="14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86"/>
        <w:gridCol w:w="3765"/>
        <w:gridCol w:w="1468"/>
        <w:gridCol w:w="1468"/>
        <w:gridCol w:w="1442"/>
        <w:gridCol w:w="1049"/>
        <w:gridCol w:w="1049"/>
        <w:gridCol w:w="1832"/>
        <w:gridCol w:w="1050"/>
      </w:tblGrid>
      <w:tr w14:paraId="72A9E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9699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2A754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本年收入合计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A6781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财政拨款收入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1B0F6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上级补助收入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C8EF4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事业收入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546C5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经营收入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06654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附属单位上缴收入</w:t>
            </w:r>
          </w:p>
        </w:tc>
        <w:tc>
          <w:tcPr>
            <w:tcW w:w="105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95712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其他收入</w:t>
            </w:r>
          </w:p>
        </w:tc>
      </w:tr>
      <w:tr w14:paraId="1A150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050FA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303E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科目名称</w:t>
            </w: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4242527">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9D86651">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F4B4FFE">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2007134">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22CA06">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53A69E9">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0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B1768A">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r>
      <w:tr w14:paraId="2AB78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DAFBAAB">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6B6C2F">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CFA4BC4">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0D8FFCA">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21547F5">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31CE95A">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938F2CD">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03AC734">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0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2DFD265">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r>
      <w:tr w14:paraId="4852B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5492DB6">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C62748">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D323085">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687D2F4">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2E1516D">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81BA47">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A94CDD4">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F355553">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0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61F8AA7">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r>
      <w:tr w14:paraId="18994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CBB8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6F9AED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7E73EB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169649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40A4A9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24F9DD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3E29C0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6</w:t>
            </w:r>
          </w:p>
        </w:tc>
        <w:tc>
          <w:tcPr>
            <w:tcW w:w="105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A1EA2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7</w:t>
            </w:r>
          </w:p>
        </w:tc>
      </w:tr>
      <w:tr w14:paraId="0C7E7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5E71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F5A4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288.15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238DF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288.15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DCA84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8620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AD77B2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AD9DD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0.00</w:t>
            </w:r>
          </w:p>
        </w:tc>
        <w:tc>
          <w:tcPr>
            <w:tcW w:w="105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61D7B2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0.00</w:t>
            </w:r>
          </w:p>
        </w:tc>
      </w:tr>
      <w:tr w14:paraId="321AF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91B0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2019999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A11F0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BB60F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20.86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D308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20.86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8817D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2986A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5D2BA6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7247A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c>
          <w:tcPr>
            <w:tcW w:w="105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C8DCF1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31818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7DF7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3440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F663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20.84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76748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20.84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866904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E993A47">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6CA2A9">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4CD8FB0">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105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4432B39">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60EA9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3E0A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E6CE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6700C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8.34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5F7A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8.34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DAF193">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F71C00A">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9B4DAB">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991115C">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105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0493BA">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19C64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B8A0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2130104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0EDA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事业运行</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EB337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200.98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6C477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200.98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455B0B">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D167BA5">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0BA01F7">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A3C264">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105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960EBB4">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5C38F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8EFB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2130106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F5F3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科技转化与推广服务</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324E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25.48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8572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25.48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6B09BD5">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918CCB4">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AC437DC">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11D7074">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105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9C995F0">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585EB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ACB1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2130199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6079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其他农业农村支出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D64E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797D8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35A75A3">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A8D8BAC">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A00B802">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F17A41">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105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5904431">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11EF3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86" w:type="dxa"/>
            <w:tcBorders>
              <w:top w:val="single" w:color="D4D4D4" w:sz="4" w:space="0"/>
              <w:left w:val="single" w:color="D4D4D4" w:sz="4" w:space="0"/>
              <w:bottom w:val="single" w:color="D4D4D4" w:sz="4" w:space="0"/>
              <w:right w:val="single" w:color="D4D4D4" w:sz="4" w:space="0"/>
            </w:tcBorders>
            <w:shd w:val="clear"/>
            <w:noWrap/>
            <w:vAlign w:val="center"/>
          </w:tcPr>
          <w:p w14:paraId="7BD067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2210201</w:t>
            </w:r>
          </w:p>
        </w:tc>
        <w:tc>
          <w:tcPr>
            <w:tcW w:w="3765" w:type="dxa"/>
            <w:tcBorders>
              <w:top w:val="single" w:color="D4D4D4" w:sz="4" w:space="0"/>
              <w:left w:val="single" w:color="D4D4D4" w:sz="4" w:space="0"/>
              <w:bottom w:val="single" w:color="D4D4D4" w:sz="4" w:space="0"/>
              <w:right w:val="single" w:color="D4D4D4" w:sz="4" w:space="0"/>
            </w:tcBorders>
            <w:shd w:val="clear"/>
            <w:noWrap/>
            <w:vAlign w:val="center"/>
          </w:tcPr>
          <w:p w14:paraId="7921A9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住房公积金</w:t>
            </w:r>
          </w:p>
        </w:tc>
        <w:tc>
          <w:tcPr>
            <w:tcW w:w="146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8FC2E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1.65</w:t>
            </w:r>
          </w:p>
        </w:tc>
        <w:tc>
          <w:tcPr>
            <w:tcW w:w="146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C99A3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1.65</w:t>
            </w:r>
          </w:p>
        </w:tc>
        <w:tc>
          <w:tcPr>
            <w:tcW w:w="144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9105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c>
          <w:tcPr>
            <w:tcW w:w="104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9CBB92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c>
          <w:tcPr>
            <w:tcW w:w="104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9251D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c>
          <w:tcPr>
            <w:tcW w:w="183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22BEF1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c>
          <w:tcPr>
            <w:tcW w:w="105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5724F8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bl>
    <w:p w14:paraId="3E711669">
      <w:pPr>
        <w:spacing w:before="120"/>
        <w:rPr>
          <w:rFonts w:ascii="Times New Roman" w:hAnsi="Times New Roman" w:eastAsia="仿宋_GB2312" w:cs="Times New Roman"/>
          <w:color w:val="auto"/>
          <w:sz w:val="24"/>
          <w:szCs w:val="24"/>
        </w:rPr>
      </w:pPr>
      <w:r>
        <w:rPr>
          <w:rFonts w:ascii="Times New Roman" w:hAnsi="Times New Roman" w:eastAsia="仿宋_GB2312" w:cs="Times New Roman"/>
          <w:color w:val="auto"/>
        </w:rPr>
        <w:t>注：本表反映部门本年度取得的各项收入情况。</w:t>
      </w:r>
    </w:p>
    <w:p w14:paraId="3B147D15">
      <w:pPr>
        <w:widowControl/>
        <w:jc w:val="left"/>
        <w:rPr>
          <w:rFonts w:ascii="Times New Roman" w:hAnsi="Times New Roman" w:eastAsia="黑体" w:cs="Times New Roman"/>
          <w:color w:val="auto"/>
          <w:kern w:val="0"/>
          <w:sz w:val="32"/>
          <w:szCs w:val="32"/>
        </w:rPr>
      </w:pPr>
      <w:r>
        <w:rPr>
          <w:rFonts w:ascii="Times New Roman" w:hAnsi="Times New Roman" w:eastAsia="黑体" w:cs="Times New Roman"/>
          <w:bCs/>
          <w:color w:val="auto"/>
          <w:kern w:val="0"/>
          <w:sz w:val="32"/>
          <w:szCs w:val="32"/>
        </w:rPr>
        <w:t xml:space="preserve"> </w:t>
      </w:r>
      <w:r>
        <w:rPr>
          <w:color w:val="auto"/>
        </w:rPr>
        <w:br w:type="page"/>
      </w:r>
    </w:p>
    <w:p w14:paraId="61DA23B3">
      <w:pPr>
        <w:widowControl/>
        <w:spacing w:after="156" w:afterLines="50"/>
        <w:jc w:val="center"/>
        <w:textAlignment w:val="center"/>
        <w:rPr>
          <w:rFonts w:ascii="Times New Roman" w:hAnsi="Times New Roman" w:eastAsia="黑体" w:cs="Times New Roman"/>
          <w:color w:val="auto"/>
          <w:kern w:val="0"/>
          <w:sz w:val="36"/>
          <w:szCs w:val="36"/>
        </w:rPr>
      </w:pPr>
      <w:r>
        <w:rPr>
          <w:rFonts w:ascii="Times New Roman" w:hAnsi="Times New Roman" w:eastAsia="黑体" w:cs="Times New Roman"/>
          <w:color w:val="auto"/>
          <w:kern w:val="0"/>
          <w:sz w:val="36"/>
          <w:szCs w:val="36"/>
        </w:rPr>
        <w:t>支出决算表</w:t>
      </w:r>
    </w:p>
    <w:p w14:paraId="72587B1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0"/>
          <w:szCs w:val="20"/>
        </w:rPr>
        <w:t>公开03表</w:t>
      </w:r>
    </w:p>
    <w:p w14:paraId="72A0D59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0"/>
          <w:szCs w:val="20"/>
        </w:rPr>
        <w:t>部门：</w:t>
      </w:r>
      <w:r>
        <w:rPr>
          <w:rFonts w:hint="eastAsia" w:ascii="Times New Roman" w:hAnsi="Times New Roman" w:eastAsia="仿宋_GB2312" w:cs="Times New Roman"/>
          <w:color w:val="auto"/>
          <w:kern w:val="0"/>
          <w:sz w:val="20"/>
          <w:szCs w:val="20"/>
          <w:lang w:eastAsia="zh-CN"/>
        </w:rPr>
        <w:t>怀化市农业科技教育促进中心</w:t>
      </w:r>
      <w:r>
        <w:rPr>
          <w:rFonts w:ascii="Times New Roman" w:hAnsi="Times New Roman" w:eastAsia="仿宋_GB2312" w:cs="Times New Roman"/>
          <w:color w:val="auto"/>
          <w:kern w:val="0"/>
          <w:sz w:val="20"/>
          <w:szCs w:val="20"/>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0"/>
          <w:szCs w:val="20"/>
        </w:rPr>
        <w:t>单位：万元</w:t>
      </w:r>
    </w:p>
    <w:tbl>
      <w:tblPr>
        <w:tblW w:w="142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63"/>
        <w:gridCol w:w="3912"/>
        <w:gridCol w:w="1630"/>
        <w:gridCol w:w="1225"/>
        <w:gridCol w:w="1163"/>
        <w:gridCol w:w="1630"/>
        <w:gridCol w:w="1163"/>
        <w:gridCol w:w="2334"/>
      </w:tblGrid>
      <w:tr w14:paraId="7ACAF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3912"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343D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2EF30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本年支出合计</w:t>
            </w:r>
          </w:p>
        </w:tc>
        <w:tc>
          <w:tcPr>
            <w:tcW w:w="122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BA32C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基本支出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C4CA6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项目支出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BA8F9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上缴上级支出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D364A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经营支出</w:t>
            </w:r>
          </w:p>
        </w:tc>
        <w:tc>
          <w:tcPr>
            <w:tcW w:w="233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4F0F0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对附属单位补助支出</w:t>
            </w:r>
          </w:p>
        </w:tc>
      </w:tr>
      <w:tr w14:paraId="2AFF8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0D533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科目代码</w:t>
            </w:r>
          </w:p>
        </w:tc>
        <w:tc>
          <w:tcPr>
            <w:tcW w:w="3912"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D0F6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科目名称</w:t>
            </w: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D4FB68D">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22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A94DDB7">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3F1D9F5">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7D88F7A">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F2EA20C">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233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C3480F9">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r>
      <w:tr w14:paraId="3B8E3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3C4B84A">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3912"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0DBB25">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C06C605">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22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41B75B7">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498A28F">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719C340">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A12AD03">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233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5ECA9CA">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r>
      <w:tr w14:paraId="7A48E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CAF157C">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3912"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6A36FE">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3CB15F9">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22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1FBE64A">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45299B8">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27EBC39">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ED2A70">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233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A441528">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r>
      <w:tr w14:paraId="06E89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12"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5103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0AECDB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1225"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019CF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5EABFA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367DCE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27326F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w:t>
            </w:r>
          </w:p>
        </w:tc>
        <w:tc>
          <w:tcPr>
            <w:tcW w:w="2333"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C552E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6</w:t>
            </w:r>
          </w:p>
        </w:tc>
      </w:tr>
      <w:tr w14:paraId="73DF9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12"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DE8A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合计</w:t>
            </w:r>
          </w:p>
        </w:tc>
        <w:tc>
          <w:tcPr>
            <w:tcW w:w="0" w:type="auto"/>
            <w:tcBorders>
              <w:top w:val="nil"/>
              <w:left w:val="nil"/>
              <w:bottom w:val="nil"/>
              <w:right w:val="nil"/>
            </w:tcBorders>
            <w:shd w:val="clear"/>
            <w:noWrap/>
            <w:vAlign w:val="center"/>
          </w:tcPr>
          <w:p w14:paraId="412BBE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288.15 </w:t>
            </w:r>
          </w:p>
        </w:tc>
        <w:tc>
          <w:tcPr>
            <w:tcW w:w="1225" w:type="dxa"/>
            <w:tcBorders>
              <w:top w:val="nil"/>
              <w:left w:val="nil"/>
              <w:bottom w:val="nil"/>
              <w:right w:val="nil"/>
            </w:tcBorders>
            <w:shd w:val="clear"/>
            <w:noWrap/>
            <w:vAlign w:val="center"/>
          </w:tcPr>
          <w:p w14:paraId="38D863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244.66 </w:t>
            </w:r>
          </w:p>
        </w:tc>
        <w:tc>
          <w:tcPr>
            <w:tcW w:w="0" w:type="auto"/>
            <w:tcBorders>
              <w:top w:val="nil"/>
              <w:left w:val="nil"/>
              <w:bottom w:val="nil"/>
              <w:right w:val="nil"/>
            </w:tcBorders>
            <w:shd w:val="clear"/>
            <w:noWrap/>
            <w:vAlign w:val="center"/>
          </w:tcPr>
          <w:p w14:paraId="34E2EE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43.49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62312FF">
            <w:pPr>
              <w:snapToGrid w:val="0"/>
              <w:ind w:left="0" w:leftChars="0" w:right="0" w:rightChars="0" w:firstLine="0" w:firstLineChars="0"/>
              <w:jc w:val="center"/>
              <w:rPr>
                <w:rFonts w:hint="eastAsia" w:ascii="宋体" w:hAnsi="宋体" w:eastAsia="宋体" w:cs="宋体"/>
                <w:b/>
                <w:bCs/>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4E10048">
            <w:pPr>
              <w:snapToGrid w:val="0"/>
              <w:ind w:left="0" w:leftChars="0" w:right="0" w:rightChars="0" w:firstLine="0" w:firstLineChars="0"/>
              <w:jc w:val="right"/>
              <w:rPr>
                <w:rFonts w:hint="eastAsia" w:ascii="宋体" w:hAnsi="宋体" w:eastAsia="宋体" w:cs="宋体"/>
                <w:b/>
                <w:bCs/>
                <w:i w:val="0"/>
                <w:iCs w:val="0"/>
                <w:color w:val="auto"/>
                <w:sz w:val="22"/>
                <w:szCs w:val="22"/>
                <w:u w:val="none"/>
              </w:rPr>
            </w:pPr>
          </w:p>
        </w:tc>
        <w:tc>
          <w:tcPr>
            <w:tcW w:w="233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04B835F">
            <w:pPr>
              <w:snapToGrid w:val="0"/>
              <w:ind w:left="0" w:leftChars="0" w:right="0" w:rightChars="0" w:firstLine="0" w:firstLineChars="0"/>
              <w:jc w:val="center"/>
              <w:rPr>
                <w:rFonts w:hint="eastAsia" w:ascii="宋体" w:hAnsi="宋体" w:eastAsia="宋体" w:cs="宋体"/>
                <w:b/>
                <w:bCs/>
                <w:i w:val="0"/>
                <w:iCs w:val="0"/>
                <w:color w:val="auto"/>
                <w:sz w:val="22"/>
                <w:szCs w:val="22"/>
                <w:u w:val="none"/>
              </w:rPr>
            </w:pPr>
          </w:p>
        </w:tc>
      </w:tr>
      <w:tr w14:paraId="7A19C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69CE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2019999</w:t>
            </w:r>
          </w:p>
        </w:tc>
        <w:tc>
          <w:tcPr>
            <w:tcW w:w="3912" w:type="dxa"/>
            <w:tcBorders>
              <w:top w:val="single" w:color="D4D4D4" w:sz="4" w:space="0"/>
              <w:left w:val="single" w:color="D4D4D4" w:sz="4" w:space="0"/>
              <w:bottom w:val="single" w:color="D4D4D4" w:sz="4" w:space="0"/>
              <w:right w:val="single" w:color="D4D4D4" w:sz="4" w:space="0"/>
            </w:tcBorders>
            <w:shd w:val="clear"/>
            <w:noWrap/>
            <w:vAlign w:val="center"/>
          </w:tcPr>
          <w:p w14:paraId="44FFC8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其他一般公共服务支出</w:t>
            </w:r>
          </w:p>
        </w:tc>
        <w:tc>
          <w:tcPr>
            <w:tcW w:w="0" w:type="auto"/>
            <w:tcBorders>
              <w:top w:val="nil"/>
              <w:left w:val="nil"/>
              <w:bottom w:val="nil"/>
              <w:right w:val="nil"/>
            </w:tcBorders>
            <w:shd w:val="clear"/>
            <w:noWrap/>
            <w:vAlign w:val="center"/>
          </w:tcPr>
          <w:p w14:paraId="09F64E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20.86 </w:t>
            </w:r>
          </w:p>
        </w:tc>
        <w:tc>
          <w:tcPr>
            <w:tcW w:w="1225" w:type="dxa"/>
            <w:tcBorders>
              <w:top w:val="nil"/>
              <w:left w:val="nil"/>
              <w:bottom w:val="nil"/>
              <w:right w:val="nil"/>
            </w:tcBorders>
            <w:shd w:val="clear"/>
            <w:noWrap/>
            <w:vAlign w:val="center"/>
          </w:tcPr>
          <w:p w14:paraId="63E8E1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12.86 </w:t>
            </w:r>
          </w:p>
        </w:tc>
        <w:tc>
          <w:tcPr>
            <w:tcW w:w="0" w:type="auto"/>
            <w:tcBorders>
              <w:top w:val="nil"/>
              <w:left w:val="nil"/>
              <w:bottom w:val="nil"/>
              <w:right w:val="nil"/>
            </w:tcBorders>
            <w:shd w:val="clear"/>
            <w:noWrap/>
            <w:vAlign w:val="center"/>
          </w:tcPr>
          <w:p w14:paraId="7CF964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8.00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7DD9271">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46D9EB">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233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5CD4DB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062DB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012A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2080505</w:t>
            </w:r>
          </w:p>
        </w:tc>
        <w:tc>
          <w:tcPr>
            <w:tcW w:w="3912" w:type="dxa"/>
            <w:tcBorders>
              <w:top w:val="single" w:color="D4D4D4" w:sz="4" w:space="0"/>
              <w:left w:val="single" w:color="D4D4D4" w:sz="4" w:space="0"/>
              <w:bottom w:val="single" w:color="D4D4D4" w:sz="4" w:space="0"/>
              <w:right w:val="single" w:color="D4D4D4" w:sz="4" w:space="0"/>
            </w:tcBorders>
            <w:shd w:val="clear"/>
            <w:noWrap/>
            <w:vAlign w:val="center"/>
          </w:tcPr>
          <w:p w14:paraId="144A44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机关事业单位基本养老保险缴费支出</w:t>
            </w:r>
          </w:p>
        </w:tc>
        <w:tc>
          <w:tcPr>
            <w:tcW w:w="0" w:type="auto"/>
            <w:tcBorders>
              <w:top w:val="nil"/>
              <w:left w:val="nil"/>
              <w:bottom w:val="nil"/>
              <w:right w:val="nil"/>
            </w:tcBorders>
            <w:shd w:val="clear"/>
            <w:noWrap/>
            <w:vAlign w:val="center"/>
          </w:tcPr>
          <w:p w14:paraId="3BB3BD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20.84 </w:t>
            </w:r>
          </w:p>
        </w:tc>
        <w:tc>
          <w:tcPr>
            <w:tcW w:w="1225" w:type="dxa"/>
            <w:tcBorders>
              <w:top w:val="nil"/>
              <w:left w:val="nil"/>
              <w:bottom w:val="nil"/>
              <w:right w:val="nil"/>
            </w:tcBorders>
            <w:shd w:val="clear"/>
            <w:noWrap/>
            <w:vAlign w:val="center"/>
          </w:tcPr>
          <w:p w14:paraId="4CF95A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20.84 </w:t>
            </w:r>
          </w:p>
        </w:tc>
        <w:tc>
          <w:tcPr>
            <w:tcW w:w="0" w:type="auto"/>
            <w:tcBorders>
              <w:top w:val="nil"/>
              <w:left w:val="nil"/>
              <w:bottom w:val="nil"/>
              <w:right w:val="nil"/>
            </w:tcBorders>
            <w:shd w:val="clear"/>
            <w:noWrap/>
            <w:vAlign w:val="center"/>
          </w:tcPr>
          <w:p w14:paraId="636155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91295A6">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0F8E51">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233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BC0E9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50BC4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749E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2101101</w:t>
            </w:r>
          </w:p>
        </w:tc>
        <w:tc>
          <w:tcPr>
            <w:tcW w:w="3912" w:type="dxa"/>
            <w:tcBorders>
              <w:top w:val="single" w:color="D4D4D4" w:sz="4" w:space="0"/>
              <w:left w:val="single" w:color="D4D4D4" w:sz="4" w:space="0"/>
              <w:bottom w:val="single" w:color="D4D4D4" w:sz="4" w:space="0"/>
              <w:right w:val="single" w:color="D4D4D4" w:sz="4" w:space="0"/>
            </w:tcBorders>
            <w:shd w:val="clear"/>
            <w:noWrap/>
            <w:vAlign w:val="center"/>
          </w:tcPr>
          <w:p w14:paraId="072E10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行政单位医疗</w:t>
            </w:r>
          </w:p>
        </w:tc>
        <w:tc>
          <w:tcPr>
            <w:tcW w:w="0" w:type="auto"/>
            <w:tcBorders>
              <w:top w:val="nil"/>
              <w:left w:val="nil"/>
              <w:bottom w:val="nil"/>
              <w:right w:val="nil"/>
            </w:tcBorders>
            <w:shd w:val="clear"/>
            <w:noWrap/>
            <w:vAlign w:val="center"/>
          </w:tcPr>
          <w:p w14:paraId="3AA637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8.34 </w:t>
            </w:r>
          </w:p>
        </w:tc>
        <w:tc>
          <w:tcPr>
            <w:tcW w:w="1225" w:type="dxa"/>
            <w:tcBorders>
              <w:top w:val="nil"/>
              <w:left w:val="nil"/>
              <w:bottom w:val="nil"/>
              <w:right w:val="nil"/>
            </w:tcBorders>
            <w:shd w:val="clear"/>
            <w:noWrap/>
            <w:vAlign w:val="center"/>
          </w:tcPr>
          <w:p w14:paraId="22E5CC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8.34 </w:t>
            </w:r>
          </w:p>
        </w:tc>
        <w:tc>
          <w:tcPr>
            <w:tcW w:w="0" w:type="auto"/>
            <w:tcBorders>
              <w:top w:val="nil"/>
              <w:left w:val="nil"/>
              <w:bottom w:val="nil"/>
              <w:right w:val="nil"/>
            </w:tcBorders>
            <w:shd w:val="clear"/>
            <w:noWrap/>
            <w:vAlign w:val="center"/>
          </w:tcPr>
          <w:p w14:paraId="6E7C6E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CA7A44">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63816F7">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233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CA02E1F">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4C923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BFA2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2130104</w:t>
            </w:r>
          </w:p>
        </w:tc>
        <w:tc>
          <w:tcPr>
            <w:tcW w:w="3912" w:type="dxa"/>
            <w:tcBorders>
              <w:top w:val="single" w:color="D4D4D4" w:sz="4" w:space="0"/>
              <w:left w:val="single" w:color="D4D4D4" w:sz="4" w:space="0"/>
              <w:bottom w:val="single" w:color="D4D4D4" w:sz="4" w:space="0"/>
              <w:right w:val="single" w:color="D4D4D4" w:sz="4" w:space="0"/>
            </w:tcBorders>
            <w:shd w:val="clear"/>
            <w:noWrap/>
            <w:vAlign w:val="center"/>
          </w:tcPr>
          <w:p w14:paraId="0E67DE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事业运行</w:t>
            </w:r>
          </w:p>
        </w:tc>
        <w:tc>
          <w:tcPr>
            <w:tcW w:w="0" w:type="auto"/>
            <w:tcBorders>
              <w:top w:val="nil"/>
              <w:left w:val="nil"/>
              <w:bottom w:val="nil"/>
              <w:right w:val="nil"/>
            </w:tcBorders>
            <w:shd w:val="clear"/>
            <w:noWrap/>
            <w:vAlign w:val="center"/>
          </w:tcPr>
          <w:p w14:paraId="03DCBB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200.98 </w:t>
            </w:r>
          </w:p>
        </w:tc>
        <w:tc>
          <w:tcPr>
            <w:tcW w:w="1225" w:type="dxa"/>
            <w:tcBorders>
              <w:top w:val="nil"/>
              <w:left w:val="nil"/>
              <w:bottom w:val="nil"/>
              <w:right w:val="nil"/>
            </w:tcBorders>
            <w:shd w:val="clear"/>
            <w:noWrap/>
            <w:vAlign w:val="center"/>
          </w:tcPr>
          <w:p w14:paraId="683B82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200.98 </w:t>
            </w:r>
          </w:p>
        </w:tc>
        <w:tc>
          <w:tcPr>
            <w:tcW w:w="0" w:type="auto"/>
            <w:tcBorders>
              <w:top w:val="nil"/>
              <w:left w:val="nil"/>
              <w:bottom w:val="nil"/>
              <w:right w:val="nil"/>
            </w:tcBorders>
            <w:shd w:val="clear"/>
            <w:noWrap/>
            <w:vAlign w:val="center"/>
          </w:tcPr>
          <w:p w14:paraId="40FFF8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75AD2E">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99664C">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233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6D6D5C7">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4F7E0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B7DD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2130106</w:t>
            </w:r>
          </w:p>
        </w:tc>
        <w:tc>
          <w:tcPr>
            <w:tcW w:w="3912" w:type="dxa"/>
            <w:tcBorders>
              <w:top w:val="single" w:color="D4D4D4" w:sz="4" w:space="0"/>
              <w:left w:val="single" w:color="D4D4D4" w:sz="4" w:space="0"/>
              <w:bottom w:val="single" w:color="D4D4D4" w:sz="4" w:space="0"/>
              <w:right w:val="single" w:color="D4D4D4" w:sz="4" w:space="0"/>
            </w:tcBorders>
            <w:shd w:val="clear"/>
            <w:noWrap/>
            <w:vAlign w:val="center"/>
          </w:tcPr>
          <w:p w14:paraId="1F9B38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科技转化与推广服务</w:t>
            </w:r>
          </w:p>
        </w:tc>
        <w:tc>
          <w:tcPr>
            <w:tcW w:w="0" w:type="auto"/>
            <w:tcBorders>
              <w:top w:val="nil"/>
              <w:left w:val="nil"/>
              <w:bottom w:val="nil"/>
              <w:right w:val="nil"/>
            </w:tcBorders>
            <w:shd w:val="clear"/>
            <w:noWrap/>
            <w:vAlign w:val="center"/>
          </w:tcPr>
          <w:p w14:paraId="7DA49E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25.49 </w:t>
            </w:r>
          </w:p>
        </w:tc>
        <w:tc>
          <w:tcPr>
            <w:tcW w:w="1225" w:type="dxa"/>
            <w:tcBorders>
              <w:top w:val="nil"/>
              <w:left w:val="nil"/>
              <w:bottom w:val="nil"/>
              <w:right w:val="nil"/>
            </w:tcBorders>
            <w:shd w:val="clear"/>
            <w:noWrap/>
            <w:vAlign w:val="center"/>
          </w:tcPr>
          <w:p w14:paraId="270230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0" w:type="auto"/>
            <w:tcBorders>
              <w:top w:val="nil"/>
              <w:left w:val="nil"/>
              <w:bottom w:val="nil"/>
              <w:right w:val="nil"/>
            </w:tcBorders>
            <w:shd w:val="clear"/>
            <w:noWrap/>
            <w:vAlign w:val="center"/>
          </w:tcPr>
          <w:p w14:paraId="06113D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25.49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23100EB">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438609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233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FBB5CA">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429D9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8FD6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2130199</w:t>
            </w:r>
          </w:p>
        </w:tc>
        <w:tc>
          <w:tcPr>
            <w:tcW w:w="3912" w:type="dxa"/>
            <w:tcBorders>
              <w:top w:val="single" w:color="D4D4D4" w:sz="4" w:space="0"/>
              <w:left w:val="single" w:color="D4D4D4" w:sz="4" w:space="0"/>
              <w:bottom w:val="single" w:color="D4D4D4" w:sz="4" w:space="0"/>
              <w:right w:val="single" w:color="D4D4D4" w:sz="4" w:space="0"/>
            </w:tcBorders>
            <w:shd w:val="clear"/>
            <w:noWrap/>
            <w:vAlign w:val="center"/>
          </w:tcPr>
          <w:p w14:paraId="2F2124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其他农业农村支出</w:t>
            </w:r>
          </w:p>
        </w:tc>
        <w:tc>
          <w:tcPr>
            <w:tcW w:w="0" w:type="auto"/>
            <w:tcBorders>
              <w:top w:val="nil"/>
              <w:left w:val="nil"/>
              <w:bottom w:val="nil"/>
              <w:right w:val="nil"/>
            </w:tcBorders>
            <w:shd w:val="clear"/>
            <w:noWrap/>
            <w:vAlign w:val="center"/>
          </w:tcPr>
          <w:p w14:paraId="412097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10.00 </w:t>
            </w:r>
          </w:p>
        </w:tc>
        <w:tc>
          <w:tcPr>
            <w:tcW w:w="1225" w:type="dxa"/>
            <w:tcBorders>
              <w:top w:val="nil"/>
              <w:left w:val="nil"/>
              <w:bottom w:val="nil"/>
              <w:right w:val="nil"/>
            </w:tcBorders>
            <w:shd w:val="clear"/>
            <w:noWrap/>
            <w:vAlign w:val="center"/>
          </w:tcPr>
          <w:p w14:paraId="2E8980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0" w:type="auto"/>
            <w:tcBorders>
              <w:top w:val="nil"/>
              <w:left w:val="nil"/>
              <w:bottom w:val="nil"/>
              <w:right w:val="nil"/>
            </w:tcBorders>
            <w:shd w:val="clear"/>
            <w:noWrap/>
            <w:vAlign w:val="center"/>
          </w:tcPr>
          <w:p w14:paraId="6757AC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10.00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B75282">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1CC4D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233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C19AD6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5700A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3" w:type="dxa"/>
            <w:tcBorders>
              <w:top w:val="single" w:color="D4D4D4" w:sz="4" w:space="0"/>
              <w:left w:val="single" w:color="D4D4D4" w:sz="4" w:space="0"/>
              <w:bottom w:val="single" w:color="D4D4D4" w:sz="4" w:space="0"/>
              <w:right w:val="single" w:color="D4D4D4" w:sz="4" w:space="0"/>
            </w:tcBorders>
            <w:shd w:val="clear"/>
            <w:noWrap/>
            <w:vAlign w:val="center"/>
          </w:tcPr>
          <w:p w14:paraId="1DFD90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2210201</w:t>
            </w:r>
          </w:p>
        </w:tc>
        <w:tc>
          <w:tcPr>
            <w:tcW w:w="3912" w:type="dxa"/>
            <w:tcBorders>
              <w:top w:val="single" w:color="D4D4D4" w:sz="4" w:space="0"/>
              <w:left w:val="single" w:color="D4D4D4" w:sz="4" w:space="0"/>
              <w:bottom w:val="single" w:color="D4D4D4" w:sz="4" w:space="0"/>
              <w:right w:val="single" w:color="D4D4D4" w:sz="4" w:space="0"/>
            </w:tcBorders>
            <w:shd w:val="clear"/>
            <w:noWrap/>
            <w:vAlign w:val="center"/>
          </w:tcPr>
          <w:p w14:paraId="3DA8DF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住房公积金</w:t>
            </w:r>
          </w:p>
        </w:tc>
        <w:tc>
          <w:tcPr>
            <w:tcW w:w="1630" w:type="dxa"/>
            <w:tcBorders>
              <w:top w:val="nil"/>
              <w:left w:val="nil"/>
              <w:bottom w:val="nil"/>
              <w:right w:val="nil"/>
            </w:tcBorders>
            <w:shd w:val="clear"/>
            <w:noWrap/>
            <w:vAlign w:val="center"/>
          </w:tcPr>
          <w:p w14:paraId="10DC7E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1.65 </w:t>
            </w:r>
          </w:p>
        </w:tc>
        <w:tc>
          <w:tcPr>
            <w:tcW w:w="1225" w:type="dxa"/>
            <w:tcBorders>
              <w:top w:val="nil"/>
              <w:left w:val="nil"/>
              <w:bottom w:val="nil"/>
              <w:right w:val="nil"/>
            </w:tcBorders>
            <w:shd w:val="clear"/>
            <w:noWrap/>
            <w:vAlign w:val="center"/>
          </w:tcPr>
          <w:p w14:paraId="7AA86C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1.65 </w:t>
            </w:r>
          </w:p>
        </w:tc>
        <w:tc>
          <w:tcPr>
            <w:tcW w:w="1163" w:type="dxa"/>
            <w:tcBorders>
              <w:top w:val="nil"/>
              <w:left w:val="nil"/>
              <w:bottom w:val="nil"/>
              <w:right w:val="nil"/>
            </w:tcBorders>
            <w:shd w:val="clear"/>
            <w:noWrap/>
            <w:vAlign w:val="center"/>
          </w:tcPr>
          <w:p w14:paraId="263846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163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55959B">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116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029504F">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233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E9A2308">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bl>
    <w:p w14:paraId="0AC51C7E">
      <w:pPr>
        <w:widowControl/>
        <w:spacing w:before="120"/>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注：本表反映部门本年度各项支出情况。</w:t>
      </w:r>
      <w:bookmarkStart w:id="4" w:name="RANGE!A1:I22"/>
      <w:bookmarkEnd w:id="4"/>
      <w:bookmarkStart w:id="5" w:name="RANGE!A1:F16"/>
    </w:p>
    <w:p w14:paraId="76A359F7">
      <w:pP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br w:type="page"/>
      </w:r>
    </w:p>
    <w:p w14:paraId="36FA484C">
      <w:pPr>
        <w:widowControl/>
        <w:spacing w:after="156" w:afterLines="50"/>
        <w:jc w:val="center"/>
        <w:textAlignment w:val="center"/>
        <w:rPr>
          <w:rFonts w:ascii="Times New Roman" w:hAnsi="Times New Roman" w:eastAsia="黑体" w:cs="Times New Roman"/>
          <w:color w:val="auto"/>
          <w:kern w:val="0"/>
          <w:sz w:val="36"/>
          <w:szCs w:val="36"/>
        </w:rPr>
      </w:pPr>
      <w:r>
        <w:rPr>
          <w:rFonts w:ascii="Times New Roman" w:hAnsi="Times New Roman" w:eastAsia="黑体" w:cs="Times New Roman"/>
          <w:color w:val="auto"/>
          <w:kern w:val="0"/>
          <w:sz w:val="36"/>
          <w:szCs w:val="36"/>
        </w:rPr>
        <w:t>财政拨款收入支出决算总表</w:t>
      </w:r>
    </w:p>
    <w:p w14:paraId="60F4FEC6">
      <w:pPr>
        <w:widowControl/>
        <w:tabs>
          <w:tab w:val="left" w:pos="3595"/>
          <w:tab w:val="left" w:pos="4031"/>
          <w:tab w:val="left" w:pos="5109"/>
          <w:tab w:val="left" w:pos="9152"/>
          <w:tab w:val="left" w:pos="9587"/>
          <w:tab w:val="left" w:pos="11160"/>
          <w:tab w:val="left" w:pos="12554"/>
          <w:tab w:val="left" w:pos="13948"/>
        </w:tabs>
        <w:jc w:val="right"/>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0"/>
          <w:szCs w:val="20"/>
        </w:rPr>
        <w:t xml:space="preserve">                                                                                                                  公开04表</w:t>
      </w:r>
    </w:p>
    <w:p w14:paraId="5AE1998C">
      <w:pPr>
        <w:widowControl/>
        <w:tabs>
          <w:tab w:val="left" w:pos="3595"/>
          <w:tab w:val="left" w:pos="4031"/>
          <w:tab w:val="left" w:pos="5109"/>
          <w:tab w:val="left" w:pos="9152"/>
          <w:tab w:val="left" w:pos="9587"/>
          <w:tab w:val="left" w:pos="11160"/>
          <w:tab w:val="left" w:pos="12554"/>
          <w:tab w:val="left" w:pos="13948"/>
        </w:tabs>
        <w:jc w:val="left"/>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0"/>
          <w:szCs w:val="20"/>
        </w:rPr>
        <w:t>部门：</w:t>
      </w:r>
      <w:r>
        <w:rPr>
          <w:rFonts w:hint="eastAsia" w:ascii="Times New Roman" w:hAnsi="Times New Roman" w:eastAsia="仿宋_GB2312" w:cs="Times New Roman"/>
          <w:color w:val="auto"/>
          <w:kern w:val="0"/>
          <w:sz w:val="20"/>
          <w:szCs w:val="20"/>
          <w:lang w:eastAsia="zh-CN"/>
        </w:rPr>
        <w:t>怀化市农业科技教育促进中心</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hint="eastAsia" w:ascii="Times New Roman" w:hAnsi="Times New Roman" w:eastAsia="仿宋_GB2312" w:cs="Times New Roman"/>
          <w:color w:val="auto"/>
          <w:kern w:val="0"/>
          <w:sz w:val="24"/>
          <w:szCs w:val="24"/>
          <w:lang w:val="en-US" w:eastAsia="zh-CN"/>
        </w:rPr>
        <w:t xml:space="preserve">                           </w:t>
      </w:r>
      <w:r>
        <w:rPr>
          <w:rFonts w:ascii="Times New Roman" w:hAnsi="Times New Roman" w:eastAsia="仿宋_GB2312" w:cs="Times New Roman"/>
          <w:color w:val="auto"/>
          <w:kern w:val="0"/>
          <w:sz w:val="20"/>
          <w:szCs w:val="20"/>
        </w:rPr>
        <w:t>单位：万元</w:t>
      </w:r>
    </w:p>
    <w:tbl>
      <w:tblPr>
        <w:tblW w:w="147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216"/>
        <w:gridCol w:w="534"/>
        <w:gridCol w:w="1111"/>
        <w:gridCol w:w="3216"/>
        <w:gridCol w:w="676"/>
        <w:gridCol w:w="1111"/>
        <w:gridCol w:w="1559"/>
        <w:gridCol w:w="1606"/>
        <w:gridCol w:w="1716"/>
      </w:tblGrid>
      <w:tr w14:paraId="2EB15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1111"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67EC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收入</w:t>
            </w:r>
          </w:p>
        </w:tc>
        <w:tc>
          <w:tcPr>
            <w:tcW w:w="1559"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2321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支出</w:t>
            </w:r>
          </w:p>
        </w:tc>
      </w:tr>
      <w:tr w14:paraId="2B28E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6FAD0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A3EEC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行次</w:t>
            </w:r>
          </w:p>
        </w:tc>
        <w:tc>
          <w:tcPr>
            <w:tcW w:w="111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A6277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金额</w:t>
            </w:r>
          </w:p>
        </w:tc>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6E7B0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EEAB0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行次</w:t>
            </w:r>
          </w:p>
        </w:tc>
        <w:tc>
          <w:tcPr>
            <w:tcW w:w="1111"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57BC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合计</w:t>
            </w:r>
          </w:p>
        </w:tc>
        <w:tc>
          <w:tcPr>
            <w:tcW w:w="15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2CCE0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一般公共预算财政拨款</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BB4B5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政府性基金预算财政拨款</w:t>
            </w:r>
          </w:p>
        </w:tc>
        <w:tc>
          <w:tcPr>
            <w:tcW w:w="17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CF9B4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国有资本经营预算财政拨款</w:t>
            </w:r>
          </w:p>
        </w:tc>
      </w:tr>
      <w:tr w14:paraId="64EB5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2E25C9B">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20AA1C7">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11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9B78762">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591E0E1">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208D291">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111"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D159F7">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5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28E9AC3">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EB0CCDE">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7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360F8DA">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r>
      <w:tr w14:paraId="06379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F873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E50CA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11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46D6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5140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0C324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11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89EE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w:t>
            </w:r>
          </w:p>
        </w:tc>
        <w:tc>
          <w:tcPr>
            <w:tcW w:w="155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DE2E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16B2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w:t>
            </w:r>
          </w:p>
        </w:tc>
        <w:tc>
          <w:tcPr>
            <w:tcW w:w="17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65F8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w:t>
            </w:r>
          </w:p>
        </w:tc>
      </w:tr>
      <w:tr w14:paraId="433B2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7E3F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2B50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1111" w:type="dxa"/>
            <w:tcBorders>
              <w:top w:val="nil"/>
              <w:left w:val="nil"/>
              <w:bottom w:val="nil"/>
              <w:right w:val="nil"/>
            </w:tcBorders>
            <w:shd w:val="clear"/>
            <w:noWrap/>
            <w:vAlign w:val="center"/>
          </w:tcPr>
          <w:p w14:paraId="7A36C0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288.15 </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FD21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EF44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33</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7E3F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20.86 </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D8F83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20.86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1C6934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DA7DC5">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49BE7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F7DE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3A49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51DBFE">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AD54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8BF6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34</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C40D47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EEEE88">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BA1323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954B4C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6559C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8416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A0C6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AFFD636">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E0D8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621A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35</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7E692F6">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923698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AD56628">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FBE99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62C86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2FC3AC">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A691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B56701B">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1A1F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ECEE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36</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18B0B15">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B45F661">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81E796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0127F2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494FE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BBDD2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6F26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0C62418">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FF9A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9382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37</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9F54A4B">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0C6205">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637706">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272F17">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3EBD7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12CCFC">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8516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6</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BE0ECFB">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8954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2E37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38</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2BC470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317A57">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236F9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D9AC088">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5F051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7DE07C">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AD7E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7</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7A05F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5AFA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A159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39</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E0C406E">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CAE758">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D75D751">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B995D57">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28330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824DD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E132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8</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C6160F">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17DC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FC1C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40</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2B8C2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20.84 </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CF0FB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20.84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4FE329A">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513268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6771D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602F41">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58E2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9</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A11FF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9CB3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12B8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41</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3DA2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8.34 </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FAD9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8.34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A44B1DD">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62E4E75">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763B3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4FCBC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B9B2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10</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735FE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FABB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0938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42</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349D9FF">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698BCA1">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88C82F">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A7FE3A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65E9C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49187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D8E8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11</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050BDB7">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7ADE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F328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43</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F5FC54F">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D93CE1">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66A32A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87FEA13">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65CB3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E3CF3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E2A6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12</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8AF804C">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F08D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165F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44</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95103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236.47 </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49316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236.47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93210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A1F97E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2BB10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07930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FE79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13</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7DD7033">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472A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AE6D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45</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F9A8ABD">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F08BC51">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AAC443">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F40EE4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3223D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7D3DE1">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EA54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14</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308D6A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0BBD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98C6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46</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3C7B233">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26F1381">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849F5EF">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55643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214FB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F6037F">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8005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15</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307AF6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6E60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7BEB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47</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A524AF8">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BC7634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129445">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70BA95">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34FD3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E4C011">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CDE0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16</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2EB1B7A">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AE7D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09A2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48</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9FBAA8">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1FF376">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DC00DB">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C4F2E2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02E4D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1AF4D8">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D94A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17</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DBCA87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3568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901A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49</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3FADFE">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017023D">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F0DAB78">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45D4E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76CEA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9383B7">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3C8F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18</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31FC79E">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02AC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5B06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50</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86569F">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BFC6D3C">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027F866">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23EBD3">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1B474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4B1C31">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42DC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19</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856594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5B49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71D7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51</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FC2C2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1.65 </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3696B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1.65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2A862C6">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AF9C74A">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47735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7E8536">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B82D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F0416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BBB9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3DFF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52</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5916916">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18FE5F">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25E3F3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0F33DF7">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72C85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D1ACD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A3B1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96975A8">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32D8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1CE8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53</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7FCABA">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35E552F">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17A9C6">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127345B">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7E8B5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96A447">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7ECA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22</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CFA50E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C1AA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2ACD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54</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7CCC07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F353D43">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E608F7E">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B7CDB8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24C18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04A387">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2D5A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23</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99AE2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A294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380B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55</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D5EB143">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30EEDD">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D7D24E">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A27CCDA">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5C795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ED0A8B">
            <w:pPr>
              <w:snapToGrid w:val="0"/>
              <w:ind w:left="0" w:leftChars="0" w:right="0" w:rightChars="0" w:firstLine="0" w:firstLineChars="0"/>
              <w:jc w:val="center"/>
              <w:rPr>
                <w:rFonts w:hint="eastAsia" w:ascii="宋体" w:hAnsi="宋体" w:eastAsia="宋体" w:cs="宋体"/>
                <w:b/>
                <w:bCs/>
                <w:i w:val="0"/>
                <w:iCs w:val="0"/>
                <w:color w:val="auto"/>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7362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24</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F9766C8">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A5EE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F85F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56</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FFA90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7776346">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AF8EDF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AFFDB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0485A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6C6569">
            <w:pPr>
              <w:snapToGrid w:val="0"/>
              <w:ind w:left="0" w:leftChars="0" w:right="0" w:rightChars="0" w:firstLine="0" w:firstLineChars="0"/>
              <w:jc w:val="center"/>
              <w:rPr>
                <w:rFonts w:hint="eastAsia" w:ascii="宋体" w:hAnsi="宋体" w:eastAsia="宋体" w:cs="宋体"/>
                <w:i w:val="0"/>
                <w:iCs w:val="0"/>
                <w:color w:val="auto"/>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F8B1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25</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BA678A">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C610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E763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57</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CC23DB3">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A1DE1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C0CCBF">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15A796">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59623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74843B">
            <w:pPr>
              <w:snapToGrid w:val="0"/>
              <w:ind w:left="0" w:leftChars="0" w:right="0" w:rightChars="0" w:firstLine="0" w:firstLineChars="0"/>
              <w:jc w:val="center"/>
              <w:rPr>
                <w:rFonts w:hint="eastAsia" w:ascii="宋体" w:hAnsi="宋体" w:eastAsia="宋体" w:cs="宋体"/>
                <w:i w:val="0"/>
                <w:iCs w:val="0"/>
                <w:color w:val="auto"/>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1BB6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26</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842EC6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F6B4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95FE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58</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ABBA4E6">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D62291A">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8A47AC">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9BEB848">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45375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C88C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19F2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27</w:t>
            </w:r>
          </w:p>
        </w:tc>
        <w:tc>
          <w:tcPr>
            <w:tcW w:w="1111" w:type="dxa"/>
            <w:tcBorders>
              <w:top w:val="nil"/>
              <w:left w:val="nil"/>
              <w:bottom w:val="nil"/>
              <w:right w:val="nil"/>
            </w:tcBorders>
            <w:shd w:val="clear"/>
            <w:noWrap/>
            <w:vAlign w:val="center"/>
          </w:tcPr>
          <w:p w14:paraId="4F4A51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288.15 </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5674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C1ED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59</w:t>
            </w:r>
          </w:p>
        </w:tc>
        <w:tc>
          <w:tcPr>
            <w:tcW w:w="1111" w:type="dxa"/>
            <w:tcBorders>
              <w:top w:val="nil"/>
              <w:left w:val="nil"/>
              <w:bottom w:val="nil"/>
              <w:right w:val="nil"/>
            </w:tcBorders>
            <w:shd w:val="clear"/>
            <w:noWrap/>
            <w:vAlign w:val="center"/>
          </w:tcPr>
          <w:p w14:paraId="457166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288.15 </w:t>
            </w:r>
          </w:p>
        </w:tc>
        <w:tc>
          <w:tcPr>
            <w:tcW w:w="1559" w:type="dxa"/>
            <w:tcBorders>
              <w:top w:val="nil"/>
              <w:left w:val="nil"/>
              <w:bottom w:val="nil"/>
              <w:right w:val="nil"/>
            </w:tcBorders>
            <w:shd w:val="clear"/>
            <w:noWrap/>
            <w:vAlign w:val="center"/>
          </w:tcPr>
          <w:p w14:paraId="1566FC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288.15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E2C245A">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E96105F">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r>
      <w:tr w14:paraId="754BC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CE6D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DB5D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28</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18A0A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8A55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423B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60</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D7D5E1">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46AA4EA">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40C42A">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A33866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6E0EE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3A71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4434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29</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DCB3D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02FD9B">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10EB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61</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02A26DE">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F8123A4">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E2E62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AA96FF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153AA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1550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D88A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B4D682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7B481F">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583E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62</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A6848E">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A88B02E">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0E9035">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FA39B0">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6A411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56A8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5569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C869C6">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261C1C">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3FEA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63</w:t>
            </w:r>
          </w:p>
        </w:tc>
        <w:tc>
          <w:tcPr>
            <w:tcW w:w="111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8A351DD">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7F735AD">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0C3579">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8C0419F">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r>
      <w:tr w14:paraId="764B4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5D4D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总计</w:t>
            </w:r>
          </w:p>
        </w:tc>
        <w:tc>
          <w:tcPr>
            <w:tcW w:w="53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6F3C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32</w:t>
            </w:r>
          </w:p>
        </w:tc>
        <w:tc>
          <w:tcPr>
            <w:tcW w:w="1111" w:type="dxa"/>
            <w:tcBorders>
              <w:top w:val="nil"/>
              <w:left w:val="nil"/>
              <w:bottom w:val="nil"/>
              <w:right w:val="nil"/>
            </w:tcBorders>
            <w:shd w:val="clear"/>
            <w:noWrap/>
            <w:vAlign w:val="center"/>
          </w:tcPr>
          <w:p w14:paraId="0FA21A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288.15 </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682B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总计</w:t>
            </w:r>
          </w:p>
        </w:tc>
        <w:tc>
          <w:tcPr>
            <w:tcW w:w="67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6E96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64</w:t>
            </w:r>
          </w:p>
        </w:tc>
        <w:tc>
          <w:tcPr>
            <w:tcW w:w="1111" w:type="dxa"/>
            <w:tcBorders>
              <w:top w:val="nil"/>
              <w:left w:val="nil"/>
              <w:bottom w:val="nil"/>
              <w:right w:val="nil"/>
            </w:tcBorders>
            <w:shd w:val="clear"/>
            <w:noWrap/>
            <w:vAlign w:val="center"/>
          </w:tcPr>
          <w:p w14:paraId="572CC4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288.15 </w:t>
            </w:r>
          </w:p>
        </w:tc>
        <w:tc>
          <w:tcPr>
            <w:tcW w:w="1559" w:type="dxa"/>
            <w:tcBorders>
              <w:top w:val="nil"/>
              <w:left w:val="nil"/>
              <w:bottom w:val="nil"/>
              <w:right w:val="nil"/>
            </w:tcBorders>
            <w:shd w:val="clear"/>
            <w:noWrap/>
            <w:vAlign w:val="center"/>
          </w:tcPr>
          <w:p w14:paraId="4956FC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288.15 </w:t>
            </w:r>
          </w:p>
        </w:tc>
        <w:tc>
          <w:tcPr>
            <w:tcW w:w="160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243EEEE">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71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881D799">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r>
    </w:tbl>
    <w:p w14:paraId="48826C0B">
      <w:pPr>
        <w:widowControl/>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注：</w:t>
      </w:r>
      <w:r>
        <w:rPr>
          <w:rFonts w:ascii="Times New Roman" w:hAnsi="Times New Roman" w:eastAsia="仿宋_GB2312" w:cs="Times New Roman"/>
          <w:color w:val="auto"/>
          <w:spacing w:val="-6"/>
          <w:kern w:val="0"/>
          <w:sz w:val="24"/>
          <w:szCs w:val="24"/>
        </w:rPr>
        <w:t>本表反映部门本年度一般公共预算财政拨款、政府性基金预算财政拨款和国有资本经营预算财政拨款的总收支和年末结转结余情况。</w:t>
      </w:r>
    </w:p>
    <w:p w14:paraId="47FA1417">
      <w:pPr>
        <w:widowControl/>
        <w:jc w:val="center"/>
        <w:rPr>
          <w:rFonts w:ascii="Times New Roman" w:hAnsi="Times New Roman" w:eastAsia="方正小标宋_GBK" w:cs="Times New Roman"/>
          <w:color w:val="auto"/>
          <w:kern w:val="0"/>
          <w:sz w:val="36"/>
          <w:szCs w:val="36"/>
        </w:rPr>
      </w:pPr>
    </w:p>
    <w:p w14:paraId="750B3054">
      <w:pPr>
        <w:rPr>
          <w:rFonts w:ascii="Times New Roman" w:hAnsi="Times New Roman" w:eastAsia="黑体" w:cs="Times New Roman"/>
          <w:color w:val="auto"/>
          <w:kern w:val="0"/>
          <w:sz w:val="36"/>
          <w:szCs w:val="36"/>
        </w:rPr>
      </w:pPr>
      <w:r>
        <w:rPr>
          <w:rFonts w:ascii="Times New Roman" w:hAnsi="Times New Roman" w:eastAsia="黑体" w:cs="Times New Roman"/>
          <w:color w:val="auto"/>
          <w:kern w:val="0"/>
          <w:sz w:val="36"/>
          <w:szCs w:val="36"/>
        </w:rPr>
        <w:br w:type="page"/>
      </w:r>
    </w:p>
    <w:p w14:paraId="2EEFF5F3">
      <w:pPr>
        <w:widowControl/>
        <w:spacing w:after="156" w:afterLines="50"/>
        <w:jc w:val="center"/>
        <w:textAlignment w:val="center"/>
        <w:rPr>
          <w:rFonts w:ascii="Times New Roman" w:hAnsi="Times New Roman" w:eastAsia="黑体" w:cs="Times New Roman"/>
          <w:color w:val="auto"/>
          <w:kern w:val="0"/>
          <w:sz w:val="36"/>
          <w:szCs w:val="36"/>
        </w:rPr>
      </w:pPr>
      <w:r>
        <w:rPr>
          <w:rFonts w:ascii="Times New Roman" w:hAnsi="Times New Roman" w:eastAsia="黑体" w:cs="Times New Roman"/>
          <w:color w:val="auto"/>
          <w:kern w:val="0"/>
          <w:sz w:val="36"/>
          <w:szCs w:val="36"/>
        </w:rPr>
        <w:t>一般公共预算财政拨款支出决算表</w:t>
      </w:r>
      <w:bookmarkEnd w:id="5"/>
    </w:p>
    <w:p w14:paraId="1B11E3C0">
      <w:pPr>
        <w:widowControl/>
        <w:spacing w:before="156" w:beforeLines="50"/>
        <w:jc w:val="righ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xml:space="preserve">     </w:t>
      </w:r>
      <w:r>
        <w:rPr>
          <w:rFonts w:hint="eastAsia" w:ascii="Times New Roman" w:hAnsi="Times New Roman" w:eastAsia="仿宋_GB2312" w:cs="Times New Roman"/>
          <w:color w:val="auto"/>
          <w:kern w:val="0"/>
          <w:szCs w:val="21"/>
          <w:lang w:val="en-US" w:eastAsia="zh-CN"/>
        </w:rPr>
        <w:t xml:space="preserve">                       </w:t>
      </w:r>
      <w:r>
        <w:rPr>
          <w:rFonts w:ascii="Times New Roman" w:hAnsi="Times New Roman" w:eastAsia="仿宋_GB2312" w:cs="Times New Roman"/>
          <w:color w:val="auto"/>
          <w:kern w:val="0"/>
          <w:szCs w:val="21"/>
        </w:rPr>
        <w:t xml:space="preserve">                                                          公开05表</w:t>
      </w:r>
    </w:p>
    <w:p w14:paraId="2142553B">
      <w:pPr>
        <w:widowControl/>
        <w:jc w:val="left"/>
        <w:rPr>
          <w:rFonts w:ascii="Times New Roman" w:hAnsi="Times New Roman" w:eastAsia="宋体" w:cs="Times New Roman"/>
          <w:color w:val="auto"/>
          <w:kern w:val="0"/>
          <w:sz w:val="20"/>
          <w:szCs w:val="20"/>
        </w:rPr>
      </w:pPr>
      <w:r>
        <w:rPr>
          <w:rFonts w:ascii="Times New Roman" w:hAnsi="Times New Roman" w:eastAsia="仿宋_GB2312" w:cs="Times New Roman"/>
          <w:color w:val="auto"/>
          <w:kern w:val="0"/>
          <w:szCs w:val="21"/>
        </w:rPr>
        <w:t xml:space="preserve">部门： </w:t>
      </w:r>
      <w:r>
        <w:rPr>
          <w:rFonts w:hint="eastAsia" w:ascii="Times New Roman" w:hAnsi="Times New Roman" w:eastAsia="仿宋_GB2312" w:cs="Times New Roman"/>
          <w:color w:val="auto"/>
          <w:kern w:val="0"/>
          <w:sz w:val="20"/>
          <w:szCs w:val="20"/>
          <w:lang w:eastAsia="zh-CN"/>
        </w:rPr>
        <w:t>怀化市农业科技教育促进中心</w:t>
      </w:r>
      <w:r>
        <w:rPr>
          <w:rFonts w:ascii="Times New Roman" w:hAnsi="Times New Roman" w:eastAsia="仿宋_GB2312" w:cs="Times New Roman"/>
          <w:color w:val="auto"/>
          <w:kern w:val="0"/>
          <w:szCs w:val="21"/>
        </w:rPr>
        <w:t xml:space="preserve"> </w:t>
      </w:r>
      <w:r>
        <w:rPr>
          <w:rFonts w:hint="eastAsia" w:ascii="Times New Roman" w:hAnsi="Times New Roman" w:eastAsia="仿宋_GB2312" w:cs="Times New Roman"/>
          <w:color w:val="auto"/>
          <w:kern w:val="0"/>
          <w:szCs w:val="21"/>
          <w:lang w:val="en-US" w:eastAsia="zh-CN"/>
        </w:rPr>
        <w:t xml:space="preserve"> </w:t>
      </w:r>
      <w:r>
        <w:rPr>
          <w:rFonts w:ascii="Times New Roman" w:hAnsi="Times New Roman" w:eastAsia="仿宋_GB2312" w:cs="Times New Roman"/>
          <w:color w:val="auto"/>
          <w:kern w:val="0"/>
          <w:szCs w:val="21"/>
        </w:rPr>
        <w:t xml:space="preserve">                                                                                          单位：万元</w:t>
      </w:r>
    </w:p>
    <w:tbl>
      <w:tblPr>
        <w:tblW w:w="142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968"/>
        <w:gridCol w:w="6727"/>
        <w:gridCol w:w="1575"/>
        <w:gridCol w:w="1970"/>
        <w:gridCol w:w="1974"/>
      </w:tblGrid>
      <w:tr w14:paraId="62151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8A25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项目</w:t>
            </w:r>
          </w:p>
        </w:tc>
        <w:tc>
          <w:tcPr>
            <w:tcW w:w="5519"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54EFF3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本年支出</w:t>
            </w:r>
          </w:p>
        </w:tc>
      </w:tr>
      <w:tr w14:paraId="6475A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0F559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A910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科目名称</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02EA4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小计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82670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基本支出</w:t>
            </w:r>
          </w:p>
        </w:tc>
        <w:tc>
          <w:tcPr>
            <w:tcW w:w="197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1D164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项目支出</w:t>
            </w:r>
          </w:p>
        </w:tc>
      </w:tr>
      <w:tr w14:paraId="7FD71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6B9FF45">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851BD5">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9254A1B">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1D2C59C">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97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FD51135">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r>
      <w:tr w14:paraId="533DB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A656A21">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339F68">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7CA6A80">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F52445A">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97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6C488CA">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r>
      <w:tr w14:paraId="103A2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6A48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0D57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233D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w:t>
            </w:r>
          </w:p>
        </w:tc>
        <w:tc>
          <w:tcPr>
            <w:tcW w:w="197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8B0E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w:t>
            </w:r>
          </w:p>
        </w:tc>
      </w:tr>
      <w:tr w14:paraId="28E93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ED5C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合计</w:t>
            </w:r>
          </w:p>
        </w:tc>
        <w:tc>
          <w:tcPr>
            <w:tcW w:w="0" w:type="auto"/>
            <w:tcBorders>
              <w:top w:val="nil"/>
              <w:left w:val="nil"/>
              <w:bottom w:val="nil"/>
              <w:right w:val="nil"/>
            </w:tcBorders>
            <w:shd w:val="clear"/>
            <w:noWrap/>
            <w:vAlign w:val="center"/>
          </w:tcPr>
          <w:p w14:paraId="26DD7A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288.15 </w:t>
            </w:r>
          </w:p>
        </w:tc>
        <w:tc>
          <w:tcPr>
            <w:tcW w:w="0" w:type="auto"/>
            <w:tcBorders>
              <w:top w:val="nil"/>
              <w:left w:val="nil"/>
              <w:bottom w:val="nil"/>
              <w:right w:val="nil"/>
            </w:tcBorders>
            <w:shd w:val="clear"/>
            <w:noWrap/>
            <w:vAlign w:val="center"/>
          </w:tcPr>
          <w:p w14:paraId="6784FB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244.66 </w:t>
            </w:r>
          </w:p>
        </w:tc>
        <w:tc>
          <w:tcPr>
            <w:tcW w:w="1974" w:type="dxa"/>
            <w:tcBorders>
              <w:top w:val="nil"/>
              <w:left w:val="nil"/>
              <w:bottom w:val="nil"/>
              <w:right w:val="nil"/>
            </w:tcBorders>
            <w:shd w:val="clear"/>
            <w:noWrap/>
            <w:vAlign w:val="center"/>
          </w:tcPr>
          <w:p w14:paraId="466820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 xml:space="preserve">43.49 </w:t>
            </w:r>
          </w:p>
        </w:tc>
      </w:tr>
      <w:tr w14:paraId="6627A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08DE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2019999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1F64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其他一般公共服务支出</w:t>
            </w:r>
          </w:p>
        </w:tc>
        <w:tc>
          <w:tcPr>
            <w:tcW w:w="0" w:type="auto"/>
            <w:tcBorders>
              <w:top w:val="nil"/>
              <w:left w:val="nil"/>
              <w:bottom w:val="nil"/>
              <w:right w:val="nil"/>
            </w:tcBorders>
            <w:shd w:val="clear"/>
            <w:noWrap/>
            <w:vAlign w:val="center"/>
          </w:tcPr>
          <w:p w14:paraId="392B3B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20.86 </w:t>
            </w:r>
          </w:p>
        </w:tc>
        <w:tc>
          <w:tcPr>
            <w:tcW w:w="0" w:type="auto"/>
            <w:tcBorders>
              <w:top w:val="nil"/>
              <w:left w:val="nil"/>
              <w:bottom w:val="nil"/>
              <w:right w:val="nil"/>
            </w:tcBorders>
            <w:shd w:val="clear"/>
            <w:noWrap/>
            <w:vAlign w:val="center"/>
          </w:tcPr>
          <w:p w14:paraId="7DA294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12.86 </w:t>
            </w:r>
          </w:p>
        </w:tc>
        <w:tc>
          <w:tcPr>
            <w:tcW w:w="1974" w:type="dxa"/>
            <w:tcBorders>
              <w:top w:val="nil"/>
              <w:left w:val="nil"/>
              <w:bottom w:val="nil"/>
              <w:right w:val="nil"/>
            </w:tcBorders>
            <w:shd w:val="clear"/>
            <w:noWrap/>
            <w:vAlign w:val="center"/>
          </w:tcPr>
          <w:p w14:paraId="375465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8.00 </w:t>
            </w:r>
          </w:p>
        </w:tc>
      </w:tr>
      <w:tr w14:paraId="7DA50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7E38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9B3C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机关事业单位基本养老保险缴费支出</w:t>
            </w:r>
          </w:p>
        </w:tc>
        <w:tc>
          <w:tcPr>
            <w:tcW w:w="0" w:type="auto"/>
            <w:tcBorders>
              <w:top w:val="nil"/>
              <w:left w:val="nil"/>
              <w:bottom w:val="nil"/>
              <w:right w:val="nil"/>
            </w:tcBorders>
            <w:shd w:val="clear"/>
            <w:noWrap/>
            <w:vAlign w:val="center"/>
          </w:tcPr>
          <w:p w14:paraId="71508C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20.84 </w:t>
            </w:r>
          </w:p>
        </w:tc>
        <w:tc>
          <w:tcPr>
            <w:tcW w:w="0" w:type="auto"/>
            <w:tcBorders>
              <w:top w:val="nil"/>
              <w:left w:val="nil"/>
              <w:bottom w:val="nil"/>
              <w:right w:val="nil"/>
            </w:tcBorders>
            <w:shd w:val="clear"/>
            <w:noWrap/>
            <w:vAlign w:val="center"/>
          </w:tcPr>
          <w:p w14:paraId="4DA89D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20.84 </w:t>
            </w:r>
          </w:p>
        </w:tc>
        <w:tc>
          <w:tcPr>
            <w:tcW w:w="1974" w:type="dxa"/>
            <w:tcBorders>
              <w:top w:val="nil"/>
              <w:left w:val="nil"/>
              <w:bottom w:val="nil"/>
              <w:right w:val="nil"/>
            </w:tcBorders>
            <w:shd w:val="clear"/>
            <w:noWrap/>
            <w:vAlign w:val="center"/>
          </w:tcPr>
          <w:p w14:paraId="530D88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r>
      <w:tr w14:paraId="38ABB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D9CC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F455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行政单位医疗</w:t>
            </w:r>
          </w:p>
        </w:tc>
        <w:tc>
          <w:tcPr>
            <w:tcW w:w="0" w:type="auto"/>
            <w:tcBorders>
              <w:top w:val="nil"/>
              <w:left w:val="nil"/>
              <w:bottom w:val="nil"/>
              <w:right w:val="nil"/>
            </w:tcBorders>
            <w:shd w:val="clear"/>
            <w:noWrap/>
            <w:vAlign w:val="center"/>
          </w:tcPr>
          <w:p w14:paraId="66FA53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8.34 </w:t>
            </w:r>
          </w:p>
        </w:tc>
        <w:tc>
          <w:tcPr>
            <w:tcW w:w="0" w:type="auto"/>
            <w:tcBorders>
              <w:top w:val="nil"/>
              <w:left w:val="nil"/>
              <w:bottom w:val="nil"/>
              <w:right w:val="nil"/>
            </w:tcBorders>
            <w:shd w:val="clear"/>
            <w:noWrap/>
            <w:vAlign w:val="center"/>
          </w:tcPr>
          <w:p w14:paraId="52BDB9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8.34 </w:t>
            </w:r>
          </w:p>
        </w:tc>
        <w:tc>
          <w:tcPr>
            <w:tcW w:w="1974" w:type="dxa"/>
            <w:tcBorders>
              <w:top w:val="nil"/>
              <w:left w:val="nil"/>
              <w:bottom w:val="nil"/>
              <w:right w:val="nil"/>
            </w:tcBorders>
            <w:shd w:val="clear"/>
            <w:noWrap/>
            <w:vAlign w:val="center"/>
          </w:tcPr>
          <w:p w14:paraId="1BD109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r>
      <w:tr w14:paraId="147BE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C887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2130104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E3DA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事业运行</w:t>
            </w:r>
          </w:p>
        </w:tc>
        <w:tc>
          <w:tcPr>
            <w:tcW w:w="0" w:type="auto"/>
            <w:tcBorders>
              <w:top w:val="nil"/>
              <w:left w:val="nil"/>
              <w:bottom w:val="nil"/>
              <w:right w:val="nil"/>
            </w:tcBorders>
            <w:shd w:val="clear"/>
            <w:noWrap/>
            <w:vAlign w:val="center"/>
          </w:tcPr>
          <w:p w14:paraId="6DF2E9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200.98 </w:t>
            </w:r>
          </w:p>
        </w:tc>
        <w:tc>
          <w:tcPr>
            <w:tcW w:w="0" w:type="auto"/>
            <w:tcBorders>
              <w:top w:val="nil"/>
              <w:left w:val="nil"/>
              <w:bottom w:val="nil"/>
              <w:right w:val="nil"/>
            </w:tcBorders>
            <w:shd w:val="clear"/>
            <w:noWrap/>
            <w:vAlign w:val="center"/>
          </w:tcPr>
          <w:p w14:paraId="568F5F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200.98 </w:t>
            </w:r>
          </w:p>
        </w:tc>
        <w:tc>
          <w:tcPr>
            <w:tcW w:w="1974" w:type="dxa"/>
            <w:tcBorders>
              <w:top w:val="nil"/>
              <w:left w:val="nil"/>
              <w:bottom w:val="nil"/>
              <w:right w:val="nil"/>
            </w:tcBorders>
            <w:shd w:val="clear"/>
            <w:noWrap/>
            <w:vAlign w:val="center"/>
          </w:tcPr>
          <w:p w14:paraId="30FAA8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r>
      <w:tr w14:paraId="593E1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583C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2130106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7D4D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科技转化与推广服务</w:t>
            </w:r>
          </w:p>
        </w:tc>
        <w:tc>
          <w:tcPr>
            <w:tcW w:w="0" w:type="auto"/>
            <w:tcBorders>
              <w:top w:val="nil"/>
              <w:left w:val="nil"/>
              <w:bottom w:val="nil"/>
              <w:right w:val="nil"/>
            </w:tcBorders>
            <w:shd w:val="clear"/>
            <w:noWrap/>
            <w:vAlign w:val="center"/>
          </w:tcPr>
          <w:p w14:paraId="2FBD64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25.49 </w:t>
            </w:r>
          </w:p>
        </w:tc>
        <w:tc>
          <w:tcPr>
            <w:tcW w:w="0" w:type="auto"/>
            <w:tcBorders>
              <w:top w:val="nil"/>
              <w:left w:val="nil"/>
              <w:bottom w:val="nil"/>
              <w:right w:val="nil"/>
            </w:tcBorders>
            <w:shd w:val="clear"/>
            <w:noWrap/>
            <w:vAlign w:val="center"/>
          </w:tcPr>
          <w:p w14:paraId="1544C4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1974" w:type="dxa"/>
            <w:tcBorders>
              <w:top w:val="nil"/>
              <w:left w:val="nil"/>
              <w:bottom w:val="nil"/>
              <w:right w:val="nil"/>
            </w:tcBorders>
            <w:shd w:val="clear"/>
            <w:noWrap/>
            <w:vAlign w:val="center"/>
          </w:tcPr>
          <w:p w14:paraId="72E92B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25.49 </w:t>
            </w:r>
          </w:p>
        </w:tc>
      </w:tr>
      <w:tr w14:paraId="0F138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5CA6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2130199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B01E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其他农业农村支出</w:t>
            </w:r>
          </w:p>
        </w:tc>
        <w:tc>
          <w:tcPr>
            <w:tcW w:w="0" w:type="auto"/>
            <w:tcBorders>
              <w:top w:val="nil"/>
              <w:left w:val="nil"/>
              <w:bottom w:val="nil"/>
              <w:right w:val="nil"/>
            </w:tcBorders>
            <w:shd w:val="clear"/>
            <w:noWrap/>
            <w:vAlign w:val="center"/>
          </w:tcPr>
          <w:p w14:paraId="11EEB0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10.00 </w:t>
            </w:r>
          </w:p>
        </w:tc>
        <w:tc>
          <w:tcPr>
            <w:tcW w:w="0" w:type="auto"/>
            <w:tcBorders>
              <w:top w:val="nil"/>
              <w:left w:val="nil"/>
              <w:bottom w:val="nil"/>
              <w:right w:val="nil"/>
            </w:tcBorders>
            <w:shd w:val="clear"/>
            <w:noWrap/>
            <w:vAlign w:val="center"/>
          </w:tcPr>
          <w:p w14:paraId="4ED973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1974" w:type="dxa"/>
            <w:tcBorders>
              <w:top w:val="nil"/>
              <w:left w:val="nil"/>
              <w:bottom w:val="nil"/>
              <w:right w:val="nil"/>
            </w:tcBorders>
            <w:shd w:val="clear"/>
            <w:noWrap/>
            <w:vAlign w:val="center"/>
          </w:tcPr>
          <w:p w14:paraId="738D91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10.00 </w:t>
            </w:r>
          </w:p>
        </w:tc>
      </w:tr>
      <w:tr w14:paraId="03862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968" w:type="dxa"/>
            <w:tcBorders>
              <w:top w:val="single" w:color="D4D4D4" w:sz="4" w:space="0"/>
              <w:left w:val="single" w:color="D4D4D4" w:sz="4" w:space="0"/>
              <w:bottom w:val="single" w:color="D4D4D4" w:sz="4" w:space="0"/>
              <w:right w:val="single" w:color="D4D4D4" w:sz="4" w:space="0"/>
            </w:tcBorders>
            <w:shd w:val="clear"/>
            <w:noWrap/>
            <w:vAlign w:val="center"/>
          </w:tcPr>
          <w:p w14:paraId="257C09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2210201</w:t>
            </w:r>
          </w:p>
        </w:tc>
        <w:tc>
          <w:tcPr>
            <w:tcW w:w="6727" w:type="dxa"/>
            <w:tcBorders>
              <w:top w:val="single" w:color="D4D4D4" w:sz="4" w:space="0"/>
              <w:left w:val="single" w:color="D4D4D4" w:sz="4" w:space="0"/>
              <w:bottom w:val="single" w:color="D4D4D4" w:sz="4" w:space="0"/>
              <w:right w:val="single" w:color="D4D4D4" w:sz="4" w:space="0"/>
            </w:tcBorders>
            <w:shd w:val="clear"/>
            <w:noWrap/>
            <w:vAlign w:val="center"/>
          </w:tcPr>
          <w:p w14:paraId="4986B4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住房公积金</w:t>
            </w:r>
          </w:p>
        </w:tc>
        <w:tc>
          <w:tcPr>
            <w:tcW w:w="1575" w:type="dxa"/>
            <w:tcBorders>
              <w:top w:val="nil"/>
              <w:left w:val="nil"/>
              <w:bottom w:val="nil"/>
              <w:right w:val="nil"/>
            </w:tcBorders>
            <w:shd w:val="clear"/>
            <w:noWrap/>
            <w:vAlign w:val="center"/>
          </w:tcPr>
          <w:p w14:paraId="07E7F6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1.65 </w:t>
            </w:r>
          </w:p>
        </w:tc>
        <w:tc>
          <w:tcPr>
            <w:tcW w:w="1970" w:type="dxa"/>
            <w:tcBorders>
              <w:top w:val="nil"/>
              <w:left w:val="nil"/>
              <w:bottom w:val="nil"/>
              <w:right w:val="nil"/>
            </w:tcBorders>
            <w:shd w:val="clear"/>
            <w:noWrap/>
            <w:vAlign w:val="center"/>
          </w:tcPr>
          <w:p w14:paraId="73930B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1.65 </w:t>
            </w:r>
          </w:p>
        </w:tc>
        <w:tc>
          <w:tcPr>
            <w:tcW w:w="1974" w:type="dxa"/>
            <w:tcBorders>
              <w:top w:val="nil"/>
              <w:left w:val="nil"/>
              <w:bottom w:val="nil"/>
              <w:right w:val="nil"/>
            </w:tcBorders>
            <w:shd w:val="clear"/>
            <w:noWrap/>
            <w:vAlign w:val="center"/>
          </w:tcPr>
          <w:p w14:paraId="0017D0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r>
    </w:tbl>
    <w:p w14:paraId="41E65AAC">
      <w:pPr>
        <w:widowControl/>
        <w:spacing w:before="120"/>
        <w:jc w:val="lef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注：本表反映部门本年度一般公共预算财政拨款支出情况。</w:t>
      </w:r>
    </w:p>
    <w:p w14:paraId="1AA29206">
      <w:pPr>
        <w:widowControl/>
        <w:jc w:val="left"/>
        <w:rPr>
          <w:rFonts w:ascii="Times New Roman" w:hAnsi="Times New Roman" w:eastAsia="仿宋_GB2312" w:cs="Times New Roman"/>
          <w:bCs/>
          <w:color w:val="auto"/>
          <w:kern w:val="0"/>
          <w:szCs w:val="21"/>
        </w:rPr>
      </w:pPr>
    </w:p>
    <w:p w14:paraId="70C0256E">
      <w:pPr>
        <w:widowControl/>
        <w:jc w:val="left"/>
        <w:rPr>
          <w:rFonts w:ascii="Times New Roman" w:hAnsi="Times New Roman" w:eastAsia="仿宋_GB2312" w:cs="Times New Roman"/>
          <w:bCs/>
          <w:color w:val="auto"/>
          <w:kern w:val="0"/>
          <w:szCs w:val="21"/>
        </w:rPr>
      </w:pPr>
      <w:r>
        <w:rPr>
          <w:color w:val="auto"/>
        </w:rPr>
        <w:br w:type="page"/>
      </w:r>
    </w:p>
    <w:p w14:paraId="03BA02BA">
      <w:pPr>
        <w:widowControl/>
        <w:spacing w:after="120"/>
        <w:jc w:val="center"/>
        <w:textAlignment w:val="center"/>
        <w:rPr>
          <w:rFonts w:ascii="Times New Roman" w:hAnsi="Times New Roman" w:eastAsia="黑体" w:cs="Times New Roman"/>
          <w:color w:val="auto"/>
          <w:kern w:val="0"/>
          <w:sz w:val="36"/>
          <w:szCs w:val="36"/>
        </w:rPr>
      </w:pPr>
      <w:bookmarkStart w:id="6" w:name="RANGE!A1:I34"/>
      <w:r>
        <w:rPr>
          <w:rFonts w:ascii="Times New Roman" w:hAnsi="Times New Roman" w:eastAsia="黑体" w:cs="Times New Roman"/>
          <w:color w:val="auto"/>
          <w:kern w:val="0"/>
          <w:sz w:val="36"/>
          <w:szCs w:val="36"/>
        </w:rPr>
        <w:t>一般公共预算财政拨款基本支出决算明细表</w:t>
      </w:r>
      <w:bookmarkEnd w:id="6"/>
    </w:p>
    <w:p w14:paraId="4AD838CF">
      <w:pPr>
        <w:widowControl/>
        <w:wordWrap w:val="0"/>
        <w:spacing w:line="240" w:lineRule="exact"/>
        <w:jc w:val="righ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xml:space="preserve">                                                                                                       公开06表</w:t>
      </w:r>
    </w:p>
    <w:p w14:paraId="3E42C074">
      <w:pPr>
        <w:widowControl/>
        <w:spacing w:line="240" w:lineRule="exact"/>
        <w:jc w:val="left"/>
        <w:rPr>
          <w:rFonts w:ascii="Times New Roman" w:hAnsi="Times New Roman" w:eastAsia="华文中宋" w:cs="Times New Roman"/>
          <w:color w:val="auto"/>
          <w:kern w:val="0"/>
          <w:szCs w:val="32"/>
        </w:rPr>
      </w:pPr>
      <w:r>
        <w:rPr>
          <w:rFonts w:ascii="Times New Roman" w:hAnsi="Times New Roman" w:eastAsia="仿宋_GB2312" w:cs="Times New Roman"/>
          <w:color w:val="auto"/>
          <w:kern w:val="0"/>
          <w:szCs w:val="21"/>
        </w:rPr>
        <w:t xml:space="preserve"> 部门：</w:t>
      </w:r>
      <w:r>
        <w:rPr>
          <w:rFonts w:hint="eastAsia" w:ascii="Times New Roman" w:hAnsi="Times New Roman" w:eastAsia="仿宋_GB2312" w:cs="Times New Roman"/>
          <w:color w:val="auto"/>
          <w:kern w:val="0"/>
          <w:szCs w:val="21"/>
          <w:lang w:eastAsia="zh-CN"/>
        </w:rPr>
        <w:t>怀化市农业科技教育促进中心</w:t>
      </w:r>
      <w:r>
        <w:rPr>
          <w:rFonts w:ascii="Times New Roman" w:hAnsi="Times New Roman" w:eastAsia="仿宋_GB2312" w:cs="Times New Roman"/>
          <w:color w:val="auto"/>
          <w:kern w:val="0"/>
          <w:szCs w:val="21"/>
        </w:rPr>
        <w:t xml:space="preserve">      </w:t>
      </w:r>
      <w:r>
        <w:rPr>
          <w:rFonts w:hint="eastAsia" w:ascii="Times New Roman" w:hAnsi="Times New Roman" w:eastAsia="仿宋_GB2312" w:cs="Times New Roman"/>
          <w:color w:val="auto"/>
          <w:kern w:val="0"/>
          <w:szCs w:val="21"/>
          <w:lang w:val="en-US" w:eastAsia="zh-CN"/>
        </w:rPr>
        <w:t xml:space="preserve">                                                                                 </w:t>
      </w:r>
      <w:r>
        <w:rPr>
          <w:rFonts w:ascii="Times New Roman" w:hAnsi="Times New Roman" w:eastAsia="仿宋_GB2312" w:cs="Times New Roman"/>
          <w:color w:val="auto"/>
          <w:kern w:val="0"/>
          <w:szCs w:val="21"/>
        </w:rPr>
        <w:t xml:space="preserve">    单位：万元</w:t>
      </w:r>
    </w:p>
    <w:tbl>
      <w:tblPr>
        <w:tblW w:w="142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02"/>
        <w:gridCol w:w="3227"/>
        <w:gridCol w:w="1018"/>
        <w:gridCol w:w="902"/>
        <w:gridCol w:w="2196"/>
        <w:gridCol w:w="824"/>
        <w:gridCol w:w="902"/>
        <w:gridCol w:w="3344"/>
        <w:gridCol w:w="905"/>
      </w:tblGrid>
      <w:tr w14:paraId="745C7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018"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B812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人员经费</w:t>
            </w:r>
          </w:p>
        </w:tc>
        <w:tc>
          <w:tcPr>
            <w:tcW w:w="3344"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BEBA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公用经费</w:t>
            </w:r>
          </w:p>
        </w:tc>
      </w:tr>
      <w:tr w14:paraId="6F946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9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51517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科目代码</w:t>
            </w:r>
          </w:p>
        </w:tc>
        <w:tc>
          <w:tcPr>
            <w:tcW w:w="322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A4C55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科目名称</w:t>
            </w:r>
          </w:p>
        </w:tc>
        <w:tc>
          <w:tcPr>
            <w:tcW w:w="101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71F3A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决算数</w:t>
            </w:r>
          </w:p>
        </w:tc>
        <w:tc>
          <w:tcPr>
            <w:tcW w:w="9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F8573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1BB56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科目名称</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D3CC6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决算数</w:t>
            </w:r>
          </w:p>
        </w:tc>
        <w:tc>
          <w:tcPr>
            <w:tcW w:w="9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D9E41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科目代码</w:t>
            </w:r>
          </w:p>
        </w:tc>
        <w:tc>
          <w:tcPr>
            <w:tcW w:w="334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34896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科目名称</w:t>
            </w:r>
          </w:p>
        </w:tc>
        <w:tc>
          <w:tcPr>
            <w:tcW w:w="90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4A98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决算数</w:t>
            </w:r>
          </w:p>
        </w:tc>
      </w:tr>
      <w:tr w14:paraId="5F261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9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1B1410F">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322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39348DE">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101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3CC5B45">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9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7C75C97">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C227C30">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36A6448">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9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F118F1">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334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B661FC">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c>
          <w:tcPr>
            <w:tcW w:w="9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934EB0">
            <w:pPr>
              <w:snapToGrid w:val="0"/>
              <w:ind w:left="0" w:leftChars="0" w:right="0" w:rightChars="0" w:firstLine="0" w:firstLineChars="0"/>
              <w:jc w:val="center"/>
              <w:rPr>
                <w:rFonts w:hint="eastAsia" w:ascii="宋体" w:hAnsi="宋体" w:eastAsia="宋体" w:cs="宋体"/>
                <w:b/>
                <w:i w:val="0"/>
                <w:iCs w:val="0"/>
                <w:color w:val="auto"/>
                <w:sz w:val="22"/>
                <w:szCs w:val="22"/>
                <w:u w:val="none"/>
              </w:rPr>
            </w:pPr>
          </w:p>
        </w:tc>
      </w:tr>
      <w:tr w14:paraId="43CEB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F702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DEF1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工资福利支出</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9862F9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219.80</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C21B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02DF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商品和服务支出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247894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13.83</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C64F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307</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4481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债务利息及费用支出</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AB5E7A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249D5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42A4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30101</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A931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基本工资</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53ED5A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72.33</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B3F6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30201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EE3E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办公费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2EA05D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1.22</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B506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30701</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75D5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国内债务付息</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441DA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4FC49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7B6F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30102</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C3AD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津贴补贴</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F159A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68.51</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2E2E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4D69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印刷费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9684B7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0.25</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1D84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30702</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DFBB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国外债务付息</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29885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5898D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1749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30103</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8BB4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奖金</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0DA43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25.20</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88F2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30203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923D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咨询费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94B9B7">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35FA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8002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资本性支出</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2CB0A6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74034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869D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30106</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CEB5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伙食补助费</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6E2EA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3.14</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5B75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30204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93AB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手续费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9DAD31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7A66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31001</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7C99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房屋建筑物购建</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559863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6A0B0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CBEB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30107</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35C5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绩效工资</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379D39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0784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30205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57B7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水费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7CD74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4CFF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31002</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2439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办公设备购置</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04C5EC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759F1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910F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30108</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62BB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机关事业单位基本养老保险缴费</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0239BF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21.26</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53DF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30206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364F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电费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32F1FF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6A81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31003</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D621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专用设备购置</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9A6E3E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736A9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52E6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30109</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44E3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职业年金缴费</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97CAC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2045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30207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0C67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邮电费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13BF4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0.12</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3DDF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31005</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C173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基础设施建设</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9B8654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58870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15D6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30110</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5F45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职工基本医疗保险缴费</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D39BF5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9.26</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CE12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30208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83F2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取暖费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7318D6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38D6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31006</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3BFA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大型修缮</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D92C30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49445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48EF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30111</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0621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公务员医疗补助缴费</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DE01A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42A8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30209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3D6D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物业管理费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C87A0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6B62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31007</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C75F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信息网络及软件购置更新</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C417C8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4E0F8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F48D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30112</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D55A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其他社会保障缴费</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1A8C2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1.76</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EACD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30211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3FDA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差旅费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523DB9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1.74</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9F4E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31008</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146C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物资储备</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576A21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515FF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C146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30113</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41E9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住房公积金</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7C53A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18.35</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F47D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30212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FC26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因公出国（境）费用</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380AE3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CA0A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31009</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C9F2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土地补偿</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9E4C43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7E0FC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308C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30114</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6B53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医疗费</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9D23A5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4391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30213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C135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维修（护）费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26FEC7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1F49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31010</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6BA2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安置补助</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DBD8A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0A629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0A76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30199</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051D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其他工资福利支出</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887147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2906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30214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84A6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租赁费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77576E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B278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31011</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0EA4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地上附着物和青苗补偿</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209A80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5A37F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A8B0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303</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4A5F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对个人和家庭的补助</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4953F1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11.03</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B60D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30215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EF83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会议费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68788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9500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31012</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EFB0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拆迁补偿</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7E876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1C428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D607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30301</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653F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离休费</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61593A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E1CF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30216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6B46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培训费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CDA78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0.20</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B9A4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31013</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AB17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公务用车购置</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F0236E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193D0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9D1B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30302</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29D8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退休费</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F54AE4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3285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30217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462A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公务接待费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922D6E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2E7B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31019</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F0EF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其他交通工具购置</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8A5993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43F94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E598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30303</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C8F8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退职（役）费</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086806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F08B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30218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5786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专用材料费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CE8C81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A667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31021</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7C78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文物和陈列品购置</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0A06D6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37075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30FE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30304</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0CDC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抚恤金</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856C0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8852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30224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757C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被装购置费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9C700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8BA3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31022</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5E10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无形资产购置</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99F05F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607A3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FD9F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30305</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AC4E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生活补助</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6A4667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10.64</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FC2C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30225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AD81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专用燃料费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B2557C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257D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31099</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9D46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其他资本性支出</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2A027C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068CD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20FA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30306</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6E5A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救济费</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9209B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BD7F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30226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5642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劳务费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1779C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BA95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399</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E74F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其他支出</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AC0646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56873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7EE0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30307</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C869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医疗费补助</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31763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19F4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30227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40E3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委托业务费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0DB70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DB44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39907</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7C07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国家赔偿费用支出</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13A29B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6C2F8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C3BC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30308</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BBAF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助学金</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F80094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8DB3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30228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02A5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工会经费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DEC554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6.80</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6836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39908</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597A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对民间非营利组织和群众性自治组织补贴</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1545F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5112F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FE8B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30309</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9E23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奖励金</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6CB4C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0.38</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529E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30229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BB9F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福利费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7B01F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2.14</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B298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39909</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1016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经常性赠与</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47D792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32029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BE0E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30310</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36D2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个人农业生产补贴</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D13314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0767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30231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90FE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公务用车运行维护费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B1A90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3108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39910</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4385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资本性赠与</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A2963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00957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0EEE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30311</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1F77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代缴社会保险费</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C3415E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250F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30239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A35D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其他交通费用</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9E5802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0.70</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021A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39999</w:t>
            </w: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AD38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其他支出</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48BAE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0.00</w:t>
            </w:r>
          </w:p>
        </w:tc>
      </w:tr>
      <w:tr w14:paraId="2B5A0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5F64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30399</w:t>
            </w: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8ACD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其他对个人和家庭的补助</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554BA8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F1B3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30240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86DB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税金及附加费用</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7E7465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BCEB82">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21A762">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39EC07">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12801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531C53">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2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16277E">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7AD3266">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EFED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30299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EDB2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其他商品和服务支出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DBE30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0.66</w:t>
            </w:r>
          </w:p>
        </w:tc>
        <w:tc>
          <w:tcPr>
            <w:tcW w:w="9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49372B">
            <w:pPr>
              <w:snapToGrid w:val="0"/>
              <w:ind w:left="0" w:leftChars="0" w:right="0" w:rightChars="0" w:firstLine="0" w:firstLineChars="0"/>
              <w:jc w:val="center"/>
              <w:rPr>
                <w:rFonts w:hint="eastAsia" w:ascii="宋体" w:hAnsi="宋体" w:eastAsia="宋体" w:cs="宋体"/>
                <w:i w:val="0"/>
                <w:iCs w:val="0"/>
                <w:color w:val="auto"/>
                <w:sz w:val="22"/>
                <w:szCs w:val="22"/>
                <w:u w:val="none"/>
              </w:rPr>
            </w:pPr>
          </w:p>
        </w:tc>
        <w:tc>
          <w:tcPr>
            <w:tcW w:w="334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7DA7A3">
            <w:pPr>
              <w:snapToGrid w:val="0"/>
              <w:ind w:left="0" w:leftChars="0" w:right="0" w:rightChars="0" w:firstLine="0" w:firstLineChars="0"/>
              <w:jc w:val="left"/>
              <w:rPr>
                <w:rFonts w:hint="eastAsia" w:ascii="宋体" w:hAnsi="宋体" w:eastAsia="宋体" w:cs="宋体"/>
                <w:i w:val="0"/>
                <w:iCs w:val="0"/>
                <w:color w:val="auto"/>
                <w:sz w:val="22"/>
                <w:szCs w:val="22"/>
                <w:u w:val="none"/>
              </w:rPr>
            </w:pP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938956A">
            <w:pPr>
              <w:snapToGrid w:val="0"/>
              <w:ind w:left="0" w:leftChars="0" w:right="0" w:rightChars="0" w:firstLine="0" w:firstLineChars="0"/>
              <w:jc w:val="right"/>
              <w:rPr>
                <w:rFonts w:hint="eastAsia" w:ascii="宋体" w:hAnsi="宋体" w:eastAsia="宋体" w:cs="宋体"/>
                <w:i w:val="0"/>
                <w:iCs w:val="0"/>
                <w:color w:val="auto"/>
                <w:sz w:val="22"/>
                <w:szCs w:val="22"/>
                <w:u w:val="none"/>
              </w:rPr>
            </w:pPr>
          </w:p>
        </w:tc>
      </w:tr>
      <w:tr w14:paraId="1C4A4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27"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7BD9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人员经费合计</w:t>
            </w:r>
          </w:p>
        </w:tc>
        <w:tc>
          <w:tcPr>
            <w:tcW w:w="10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772D9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230.83</w:t>
            </w:r>
          </w:p>
        </w:tc>
        <w:tc>
          <w:tcPr>
            <w:tcW w:w="3344" w:type="dxa"/>
            <w:gridSpan w:val="5"/>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7EC7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公用经费合计</w:t>
            </w:r>
          </w:p>
        </w:tc>
        <w:tc>
          <w:tcPr>
            <w:tcW w:w="9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87AE6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auto"/>
                <w:sz w:val="22"/>
                <w:szCs w:val="22"/>
                <w:u w:val="none"/>
              </w:rPr>
            </w:pPr>
            <w:r>
              <w:rPr>
                <w:rFonts w:hint="eastAsia" w:ascii="宋体" w:hAnsi="宋体" w:eastAsia="宋体" w:cs="宋体"/>
                <w:b/>
                <w:i w:val="0"/>
                <w:iCs w:val="0"/>
                <w:color w:val="auto"/>
                <w:kern w:val="0"/>
                <w:sz w:val="22"/>
                <w:szCs w:val="22"/>
                <w:u w:val="none"/>
                <w:bdr w:val="none" w:color="auto" w:sz="0" w:space="0"/>
                <w:lang w:val="en-US" w:eastAsia="zh-CN" w:bidi="ar"/>
              </w:rPr>
              <w:t>13.83</w:t>
            </w:r>
          </w:p>
        </w:tc>
      </w:tr>
    </w:tbl>
    <w:p w14:paraId="05257B6E">
      <w:pPr>
        <w:widowControl/>
        <w:jc w:val="left"/>
        <w:rPr>
          <w:rFonts w:ascii="Times New Roman" w:hAnsi="Times New Roman" w:eastAsia="仿宋_GB2312" w:cs="Times New Roman"/>
          <w:color w:val="auto"/>
          <w:kern w:val="0"/>
          <w:szCs w:val="24"/>
        </w:rPr>
      </w:pPr>
      <w:r>
        <w:rPr>
          <w:rFonts w:ascii="Times New Roman" w:hAnsi="Times New Roman" w:eastAsia="仿宋_GB2312" w:cs="Times New Roman"/>
          <w:color w:val="auto"/>
          <w:kern w:val="0"/>
          <w:szCs w:val="24"/>
        </w:rPr>
        <w:t>注：本表反映部门本年度一般公共预算财政拨款基本支出明细情况。</w:t>
      </w:r>
    </w:p>
    <w:p w14:paraId="059E83BA">
      <w:pPr>
        <w:widowControl/>
        <w:spacing w:line="400" w:lineRule="exact"/>
        <w:jc w:val="center"/>
        <w:textAlignment w:val="center"/>
        <w:rPr>
          <w:rFonts w:ascii="Times New Roman" w:hAnsi="Times New Roman" w:eastAsia="仿宋_GB2312" w:cs="Times New Roman"/>
          <w:color w:val="auto"/>
          <w:kern w:val="0"/>
          <w:sz w:val="32"/>
          <w:szCs w:val="32"/>
        </w:rPr>
      </w:pPr>
    </w:p>
    <w:p w14:paraId="2DA02356">
      <w:pPr>
        <w:rPr>
          <w:rFonts w:ascii="Times New Roman" w:hAnsi="Times New Roman" w:eastAsia="黑体" w:cs="Times New Roman"/>
          <w:color w:val="auto"/>
          <w:kern w:val="0"/>
          <w:sz w:val="36"/>
          <w:szCs w:val="36"/>
        </w:rPr>
      </w:pPr>
      <w:r>
        <w:rPr>
          <w:rFonts w:ascii="Times New Roman" w:hAnsi="Times New Roman" w:eastAsia="黑体" w:cs="Times New Roman"/>
          <w:color w:val="auto"/>
          <w:kern w:val="0"/>
          <w:sz w:val="36"/>
          <w:szCs w:val="36"/>
        </w:rPr>
        <w:br w:type="page"/>
      </w:r>
    </w:p>
    <w:p w14:paraId="34FEC5C6">
      <w:pPr>
        <w:widowControl/>
        <w:spacing w:after="156" w:afterLines="50"/>
        <w:jc w:val="center"/>
        <w:textAlignment w:val="center"/>
        <w:rPr>
          <w:rFonts w:ascii="Times New Roman" w:hAnsi="Times New Roman" w:eastAsia="黑体" w:cs="Times New Roman"/>
          <w:color w:val="auto"/>
          <w:kern w:val="0"/>
          <w:sz w:val="36"/>
          <w:szCs w:val="36"/>
        </w:rPr>
      </w:pPr>
      <w:r>
        <w:rPr>
          <w:rFonts w:ascii="Times New Roman" w:hAnsi="Times New Roman" w:eastAsia="黑体" w:cs="Times New Roman"/>
          <w:color w:val="auto"/>
          <w:kern w:val="0"/>
          <w:sz w:val="36"/>
          <w:szCs w:val="36"/>
        </w:rPr>
        <w:t>政府性基金预算财政拨款收入支出决算表</w:t>
      </w:r>
    </w:p>
    <w:p w14:paraId="10FA814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kern w:val="0"/>
          <w:sz w:val="20"/>
          <w:szCs w:val="20"/>
        </w:rPr>
        <w:t>公开07表</w:t>
      </w:r>
    </w:p>
    <w:p w14:paraId="61F129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rPr>
        <w:t>部门：</w:t>
      </w:r>
      <w:r>
        <w:rPr>
          <w:rFonts w:hint="eastAsia" w:ascii="Times New Roman" w:hAnsi="Times New Roman" w:eastAsia="仿宋_GB2312" w:cs="Times New Roman"/>
          <w:color w:val="auto"/>
          <w:kern w:val="0"/>
          <w:sz w:val="20"/>
          <w:szCs w:val="20"/>
          <w:lang w:eastAsia="zh-CN"/>
        </w:rPr>
        <w:t>怀化市农业科技教育促进中心</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kern w:val="0"/>
          <w:sz w:val="20"/>
          <w:szCs w:val="20"/>
        </w:rPr>
        <w:t>单位：万元</w:t>
      </w:r>
    </w:p>
    <w:tbl>
      <w:tblPr>
        <w:tblStyle w:val="13"/>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73B800F">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5B775">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 xml:space="preserve">项 </w:t>
            </w:r>
            <w:r>
              <w:rPr>
                <w:rStyle w:val="21"/>
                <w:rFonts w:hint="default" w:ascii="Times New Roman" w:hAnsi="Times New Roman" w:eastAsia="仿宋_GB2312" w:cs="Times New Roman"/>
                <w:b/>
                <w:bCs/>
                <w:color w:val="auto"/>
              </w:rPr>
              <w:t xml:space="preserve">   </w:t>
            </w:r>
            <w:r>
              <w:rPr>
                <w:rStyle w:val="22"/>
                <w:rFonts w:hint="default" w:ascii="Times New Roman" w:hAnsi="Times New Roman" w:eastAsia="仿宋_GB2312" w:cs="Times New Roman"/>
                <w:b/>
                <w:bCs/>
                <w:color w:val="auto"/>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3088F">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4685AC">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C6F9C9">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133D5">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年末结转和结余</w:t>
            </w:r>
          </w:p>
        </w:tc>
      </w:tr>
      <w:tr w14:paraId="1C7A1C90">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F4DC5">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ABACC">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0029D">
            <w:pPr>
              <w:widowControl/>
              <w:jc w:val="center"/>
              <w:rPr>
                <w:rFonts w:ascii="Times New Roman" w:hAnsi="Times New Roman" w:eastAsia="仿宋_GB2312" w:cs="Times New Roman"/>
                <w:b/>
                <w:bCs/>
                <w:color w:val="auto"/>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0C430">
            <w:pPr>
              <w:widowControl/>
              <w:jc w:val="center"/>
              <w:rPr>
                <w:rFonts w:ascii="Times New Roman" w:hAnsi="Times New Roman" w:eastAsia="仿宋_GB2312" w:cs="Times New Roman"/>
                <w:b/>
                <w:bCs/>
                <w:color w:val="auto"/>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7943E0">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78984">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174064">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3BB22">
            <w:pPr>
              <w:widowControl/>
              <w:jc w:val="center"/>
              <w:rPr>
                <w:rFonts w:ascii="Times New Roman" w:hAnsi="Times New Roman" w:eastAsia="仿宋_GB2312" w:cs="Times New Roman"/>
                <w:color w:val="auto"/>
                <w:sz w:val="24"/>
                <w:szCs w:val="24"/>
              </w:rPr>
            </w:pPr>
          </w:p>
        </w:tc>
      </w:tr>
      <w:tr w14:paraId="376A543C">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8AADA">
            <w:pPr>
              <w:jc w:val="center"/>
              <w:rPr>
                <w:rFonts w:ascii="Times New Roman" w:hAnsi="Times New Roman" w:eastAsia="仿宋_GB2312" w:cs="Times New Roman"/>
                <w:color w:val="auto"/>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42D02">
            <w:pPr>
              <w:jc w:val="center"/>
              <w:rPr>
                <w:rFonts w:ascii="Times New Roman" w:hAnsi="Times New Roman" w:eastAsia="仿宋_GB2312" w:cs="Times New Roman"/>
                <w:color w:val="auto"/>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2EEF7">
            <w:pPr>
              <w:jc w:val="center"/>
              <w:rPr>
                <w:rFonts w:ascii="Times New Roman" w:hAnsi="Times New Roman" w:eastAsia="仿宋_GB2312" w:cs="Times New Roman"/>
                <w:color w:val="auto"/>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27224">
            <w:pPr>
              <w:jc w:val="center"/>
              <w:rPr>
                <w:rFonts w:ascii="Times New Roman" w:hAnsi="Times New Roman" w:eastAsia="仿宋_GB2312" w:cs="Times New Roman"/>
                <w:color w:val="auto"/>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584E3">
            <w:pPr>
              <w:jc w:val="center"/>
              <w:rPr>
                <w:rFonts w:ascii="Times New Roman" w:hAnsi="Times New Roman" w:eastAsia="仿宋_GB2312" w:cs="Times New Roman"/>
                <w:color w:val="auto"/>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13995">
            <w:pPr>
              <w:jc w:val="center"/>
              <w:rPr>
                <w:rFonts w:ascii="Times New Roman" w:hAnsi="Times New Roman" w:eastAsia="仿宋_GB2312" w:cs="Times New Roman"/>
                <w:color w:val="auto"/>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68A0B">
            <w:pPr>
              <w:jc w:val="center"/>
              <w:rPr>
                <w:rFonts w:ascii="Times New Roman" w:hAnsi="Times New Roman" w:eastAsia="仿宋_GB2312" w:cs="Times New Roman"/>
                <w:color w:val="auto"/>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364B0">
            <w:pPr>
              <w:jc w:val="center"/>
              <w:rPr>
                <w:rFonts w:ascii="Times New Roman" w:hAnsi="Times New Roman" w:eastAsia="仿宋_GB2312" w:cs="Times New Roman"/>
                <w:color w:val="auto"/>
                <w:sz w:val="24"/>
                <w:szCs w:val="24"/>
              </w:rPr>
            </w:pPr>
          </w:p>
        </w:tc>
      </w:tr>
      <w:tr w14:paraId="336636E0">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9DCCF">
            <w:pPr>
              <w:jc w:val="center"/>
              <w:rPr>
                <w:rFonts w:ascii="Times New Roman" w:hAnsi="Times New Roman" w:eastAsia="仿宋_GB2312" w:cs="Times New Roman"/>
                <w:color w:val="auto"/>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E1F4E">
            <w:pPr>
              <w:jc w:val="center"/>
              <w:rPr>
                <w:rFonts w:ascii="Times New Roman" w:hAnsi="Times New Roman" w:eastAsia="仿宋_GB2312" w:cs="Times New Roman"/>
                <w:color w:val="auto"/>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8B1A4">
            <w:pPr>
              <w:jc w:val="center"/>
              <w:rPr>
                <w:rFonts w:ascii="Times New Roman" w:hAnsi="Times New Roman" w:eastAsia="仿宋_GB2312" w:cs="Times New Roman"/>
                <w:color w:val="auto"/>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84281">
            <w:pPr>
              <w:jc w:val="center"/>
              <w:rPr>
                <w:rFonts w:ascii="Times New Roman" w:hAnsi="Times New Roman" w:eastAsia="仿宋_GB2312" w:cs="Times New Roman"/>
                <w:color w:val="auto"/>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C4310">
            <w:pPr>
              <w:jc w:val="center"/>
              <w:rPr>
                <w:rFonts w:ascii="Times New Roman" w:hAnsi="Times New Roman" w:eastAsia="仿宋_GB2312" w:cs="Times New Roman"/>
                <w:color w:val="auto"/>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2FD83">
            <w:pPr>
              <w:jc w:val="center"/>
              <w:rPr>
                <w:rFonts w:ascii="Times New Roman" w:hAnsi="Times New Roman" w:eastAsia="仿宋_GB2312" w:cs="Times New Roman"/>
                <w:color w:val="auto"/>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0EF29">
            <w:pPr>
              <w:jc w:val="center"/>
              <w:rPr>
                <w:rFonts w:ascii="Times New Roman" w:hAnsi="Times New Roman" w:eastAsia="仿宋_GB2312" w:cs="Times New Roman"/>
                <w:color w:val="auto"/>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E35B7">
            <w:pPr>
              <w:jc w:val="center"/>
              <w:rPr>
                <w:rFonts w:ascii="Times New Roman" w:hAnsi="Times New Roman" w:eastAsia="仿宋_GB2312" w:cs="Times New Roman"/>
                <w:color w:val="auto"/>
                <w:sz w:val="24"/>
                <w:szCs w:val="24"/>
              </w:rPr>
            </w:pPr>
          </w:p>
        </w:tc>
      </w:tr>
      <w:tr w14:paraId="6B6AD0FB">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EDD68">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92B7">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1A20">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6A5E">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4343">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5128">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8703">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6</w:t>
            </w:r>
          </w:p>
        </w:tc>
      </w:tr>
      <w:tr w14:paraId="4E0C380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5E5C9">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6B6A">
            <w:pPr>
              <w:jc w:val="center"/>
              <w:rPr>
                <w:rFonts w:hint="eastAsia" w:ascii="Times New Roman" w:hAnsi="Times New Roman" w:eastAsia="仿宋_GB2312" w:cs="Times New Roman"/>
                <w:color w:val="auto"/>
                <w:sz w:val="24"/>
                <w:szCs w:val="24"/>
                <w:lang w:eastAsia="zh-CN"/>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ABD96">
            <w:pPr>
              <w:jc w:val="cente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EBFC">
            <w:pPr>
              <w:jc w:val="cente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37C0">
            <w:pPr>
              <w:jc w:val="cente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AF76">
            <w:pPr>
              <w:jc w:val="cente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F4F9">
            <w:pPr>
              <w:jc w:val="center"/>
              <w:rPr>
                <w:rFonts w:ascii="Times New Roman" w:hAnsi="Times New Roman" w:eastAsia="仿宋_GB2312" w:cs="Times New Roman"/>
                <w:color w:val="auto"/>
                <w:sz w:val="24"/>
                <w:szCs w:val="24"/>
              </w:rPr>
            </w:pPr>
          </w:p>
        </w:tc>
      </w:tr>
      <w:tr w14:paraId="02B8A14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A6266">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9100">
            <w:pPr>
              <w:rPr>
                <w:rFonts w:ascii="Times New Roman" w:hAnsi="Times New Roman" w:eastAsia="仿宋_GB2312" w:cs="Times New Roman"/>
                <w:color w:val="auto"/>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DFBA0">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D452">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9740E">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0F67">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7049">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AC88">
            <w:pPr>
              <w:rPr>
                <w:rFonts w:ascii="Times New Roman" w:hAnsi="Times New Roman" w:eastAsia="仿宋_GB2312" w:cs="Times New Roman"/>
                <w:color w:val="auto"/>
                <w:sz w:val="24"/>
                <w:szCs w:val="24"/>
              </w:rPr>
            </w:pPr>
          </w:p>
        </w:tc>
      </w:tr>
      <w:tr w14:paraId="55C2E3B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E56A">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D3B0">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39A7">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0CD06">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175C">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DD32">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F373">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925B">
            <w:pPr>
              <w:rPr>
                <w:rFonts w:ascii="Times New Roman" w:hAnsi="Times New Roman" w:eastAsia="仿宋_GB2312" w:cs="Times New Roman"/>
                <w:color w:val="auto"/>
                <w:sz w:val="24"/>
                <w:szCs w:val="24"/>
              </w:rPr>
            </w:pPr>
          </w:p>
        </w:tc>
      </w:tr>
      <w:tr w14:paraId="4C74567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D831">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4BE3">
            <w:pPr>
              <w:rPr>
                <w:rFonts w:ascii="Times New Roman" w:hAnsi="Times New Roman" w:eastAsia="仿宋_GB2312" w:cs="Times New Roman"/>
                <w:color w:val="auto"/>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8AE1">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A3F3">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09E4A">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61937">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F691D">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74A62">
            <w:pPr>
              <w:rPr>
                <w:rFonts w:ascii="Times New Roman" w:hAnsi="Times New Roman" w:eastAsia="仿宋_GB2312" w:cs="Times New Roman"/>
                <w:color w:val="auto"/>
                <w:sz w:val="24"/>
                <w:szCs w:val="24"/>
              </w:rPr>
            </w:pPr>
          </w:p>
        </w:tc>
      </w:tr>
      <w:tr w14:paraId="24505A8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3E9D4">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B5E4A">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04BC">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65EE8">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B1DD">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403C9">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DE53">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DADD">
            <w:pPr>
              <w:rPr>
                <w:rFonts w:ascii="Times New Roman" w:hAnsi="Times New Roman" w:eastAsia="仿宋_GB2312" w:cs="Times New Roman"/>
                <w:color w:val="auto"/>
                <w:sz w:val="24"/>
                <w:szCs w:val="24"/>
              </w:rPr>
            </w:pPr>
          </w:p>
        </w:tc>
      </w:tr>
      <w:tr w14:paraId="10DDD58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A4CB4">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79B70">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BD6BD">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B946">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411F6">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8F4BA">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2B67">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17A54">
            <w:pPr>
              <w:rPr>
                <w:rFonts w:ascii="Times New Roman" w:hAnsi="Times New Roman" w:eastAsia="仿宋_GB2312" w:cs="Times New Roman"/>
                <w:color w:val="auto"/>
                <w:sz w:val="24"/>
                <w:szCs w:val="24"/>
              </w:rPr>
            </w:pPr>
          </w:p>
        </w:tc>
      </w:tr>
      <w:tr w14:paraId="0669E61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8A31">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61F2">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5B046">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4052E">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719A">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070B">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78402">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964D">
            <w:pPr>
              <w:rPr>
                <w:rFonts w:ascii="Times New Roman" w:hAnsi="Times New Roman" w:eastAsia="仿宋_GB2312" w:cs="Times New Roman"/>
                <w:color w:val="auto"/>
                <w:sz w:val="24"/>
                <w:szCs w:val="24"/>
              </w:rPr>
            </w:pPr>
          </w:p>
        </w:tc>
      </w:tr>
    </w:tbl>
    <w:p w14:paraId="7521A9B4">
      <w:pPr>
        <w:widowControl/>
        <w:spacing w:before="120"/>
        <w:jc w:val="left"/>
        <w:textAlignment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注：本表反映部门本年度政府性基金预算财政拨款收入、支出及结转和结余情况。</w:t>
      </w:r>
    </w:p>
    <w:p w14:paraId="5E88F116">
      <w:pPr>
        <w:widowControl/>
        <w:jc w:val="left"/>
        <w:textAlignment w:val="center"/>
        <w:rPr>
          <w:rFonts w:ascii="Times New Roman" w:hAnsi="Times New Roman" w:eastAsia="仿宋_GB2312" w:cs="Times New Roman"/>
          <w:color w:val="auto"/>
          <w:kern w:val="0"/>
          <w:sz w:val="24"/>
          <w:szCs w:val="24"/>
        </w:rPr>
      </w:pPr>
    </w:p>
    <w:p w14:paraId="6C53CD2F">
      <w:pPr>
        <w:widowControl/>
        <w:jc w:val="left"/>
        <w:textAlignment w:val="center"/>
        <w:rPr>
          <w:rFonts w:ascii="Times New Roman" w:hAnsi="Times New Roman" w:eastAsia="仿宋_GB2312" w:cs="Times New Roman"/>
          <w:color w:val="auto"/>
          <w:kern w:val="0"/>
          <w:sz w:val="24"/>
          <w:szCs w:val="24"/>
        </w:rPr>
      </w:pPr>
      <w:r>
        <w:rPr>
          <w:rFonts w:ascii="Times New Roman" w:hAnsi="Times New Roman" w:eastAsia="仿宋_GB2312" w:cs="Times New Roman"/>
          <w:b/>
          <w:bCs/>
          <w:color w:val="auto"/>
          <w:kern w:val="0"/>
          <w:sz w:val="24"/>
          <w:szCs w:val="24"/>
        </w:rPr>
        <w:t>说明：我单位没有政府性基金收入，也没有使用政府性基金安排的支出，故本表无数据。</w:t>
      </w:r>
    </w:p>
    <w:p w14:paraId="3A772F79">
      <w:pPr>
        <w:widowControl/>
        <w:jc w:val="center"/>
        <w:rPr>
          <w:rFonts w:ascii="Times New Roman" w:hAnsi="Times New Roman" w:eastAsia="方正小标宋_GBK" w:cs="Times New Roman"/>
          <w:color w:val="auto"/>
          <w:kern w:val="0"/>
          <w:sz w:val="36"/>
          <w:szCs w:val="36"/>
        </w:rPr>
      </w:pPr>
    </w:p>
    <w:p w14:paraId="47688673">
      <w:pPr>
        <w:widowControl/>
        <w:spacing w:line="400" w:lineRule="exact"/>
        <w:textAlignment w:val="center"/>
        <w:rPr>
          <w:rFonts w:ascii="Times New Roman" w:hAnsi="Times New Roman" w:eastAsia="黑体" w:cs="Times New Roman"/>
          <w:color w:val="auto"/>
          <w:kern w:val="0"/>
          <w:sz w:val="36"/>
          <w:szCs w:val="36"/>
        </w:rPr>
      </w:pPr>
    </w:p>
    <w:p w14:paraId="09B4E521">
      <w:pPr>
        <w:widowControl/>
        <w:spacing w:after="156" w:afterLines="50"/>
        <w:jc w:val="center"/>
        <w:textAlignment w:val="center"/>
        <w:rPr>
          <w:rFonts w:ascii="Times New Roman" w:hAnsi="Times New Roman" w:eastAsia="黑体" w:cs="Times New Roman"/>
          <w:color w:val="auto"/>
          <w:kern w:val="0"/>
          <w:sz w:val="36"/>
          <w:szCs w:val="36"/>
        </w:rPr>
      </w:pPr>
      <w:r>
        <w:rPr>
          <w:rFonts w:ascii="Times New Roman" w:hAnsi="Times New Roman" w:eastAsia="黑体" w:cs="Times New Roman"/>
          <w:color w:val="auto"/>
          <w:kern w:val="0"/>
          <w:sz w:val="36"/>
          <w:szCs w:val="36"/>
        </w:rPr>
        <w:t>国有资本经营预算财政拨款支出决算表</w:t>
      </w:r>
    </w:p>
    <w:p w14:paraId="5B3477C6">
      <w:pPr>
        <w:widowControl/>
        <w:tabs>
          <w:tab w:val="left" w:pos="1326"/>
          <w:tab w:val="left" w:pos="2027"/>
          <w:tab w:val="left" w:pos="4319"/>
          <w:tab w:val="left" w:pos="7634"/>
          <w:tab w:val="left" w:pos="10949"/>
        </w:tabs>
        <w:jc w:val="righ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rPr>
        <w:t xml:space="preserve">                                                                                                            公开08表</w:t>
      </w:r>
    </w:p>
    <w:p w14:paraId="538BBCA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rPr>
        <w:t>部门：</w:t>
      </w:r>
      <w:r>
        <w:rPr>
          <w:rFonts w:hint="eastAsia" w:ascii="Times New Roman" w:hAnsi="Times New Roman" w:eastAsia="仿宋_GB2312" w:cs="Times New Roman"/>
          <w:color w:val="auto"/>
          <w:kern w:val="0"/>
          <w:sz w:val="20"/>
          <w:szCs w:val="20"/>
          <w:lang w:eastAsia="zh-CN"/>
        </w:rPr>
        <w:t>怀化市农业科技教育促进中心</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hint="eastAsia" w:ascii="Times New Roman" w:hAnsi="Times New Roman" w:eastAsia="仿宋_GB2312" w:cs="Times New Roman"/>
          <w:color w:val="auto"/>
          <w:sz w:val="20"/>
          <w:szCs w:val="20"/>
          <w:lang w:val="en-US" w:eastAsia="zh-CN"/>
        </w:rPr>
        <w:t xml:space="preserve">             </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kern w:val="0"/>
          <w:sz w:val="20"/>
          <w:szCs w:val="20"/>
        </w:rPr>
        <w:t>单位：万元</w:t>
      </w:r>
    </w:p>
    <w:tbl>
      <w:tblPr>
        <w:tblStyle w:val="13"/>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24D8E35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1222C">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 xml:space="preserve">项 </w:t>
            </w:r>
            <w:r>
              <w:rPr>
                <w:rFonts w:ascii="Times New Roman" w:hAnsi="Times New Roman" w:eastAsia="仿宋_GB2312" w:cs="Times New Roman"/>
                <w:b/>
                <w:bCs/>
                <w:color w:val="auto"/>
                <w:kern w:val="0"/>
                <w:sz w:val="22"/>
              </w:rPr>
              <w:t xml:space="preserve">   </w:t>
            </w:r>
            <w:r>
              <w:rPr>
                <w:rStyle w:val="23"/>
                <w:rFonts w:hint="default" w:ascii="Times New Roman" w:hAnsi="Times New Roman" w:eastAsia="仿宋_GB2312" w:cs="Times New Roman"/>
                <w:b/>
                <w:bCs/>
                <w:color w:val="auto"/>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3F5FB">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本年支出</w:t>
            </w:r>
          </w:p>
        </w:tc>
      </w:tr>
      <w:tr w14:paraId="0A616A1B">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4AB473">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EE35A">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11896">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A35A5E">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04C550">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rPr>
              <w:t>项目支出</w:t>
            </w:r>
          </w:p>
        </w:tc>
      </w:tr>
      <w:tr w14:paraId="7B4B2877">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5F74D">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B1E7B">
            <w:pPr>
              <w:jc w:val="center"/>
              <w:rPr>
                <w:rFonts w:ascii="Times New Roman" w:hAnsi="Times New Roman" w:eastAsia="仿宋_GB2312" w:cs="Times New Roman"/>
                <w:color w:val="auto"/>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A3DFA">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1DFC9">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E2446">
            <w:pPr>
              <w:jc w:val="center"/>
              <w:rPr>
                <w:rFonts w:ascii="Times New Roman" w:hAnsi="Times New Roman" w:eastAsia="仿宋_GB2312" w:cs="Times New Roman"/>
                <w:color w:val="auto"/>
                <w:sz w:val="24"/>
                <w:szCs w:val="24"/>
              </w:rPr>
            </w:pPr>
          </w:p>
        </w:tc>
      </w:tr>
      <w:tr w14:paraId="2CEC1130">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D29E9">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54D16">
            <w:pPr>
              <w:jc w:val="center"/>
              <w:rPr>
                <w:rFonts w:ascii="Times New Roman" w:hAnsi="Times New Roman" w:eastAsia="仿宋_GB2312" w:cs="Times New Roman"/>
                <w:color w:val="auto"/>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A4DF8">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C92FE">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29D70">
            <w:pPr>
              <w:jc w:val="center"/>
              <w:rPr>
                <w:rFonts w:ascii="Times New Roman" w:hAnsi="Times New Roman" w:eastAsia="仿宋_GB2312" w:cs="Times New Roman"/>
                <w:color w:val="auto"/>
                <w:sz w:val="24"/>
                <w:szCs w:val="24"/>
              </w:rPr>
            </w:pPr>
          </w:p>
        </w:tc>
      </w:tr>
      <w:tr w14:paraId="7B1420D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5407D5">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C13C5">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7D020">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40C84">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3</w:t>
            </w:r>
          </w:p>
        </w:tc>
      </w:tr>
      <w:tr w14:paraId="0609051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73B9C">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CBC4C">
            <w:pPr>
              <w:jc w:val="center"/>
              <w:rPr>
                <w:rFonts w:hint="eastAsia" w:ascii="Times New Roman" w:hAnsi="Times New Roman" w:eastAsia="仿宋_GB2312" w:cs="Times New Roman"/>
                <w:color w:val="auto"/>
                <w:sz w:val="24"/>
                <w:szCs w:val="24"/>
                <w:lang w:eastAsia="zh-CN"/>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F7BC8">
            <w:pPr>
              <w:jc w:val="cente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0D3E8">
            <w:pPr>
              <w:jc w:val="center"/>
              <w:rPr>
                <w:rFonts w:ascii="Times New Roman" w:hAnsi="Times New Roman" w:eastAsia="仿宋_GB2312" w:cs="Times New Roman"/>
                <w:color w:val="auto"/>
                <w:sz w:val="24"/>
                <w:szCs w:val="24"/>
              </w:rPr>
            </w:pPr>
          </w:p>
        </w:tc>
      </w:tr>
      <w:tr w14:paraId="44E0A80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C65B">
            <w:pPr>
              <w:jc w:val="cente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7C681">
            <w:pPr>
              <w:rPr>
                <w:rFonts w:ascii="Times New Roman" w:hAnsi="Times New Roman" w:eastAsia="仿宋_GB2312" w:cs="Times New Roman"/>
                <w:color w:val="auto"/>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E0040">
            <w:pP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A64F2">
            <w:pP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AB038">
            <w:pPr>
              <w:rPr>
                <w:rFonts w:ascii="Times New Roman" w:hAnsi="Times New Roman" w:eastAsia="仿宋_GB2312" w:cs="Times New Roman"/>
                <w:color w:val="auto"/>
                <w:sz w:val="24"/>
                <w:szCs w:val="24"/>
              </w:rPr>
            </w:pPr>
          </w:p>
        </w:tc>
      </w:tr>
      <w:tr w14:paraId="24D22BB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29929">
            <w:pPr>
              <w:jc w:val="cente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FE80F">
            <w:pPr>
              <w:rPr>
                <w:rFonts w:ascii="Times New Roman" w:hAnsi="Times New Roman" w:eastAsia="仿宋_GB2312" w:cs="Times New Roman"/>
                <w:color w:val="auto"/>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7D09C">
            <w:pP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E19C1">
            <w:pP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F0263">
            <w:pPr>
              <w:rPr>
                <w:rFonts w:ascii="Times New Roman" w:hAnsi="Times New Roman" w:eastAsia="仿宋_GB2312" w:cs="Times New Roman"/>
                <w:color w:val="auto"/>
                <w:sz w:val="24"/>
                <w:szCs w:val="24"/>
              </w:rPr>
            </w:pPr>
          </w:p>
        </w:tc>
      </w:tr>
      <w:tr w14:paraId="60EF027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36862">
            <w:pPr>
              <w:jc w:val="cente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DCAAC">
            <w:pPr>
              <w:rPr>
                <w:rFonts w:ascii="Times New Roman" w:hAnsi="Times New Roman" w:eastAsia="宋体" w:cs="Times New Roman"/>
                <w:color w:val="auto"/>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A3379">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C2123">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9D026">
            <w:pPr>
              <w:rPr>
                <w:rFonts w:ascii="Times New Roman" w:hAnsi="Times New Roman" w:eastAsia="宋体" w:cs="Times New Roman"/>
                <w:color w:val="auto"/>
                <w:sz w:val="24"/>
                <w:szCs w:val="24"/>
              </w:rPr>
            </w:pPr>
          </w:p>
        </w:tc>
      </w:tr>
      <w:tr w14:paraId="01DEC0B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8D646">
            <w:pPr>
              <w:jc w:val="cente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4B5F0">
            <w:pPr>
              <w:rPr>
                <w:rFonts w:ascii="Times New Roman" w:hAnsi="Times New Roman" w:eastAsia="宋体" w:cs="Times New Roman"/>
                <w:color w:val="auto"/>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E9555">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1D293">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9732">
            <w:pPr>
              <w:rPr>
                <w:rFonts w:ascii="Times New Roman" w:hAnsi="Times New Roman" w:eastAsia="宋体" w:cs="Times New Roman"/>
                <w:color w:val="auto"/>
                <w:sz w:val="24"/>
                <w:szCs w:val="24"/>
              </w:rPr>
            </w:pPr>
          </w:p>
        </w:tc>
      </w:tr>
      <w:tr w14:paraId="1B5FE06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10CCA">
            <w:pPr>
              <w:jc w:val="cente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E1B4A">
            <w:pPr>
              <w:rPr>
                <w:rFonts w:ascii="Times New Roman" w:hAnsi="Times New Roman" w:eastAsia="宋体" w:cs="Times New Roman"/>
                <w:color w:val="auto"/>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680E2">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FDCB7">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7BC90">
            <w:pPr>
              <w:rPr>
                <w:rFonts w:ascii="Times New Roman" w:hAnsi="Times New Roman" w:eastAsia="宋体" w:cs="Times New Roman"/>
                <w:color w:val="auto"/>
                <w:sz w:val="24"/>
                <w:szCs w:val="24"/>
              </w:rPr>
            </w:pPr>
          </w:p>
        </w:tc>
      </w:tr>
      <w:tr w14:paraId="65B792D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215C0">
            <w:pPr>
              <w:jc w:val="cente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AF2BD">
            <w:pPr>
              <w:rPr>
                <w:rFonts w:ascii="Times New Roman" w:hAnsi="Times New Roman" w:eastAsia="宋体" w:cs="Times New Roman"/>
                <w:color w:val="auto"/>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E87A2">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44A32">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ABA4F">
            <w:pPr>
              <w:rPr>
                <w:rFonts w:ascii="Times New Roman" w:hAnsi="Times New Roman" w:eastAsia="宋体" w:cs="Times New Roman"/>
                <w:color w:val="auto"/>
                <w:sz w:val="24"/>
                <w:szCs w:val="24"/>
              </w:rPr>
            </w:pPr>
          </w:p>
        </w:tc>
      </w:tr>
    </w:tbl>
    <w:p w14:paraId="2EE29A74">
      <w:pPr>
        <w:widowControl/>
        <w:spacing w:before="120"/>
        <w:jc w:val="left"/>
        <w:textAlignment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注：本表反映部门本年度国有资本经营预算财政拨款支出情况。</w:t>
      </w:r>
    </w:p>
    <w:p w14:paraId="3C19C438">
      <w:pPr>
        <w:widowControl/>
        <w:jc w:val="left"/>
        <w:textAlignment w:val="center"/>
        <w:rPr>
          <w:rFonts w:ascii="Times New Roman" w:hAnsi="Times New Roman" w:eastAsia="宋体" w:cs="Times New Roman"/>
          <w:color w:val="auto"/>
          <w:kern w:val="0"/>
          <w:sz w:val="24"/>
          <w:szCs w:val="24"/>
        </w:rPr>
      </w:pPr>
    </w:p>
    <w:p w14:paraId="6CF057A2">
      <w:pPr>
        <w:widowControl/>
        <w:jc w:val="left"/>
        <w:textAlignment w:val="center"/>
        <w:rPr>
          <w:rFonts w:ascii="Times New Roman" w:hAnsi="Times New Roman" w:eastAsia="楷体_GB2312" w:cs="Times New Roman"/>
          <w:color w:val="auto"/>
          <w:kern w:val="0"/>
          <w:sz w:val="24"/>
          <w:szCs w:val="24"/>
        </w:rPr>
      </w:pPr>
      <w:r>
        <w:rPr>
          <w:rFonts w:ascii="Times New Roman" w:hAnsi="Times New Roman" w:eastAsia="楷体_GB2312" w:cs="Times New Roman"/>
          <w:b/>
          <w:bCs/>
          <w:color w:val="auto"/>
          <w:kern w:val="0"/>
          <w:sz w:val="24"/>
          <w:szCs w:val="24"/>
        </w:rPr>
        <w:t>说明：我单位没有使用国有资本经营预算安排的支出，故本表无数据。</w:t>
      </w:r>
    </w:p>
    <w:p w14:paraId="0CAB282A">
      <w:pPr>
        <w:widowControl/>
        <w:jc w:val="center"/>
        <w:rPr>
          <w:rFonts w:ascii="Times New Roman" w:hAnsi="Times New Roman" w:eastAsia="方正小标宋_GBK" w:cs="Times New Roman"/>
          <w:color w:val="auto"/>
          <w:kern w:val="0"/>
          <w:sz w:val="36"/>
          <w:szCs w:val="36"/>
        </w:rPr>
      </w:pPr>
    </w:p>
    <w:p w14:paraId="59AF6498">
      <w:pPr>
        <w:pStyle w:val="12"/>
        <w:spacing w:line="400" w:lineRule="exact"/>
        <w:rPr>
          <w:rFonts w:ascii="Times New Roman" w:hAnsi="Times New Roman" w:eastAsia="华文中宋" w:cs="Times New Roman"/>
          <w:color w:val="auto"/>
          <w:kern w:val="0"/>
          <w:sz w:val="32"/>
          <w:szCs w:val="32"/>
        </w:rPr>
      </w:pPr>
    </w:p>
    <w:p w14:paraId="7B6D2D20">
      <w:pPr>
        <w:widowControl/>
        <w:spacing w:after="156" w:afterLines="50"/>
        <w:jc w:val="center"/>
        <w:textAlignment w:val="center"/>
        <w:rPr>
          <w:rFonts w:ascii="Times New Roman" w:hAnsi="Times New Roman" w:eastAsia="黑体" w:cs="Times New Roman"/>
          <w:color w:val="auto"/>
          <w:kern w:val="0"/>
          <w:sz w:val="36"/>
          <w:szCs w:val="36"/>
        </w:rPr>
      </w:pPr>
      <w:r>
        <w:rPr>
          <w:rFonts w:ascii="Times New Roman" w:hAnsi="Times New Roman" w:eastAsia="黑体" w:cs="Times New Roman"/>
          <w:color w:val="auto"/>
          <w:kern w:val="0"/>
          <w:sz w:val="36"/>
          <w:szCs w:val="36"/>
        </w:rPr>
        <w:t>财政拨款“三公”经费支出决算表</w:t>
      </w:r>
    </w:p>
    <w:p w14:paraId="30BE307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auto"/>
          <w:sz w:val="20"/>
          <w:szCs w:val="20"/>
        </w:rPr>
      </w:pP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kern w:val="0"/>
          <w:sz w:val="20"/>
          <w:szCs w:val="20"/>
        </w:rPr>
        <w:t>公开09表</w:t>
      </w:r>
    </w:p>
    <w:p w14:paraId="2CC364F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auto"/>
          <w:sz w:val="20"/>
          <w:szCs w:val="20"/>
        </w:rPr>
      </w:pPr>
      <w:r>
        <w:rPr>
          <w:rFonts w:ascii="Times New Roman" w:hAnsi="Times New Roman" w:eastAsia="楷体_GB2312" w:cs="Times New Roman"/>
          <w:color w:val="auto"/>
          <w:kern w:val="0"/>
          <w:sz w:val="20"/>
          <w:szCs w:val="20"/>
        </w:rPr>
        <w:t>部门：</w:t>
      </w:r>
      <w:r>
        <w:rPr>
          <w:rFonts w:hint="eastAsia" w:ascii="Times New Roman" w:hAnsi="Times New Roman" w:eastAsia="楷体_GB2312" w:cs="Times New Roman"/>
          <w:color w:val="auto"/>
          <w:kern w:val="0"/>
          <w:sz w:val="20"/>
          <w:szCs w:val="20"/>
          <w:lang w:eastAsia="zh-CN"/>
        </w:rPr>
        <w:t>怀化市农业科技教育促进中心</w:t>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kern w:val="0"/>
          <w:sz w:val="20"/>
          <w:szCs w:val="20"/>
        </w:rPr>
        <w:t>单位：万元</w:t>
      </w:r>
    </w:p>
    <w:tbl>
      <w:tblPr>
        <w:tblStyle w:val="13"/>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96298D9">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6CD004">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4F4BE3">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决算数</w:t>
            </w:r>
          </w:p>
        </w:tc>
      </w:tr>
      <w:tr w14:paraId="38BE4B0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7540E">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45F86">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5B2C63">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5AA6C">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C3138">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38358">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A10750">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C193B">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公务接待费</w:t>
            </w:r>
          </w:p>
        </w:tc>
      </w:tr>
      <w:tr w14:paraId="43180148">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0003A">
            <w:pPr>
              <w:jc w:val="center"/>
              <w:rPr>
                <w:rFonts w:ascii="Times New Roman" w:hAnsi="Times New Roman" w:eastAsia="仿宋_GB2312" w:cs="Times New Roman"/>
                <w:color w:val="auto"/>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A4554">
            <w:pPr>
              <w:jc w:val="center"/>
              <w:rPr>
                <w:rFonts w:ascii="Times New Roman" w:hAnsi="Times New Roman" w:eastAsia="仿宋_GB2312" w:cs="Times New Roman"/>
                <w:color w:val="auto"/>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2260F">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1E7E3">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公务用车</w:t>
            </w:r>
            <w:r>
              <w:rPr>
                <w:rFonts w:ascii="Times New Roman" w:hAnsi="Times New Roman" w:eastAsia="仿宋_GB2312" w:cs="Times New Roman"/>
                <w:b/>
                <w:bCs/>
                <w:color w:val="auto"/>
                <w:kern w:val="0"/>
                <w:sz w:val="22"/>
              </w:rPr>
              <w:br w:type="textWrapping"/>
            </w:r>
            <w:r>
              <w:rPr>
                <w:rFonts w:ascii="Times New Roman" w:hAnsi="Times New Roman" w:eastAsia="仿宋_GB2312" w:cs="Times New Roman"/>
                <w:b/>
                <w:bCs/>
                <w:color w:val="auto"/>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A48C2">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公务用车</w:t>
            </w:r>
            <w:r>
              <w:rPr>
                <w:rFonts w:ascii="Times New Roman" w:hAnsi="Times New Roman" w:eastAsia="仿宋_GB2312" w:cs="Times New Roman"/>
                <w:b/>
                <w:bCs/>
                <w:color w:val="auto"/>
                <w:kern w:val="0"/>
                <w:sz w:val="22"/>
              </w:rPr>
              <w:br w:type="textWrapping"/>
            </w:r>
            <w:r>
              <w:rPr>
                <w:rFonts w:ascii="Times New Roman" w:hAnsi="Times New Roman" w:eastAsia="仿宋_GB2312" w:cs="Times New Roman"/>
                <w:b/>
                <w:bCs/>
                <w:color w:val="auto"/>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A3DD5">
            <w:pPr>
              <w:jc w:val="center"/>
              <w:rPr>
                <w:rFonts w:ascii="Times New Roman" w:hAnsi="Times New Roman" w:eastAsia="仿宋_GB2312" w:cs="Times New Roman"/>
                <w:color w:val="auto"/>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F144E">
            <w:pPr>
              <w:jc w:val="center"/>
              <w:rPr>
                <w:rFonts w:ascii="Times New Roman" w:hAnsi="Times New Roman" w:eastAsia="仿宋_GB2312" w:cs="Times New Roman"/>
                <w:color w:val="auto"/>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751F2">
            <w:pPr>
              <w:jc w:val="center"/>
              <w:rPr>
                <w:rFonts w:ascii="Times New Roman" w:hAnsi="Times New Roman" w:eastAsia="仿宋_GB2312" w:cs="Times New Roman"/>
                <w:color w:val="auto"/>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5976F">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2755D">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公务用车</w:t>
            </w:r>
            <w:r>
              <w:rPr>
                <w:rFonts w:ascii="Times New Roman" w:hAnsi="Times New Roman" w:eastAsia="仿宋_GB2312" w:cs="Times New Roman"/>
                <w:b/>
                <w:bCs/>
                <w:color w:val="auto"/>
                <w:kern w:val="0"/>
                <w:sz w:val="22"/>
              </w:rPr>
              <w:br w:type="textWrapping"/>
            </w:r>
            <w:r>
              <w:rPr>
                <w:rFonts w:ascii="Times New Roman" w:hAnsi="Times New Roman" w:eastAsia="仿宋_GB2312" w:cs="Times New Roman"/>
                <w:b/>
                <w:bCs/>
                <w:color w:val="auto"/>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9799A">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rPr>
              <w:t>公务用车</w:t>
            </w:r>
            <w:r>
              <w:rPr>
                <w:rFonts w:ascii="Times New Roman" w:hAnsi="Times New Roman" w:eastAsia="仿宋_GB2312" w:cs="Times New Roman"/>
                <w:b/>
                <w:bCs/>
                <w:color w:val="auto"/>
                <w:kern w:val="0"/>
                <w:sz w:val="22"/>
              </w:rPr>
              <w:br w:type="textWrapping"/>
            </w:r>
            <w:r>
              <w:rPr>
                <w:rFonts w:ascii="Times New Roman" w:hAnsi="Times New Roman" w:eastAsia="仿宋_GB2312" w:cs="Times New Roman"/>
                <w:b/>
                <w:bCs/>
                <w:color w:val="auto"/>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9E859">
            <w:pPr>
              <w:jc w:val="center"/>
              <w:rPr>
                <w:rFonts w:ascii="Times New Roman" w:hAnsi="Times New Roman" w:eastAsia="仿宋_GB2312" w:cs="Times New Roman"/>
                <w:color w:val="auto"/>
                <w:sz w:val="22"/>
              </w:rPr>
            </w:pPr>
          </w:p>
        </w:tc>
      </w:tr>
      <w:tr w14:paraId="7986815F">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D3B31">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71758">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F0FB5">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6F858">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C2793">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F1019">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6C56F">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8D449">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13C6A">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429CE">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60E75">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4D44">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rPr>
              <w:t>12</w:t>
            </w:r>
          </w:p>
        </w:tc>
      </w:tr>
      <w:tr w14:paraId="2B87C4B9">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04FD5">
            <w:pP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0.20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54D62">
            <w:pPr>
              <w:rPr>
                <w:rFonts w:ascii="Times New Roman" w:hAnsi="Times New Roman" w:eastAsia="仿宋_GB2312" w:cs="Times New Roman"/>
                <w:color w:val="auto"/>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BA4DF">
            <w:pPr>
              <w:rPr>
                <w:rFonts w:ascii="Times New Roman" w:hAnsi="Times New Roman" w:eastAsia="仿宋_GB2312" w:cs="Times New Roman"/>
                <w:color w:val="auto"/>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A5F33">
            <w:pPr>
              <w:rPr>
                <w:rFonts w:ascii="Times New Roman" w:hAnsi="Times New Roman" w:eastAsia="仿宋_GB2312" w:cs="Times New Roman"/>
                <w:color w:val="auto"/>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1F71A">
            <w:pPr>
              <w:rPr>
                <w:rFonts w:ascii="Times New Roman" w:hAnsi="Times New Roman" w:eastAsia="仿宋_GB2312" w:cs="Times New Roman"/>
                <w:color w:val="auto"/>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9A782">
            <w:pP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0.20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45D3B">
            <w:pP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D3E3E">
            <w:pPr>
              <w:rPr>
                <w:rFonts w:ascii="Times New Roman" w:hAnsi="Times New Roman" w:eastAsia="仿宋_GB2312" w:cs="Times New Roman"/>
                <w:color w:val="auto"/>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64CDA">
            <w:pPr>
              <w:rPr>
                <w:rFonts w:ascii="Times New Roman" w:hAnsi="Times New Roman" w:eastAsia="仿宋_GB2312" w:cs="Times New Roman"/>
                <w:color w:val="auto"/>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FEB6B">
            <w:pPr>
              <w:rPr>
                <w:rFonts w:ascii="Times New Roman" w:hAnsi="Times New Roman" w:eastAsia="仿宋_GB2312" w:cs="Times New Roman"/>
                <w:color w:val="auto"/>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394EA">
            <w:pPr>
              <w:rPr>
                <w:rFonts w:ascii="Times New Roman" w:hAnsi="Times New Roman" w:eastAsia="仿宋_GB2312" w:cs="Times New Roman"/>
                <w:color w:val="auto"/>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2FDA5">
            <w:pPr>
              <w:rPr>
                <w:rFonts w:hint="default" w:ascii="Times New Roman" w:hAnsi="Times New Roman" w:eastAsia="仿宋_GB2312" w:cs="Times New Roman"/>
                <w:color w:val="auto"/>
                <w:sz w:val="22"/>
                <w:lang w:val="en-US" w:eastAsia="zh-CN"/>
              </w:rPr>
            </w:pPr>
            <w:r>
              <w:rPr>
                <w:rFonts w:hint="eastAsia" w:ascii="Times New Roman" w:hAnsi="Times New Roman" w:eastAsia="仿宋_GB2312" w:cs="Times New Roman"/>
                <w:color w:val="auto"/>
                <w:sz w:val="22"/>
                <w:lang w:val="en-US" w:eastAsia="zh-CN"/>
              </w:rPr>
              <w:t>0.00</w:t>
            </w:r>
          </w:p>
        </w:tc>
      </w:tr>
    </w:tbl>
    <w:p w14:paraId="7E703A2B">
      <w:pPr>
        <w:widowControl/>
        <w:spacing w:before="120"/>
        <w:jc w:val="left"/>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6CE16437">
      <w:pPr>
        <w:autoSpaceDE w:val="0"/>
        <w:autoSpaceDN w:val="0"/>
        <w:adjustRightInd w:val="0"/>
        <w:ind w:left="315" w:leftChars="150"/>
        <w:jc w:val="left"/>
        <w:rPr>
          <w:rFonts w:ascii="Times New Roman" w:hAnsi="Times New Roman" w:eastAsia="宋体" w:cs="Times New Roman"/>
          <w:color w:val="auto"/>
          <w:kern w:val="0"/>
          <w:sz w:val="24"/>
          <w:szCs w:val="24"/>
        </w:rPr>
      </w:pPr>
    </w:p>
    <w:p w14:paraId="4FF346E9">
      <w:pPr>
        <w:autoSpaceDE w:val="0"/>
        <w:autoSpaceDN w:val="0"/>
        <w:adjustRightInd w:val="0"/>
        <w:ind w:left="315" w:leftChars="150"/>
        <w:jc w:val="left"/>
        <w:rPr>
          <w:rFonts w:ascii="Times New Roman" w:hAnsi="Times New Roman" w:eastAsia="宋体" w:cs="Times New Roman"/>
          <w:color w:val="auto"/>
          <w:kern w:val="0"/>
          <w:sz w:val="24"/>
          <w:szCs w:val="24"/>
        </w:rPr>
      </w:pPr>
    </w:p>
    <w:p w14:paraId="1C5DE92A">
      <w:pPr>
        <w:autoSpaceDE w:val="0"/>
        <w:autoSpaceDN w:val="0"/>
        <w:adjustRightInd w:val="0"/>
        <w:ind w:left="315" w:leftChars="150"/>
        <w:jc w:val="left"/>
        <w:rPr>
          <w:rFonts w:ascii="Times New Roman" w:hAnsi="Times New Roman" w:eastAsia="宋体" w:cs="Times New Roman"/>
          <w:color w:val="auto"/>
          <w:kern w:val="0"/>
          <w:sz w:val="24"/>
          <w:szCs w:val="24"/>
        </w:rPr>
      </w:pPr>
    </w:p>
    <w:p w14:paraId="355F4C37">
      <w:pPr>
        <w:autoSpaceDE w:val="0"/>
        <w:autoSpaceDN w:val="0"/>
        <w:adjustRightInd w:val="0"/>
        <w:ind w:left="315" w:leftChars="150"/>
        <w:jc w:val="left"/>
        <w:rPr>
          <w:rFonts w:ascii="Times New Roman" w:hAnsi="Times New Roman" w:eastAsia="宋体" w:cs="Times New Roman"/>
          <w:color w:val="auto"/>
          <w:kern w:val="0"/>
          <w:sz w:val="24"/>
          <w:szCs w:val="24"/>
        </w:rPr>
      </w:pPr>
    </w:p>
    <w:p w14:paraId="14047256">
      <w:pPr>
        <w:autoSpaceDE w:val="0"/>
        <w:autoSpaceDN w:val="0"/>
        <w:adjustRightInd w:val="0"/>
        <w:ind w:left="315" w:leftChars="150"/>
        <w:jc w:val="left"/>
        <w:rPr>
          <w:rFonts w:ascii="Times New Roman" w:hAnsi="Times New Roman" w:eastAsia="宋体" w:cs="Times New Roman"/>
          <w:color w:val="auto"/>
          <w:kern w:val="0"/>
          <w:sz w:val="24"/>
          <w:szCs w:val="24"/>
        </w:rPr>
      </w:pPr>
    </w:p>
    <w:p w14:paraId="0E4879A7">
      <w:pPr>
        <w:widowControl/>
        <w:rPr>
          <w:rFonts w:ascii="Times New Roman" w:hAnsi="Times New Roman" w:cs="Times New Roman"/>
          <w:color w:val="auto"/>
          <w:sz w:val="72"/>
          <w:szCs w:val="72"/>
        </w:rPr>
        <w:sectPr>
          <w:pgSz w:w="16838" w:h="11906" w:orient="landscape"/>
          <w:pgMar w:top="1134" w:right="1417" w:bottom="1134" w:left="1417" w:header="851" w:footer="992" w:gutter="0"/>
          <w:cols w:space="425" w:num="1"/>
          <w:docGrid w:type="lines" w:linePitch="312" w:charSpace="0"/>
        </w:sectPr>
      </w:pPr>
      <w:r>
        <w:rPr>
          <w:color w:val="auto"/>
        </w:rPr>
        <w:br w:type="page"/>
      </w:r>
    </w:p>
    <w:p w14:paraId="077D651B">
      <w:pPr>
        <w:pStyle w:val="18"/>
        <w:rPr>
          <w:rFonts w:ascii="Times New Roman" w:hAnsi="Times New Roman" w:cs="Times New Roman"/>
          <w:color w:val="auto"/>
          <w:sz w:val="72"/>
          <w:szCs w:val="72"/>
        </w:rPr>
      </w:pPr>
    </w:p>
    <w:p w14:paraId="33F29168">
      <w:pPr>
        <w:pStyle w:val="18"/>
        <w:rPr>
          <w:rFonts w:ascii="Times New Roman" w:hAnsi="Times New Roman" w:cs="Times New Roman"/>
          <w:color w:val="auto"/>
          <w:sz w:val="72"/>
          <w:szCs w:val="72"/>
        </w:rPr>
      </w:pPr>
    </w:p>
    <w:p w14:paraId="60880FA2">
      <w:pPr>
        <w:pStyle w:val="18"/>
        <w:rPr>
          <w:rFonts w:ascii="Times New Roman" w:hAnsi="Times New Roman" w:cs="Times New Roman"/>
          <w:color w:val="auto"/>
          <w:sz w:val="72"/>
          <w:szCs w:val="72"/>
        </w:rPr>
      </w:pPr>
    </w:p>
    <w:p w14:paraId="24A348C0">
      <w:pPr>
        <w:pStyle w:val="18"/>
        <w:jc w:val="center"/>
        <w:rPr>
          <w:rFonts w:ascii="Times New Roman" w:hAnsi="Times New Roman" w:cs="Times New Roman"/>
          <w:color w:val="auto"/>
          <w:sz w:val="72"/>
          <w:szCs w:val="72"/>
        </w:rPr>
      </w:pPr>
    </w:p>
    <w:p w14:paraId="4CE39F87">
      <w:pPr>
        <w:pStyle w:val="18"/>
        <w:jc w:val="center"/>
        <w:rPr>
          <w:rFonts w:ascii="Times New Roman" w:hAnsi="Times New Roman" w:eastAsia="方正小标宋_GBK" w:cs="Times New Roman"/>
          <w:color w:val="auto"/>
          <w:sz w:val="72"/>
          <w:szCs w:val="72"/>
        </w:rPr>
      </w:pPr>
    </w:p>
    <w:p w14:paraId="7079BBE2">
      <w:pPr>
        <w:pStyle w:val="18"/>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第三部分</w:t>
      </w:r>
    </w:p>
    <w:p w14:paraId="453093CB">
      <w:pPr>
        <w:pStyle w:val="18"/>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202</w:t>
      </w:r>
      <w:r>
        <w:rPr>
          <w:rFonts w:hint="eastAsia" w:ascii="Times New Roman" w:hAnsi="Times New Roman" w:eastAsia="方正小标宋_GBK" w:cs="Times New Roman"/>
          <w:color w:val="auto"/>
          <w:sz w:val="52"/>
          <w:szCs w:val="52"/>
          <w:lang w:val="en-US" w:eastAsia="zh-CN"/>
        </w:rPr>
        <w:t>5</w:t>
      </w:r>
      <w:r>
        <w:rPr>
          <w:rFonts w:ascii="Times New Roman" w:hAnsi="Times New Roman" w:eastAsia="方正小标宋_GBK" w:cs="Times New Roman"/>
          <w:color w:val="auto"/>
          <w:sz w:val="52"/>
          <w:szCs w:val="52"/>
        </w:rPr>
        <w:t>年度部门决算情况说明</w:t>
      </w:r>
    </w:p>
    <w:p w14:paraId="5FAAEF3A">
      <w:pPr>
        <w:widowControl/>
        <w:jc w:val="left"/>
        <w:rPr>
          <w:rFonts w:ascii="Times New Roman" w:hAnsi="Times New Roman" w:cs="Times New Roman"/>
          <w:color w:val="auto"/>
          <w:sz w:val="32"/>
          <w:szCs w:val="32"/>
        </w:rPr>
      </w:pPr>
      <w:r>
        <w:rPr>
          <w:color w:val="auto"/>
        </w:rPr>
        <w:br w:type="page"/>
      </w:r>
    </w:p>
    <w:p w14:paraId="0D39B6F3">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7" w:name="heading_8"/>
      <w:r>
        <w:rPr>
          <w:rFonts w:hint="eastAsia" w:cs="黑体"/>
          <w:b w:val="0"/>
          <w:bCs w:val="0"/>
          <w:color w:val="auto"/>
          <w:sz w:val="32"/>
          <w:szCs w:val="32"/>
          <w:lang w:eastAsia="zh-CN"/>
        </w:rPr>
        <w:t>一、</w:t>
      </w:r>
      <w:r>
        <w:rPr>
          <w:rFonts w:ascii="黑体" w:hAnsi="黑体" w:eastAsia="黑体" w:cs="黑体"/>
          <w:b w:val="0"/>
          <w:bCs w:val="0"/>
          <w:color w:val="auto"/>
          <w:sz w:val="32"/>
          <w:szCs w:val="32"/>
        </w:rPr>
        <w:t>收入支出决算总体情况说明</w:t>
      </w:r>
      <w:bookmarkEnd w:id="7"/>
    </w:p>
    <w:p w14:paraId="6CC4AAF2">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Fonts w:ascii="Times New Roman" w:hAnsi="Times New Roman" w:eastAsia="仿宋_GB2312" w:cs="仿宋_GB2312"/>
          <w:color w:val="auto"/>
          <w:sz w:val="32"/>
          <w:szCs w:val="32"/>
        </w:rPr>
        <w:t>2025年度收、支总计</w:t>
      </w:r>
      <w:r>
        <w:rPr>
          <w:rFonts w:ascii="Times New Roman" w:hAnsi="Times New Roman" w:eastAsia="仿宋_GB2312" w:cs="仿宋_GB2312"/>
          <w:b/>
          <w:color w:val="auto"/>
          <w:sz w:val="32"/>
          <w:szCs w:val="32"/>
        </w:rPr>
        <w:t>288.15万元</w:t>
      </w:r>
      <w:r>
        <w:rPr>
          <w:rFonts w:ascii="Times New Roman" w:hAnsi="Times New Roman" w:eastAsia="仿宋_GB2312" w:cs="仿宋_GB2312"/>
          <w:color w:val="auto"/>
          <w:sz w:val="32"/>
          <w:szCs w:val="32"/>
        </w:rPr>
        <w:t>。与2024年（238.89万元）相比，增加49.26万元，增长20.62％，主要原因：一是年度内人员变动较大，退休1人、调出1人、调入3人，人员经费相应增加；二是年中追加高素质农民培育、乡村振兴人才扶持等专项经费，项目支出规模扩大。同时严格贯彻落实党政机关过紧日子要求，厉行节约办一切事业，严控一般性支出，进一步优化支出结构，持续压减公用经费、会议培训等行政开支，坚持有保有压，重点保障农业科技教育、高素质农民培育等核心业务支出。</w:t>
      </w:r>
    </w:p>
    <w:p w14:paraId="3445BF43">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8" w:name="heading_9"/>
      <w:r>
        <w:rPr>
          <w:rFonts w:hint="eastAsia" w:cs="黑体"/>
          <w:b w:val="0"/>
          <w:bCs w:val="0"/>
          <w:color w:val="auto"/>
          <w:sz w:val="32"/>
          <w:szCs w:val="32"/>
          <w:lang w:eastAsia="zh-CN"/>
        </w:rPr>
        <w:t>二、</w:t>
      </w:r>
      <w:r>
        <w:rPr>
          <w:rFonts w:ascii="黑体" w:hAnsi="黑体" w:eastAsia="黑体" w:cs="黑体"/>
          <w:b w:val="0"/>
          <w:bCs w:val="0"/>
          <w:color w:val="auto"/>
          <w:sz w:val="32"/>
          <w:szCs w:val="32"/>
        </w:rPr>
        <w:t>收入决算情况说明</w:t>
      </w:r>
      <w:bookmarkEnd w:id="8"/>
    </w:p>
    <w:p w14:paraId="14BEB49E">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Fonts w:ascii="Times New Roman" w:hAnsi="Times New Roman" w:eastAsia="仿宋_GB2312" w:cs="仿宋_GB2312"/>
          <w:color w:val="auto"/>
          <w:sz w:val="32"/>
          <w:szCs w:val="32"/>
        </w:rPr>
        <w:t>2025年度收入合计</w:t>
      </w:r>
      <w:r>
        <w:rPr>
          <w:rFonts w:ascii="Times New Roman" w:hAnsi="Times New Roman" w:eastAsia="仿宋_GB2312" w:cs="仿宋_GB2312"/>
          <w:b/>
          <w:color w:val="auto"/>
          <w:sz w:val="32"/>
          <w:szCs w:val="32"/>
        </w:rPr>
        <w:t>288.15万元</w:t>
      </w:r>
      <w:r>
        <w:rPr>
          <w:rFonts w:ascii="Times New Roman" w:hAnsi="Times New Roman" w:eastAsia="仿宋_GB2312" w:cs="仿宋_GB2312"/>
          <w:color w:val="auto"/>
          <w:sz w:val="32"/>
          <w:szCs w:val="32"/>
        </w:rPr>
        <w:t>，全部为一般公共预算财政拨款收入，占总收入的100％；无政府性基金预算财政拨款、国有资本经营预算财政拨款，无上级补助收入、事业收入、经营收入、附属单位上缴收入及其他收入。</w:t>
      </w:r>
    </w:p>
    <w:p w14:paraId="4862F368">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按功能分类科目划分：</w:t>
      </w:r>
    </w:p>
    <w:p w14:paraId="339F7A4C">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1.</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一般公共服务支出收入20.86万元，占7.24％，全部为财政拨款，用于乡村振兴人才培育等综合事务；</w:t>
      </w:r>
    </w:p>
    <w:p w14:paraId="6273D685">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2.</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社会保障和就业支出收入20.84万元，占7.23％，全部为财政拨款，为机关事业单位基本养老保险缴费支出；</w:t>
      </w:r>
    </w:p>
    <w:p w14:paraId="47FCA1A6">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3.</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卫生健康支出收入8.34万元，占2.89％，全部为财政拨款，为行政单位医疗支出；</w:t>
      </w:r>
    </w:p>
    <w:p w14:paraId="68C0212B">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4.</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农林水支出收入236.47万元，占82.07％，全部为财政拨款，涵盖事业运行、科技转化与推广服务、其他农业农村支出，为支出主体，支撑农业科技教育核心业务；</w:t>
      </w:r>
    </w:p>
    <w:p w14:paraId="2DEDD229">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5.</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住房保障支出收入1.65万元，占0.57％，全部为财政拨款，为住房公积金支出。</w:t>
      </w:r>
    </w:p>
    <w:p w14:paraId="26A34604">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收入全部来源于财政拨款，资金保障稳定，重点向农业科技教育、高素质农民培育等核心业务倾斜，为各项履职任务开展提供了坚实财力支撑。</w:t>
      </w:r>
    </w:p>
    <w:p w14:paraId="302B193B">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9" w:name="heading_10"/>
      <w:r>
        <w:rPr>
          <w:rFonts w:hint="eastAsia" w:cs="黑体"/>
          <w:b w:val="0"/>
          <w:bCs w:val="0"/>
          <w:color w:val="auto"/>
          <w:sz w:val="32"/>
          <w:szCs w:val="32"/>
          <w:lang w:eastAsia="zh-CN"/>
        </w:rPr>
        <w:t>三、</w:t>
      </w:r>
      <w:r>
        <w:rPr>
          <w:rFonts w:ascii="黑体" w:hAnsi="黑体" w:eastAsia="黑体" w:cs="黑体"/>
          <w:b w:val="0"/>
          <w:bCs w:val="0"/>
          <w:color w:val="auto"/>
          <w:sz w:val="32"/>
          <w:szCs w:val="32"/>
        </w:rPr>
        <w:t>支出决算情况说明</w:t>
      </w:r>
      <w:bookmarkEnd w:id="9"/>
    </w:p>
    <w:p w14:paraId="0C22423F">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Fonts w:ascii="Times New Roman" w:hAnsi="Times New Roman" w:eastAsia="仿宋_GB2312" w:cs="仿宋_GB2312"/>
          <w:color w:val="auto"/>
          <w:sz w:val="32"/>
          <w:szCs w:val="32"/>
        </w:rPr>
        <w:t>2025年度支出合计</w:t>
      </w:r>
      <w:r>
        <w:rPr>
          <w:rFonts w:ascii="Times New Roman" w:hAnsi="Times New Roman" w:eastAsia="仿宋_GB2312" w:cs="仿宋_GB2312"/>
          <w:b/>
          <w:color w:val="auto"/>
          <w:sz w:val="32"/>
          <w:szCs w:val="32"/>
        </w:rPr>
        <w:t>288.15万元</w:t>
      </w:r>
      <w:r>
        <w:rPr>
          <w:rFonts w:ascii="Times New Roman" w:hAnsi="Times New Roman" w:eastAsia="仿宋_GB2312" w:cs="仿宋_GB2312"/>
          <w:color w:val="auto"/>
          <w:sz w:val="32"/>
          <w:szCs w:val="32"/>
        </w:rPr>
        <w:t>，具体构成及占比如下：</w:t>
      </w:r>
    </w:p>
    <w:p w14:paraId="06276912">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616" w:firstLineChars="200"/>
        <w:textAlignment w:val="auto"/>
        <w:rPr>
          <w:rFonts w:ascii="Times New Roman" w:hAnsi="Times New Roman" w:eastAsia="仿宋_GB2312" w:cs="仿宋_GB2312"/>
          <w:color w:val="auto"/>
          <w:sz w:val="32"/>
          <w:szCs w:val="32"/>
        </w:rPr>
      </w:pPr>
      <w:r>
        <w:rPr>
          <w:rFonts w:hint="eastAsia" w:cs="仿宋_GB2312"/>
          <w:b/>
          <w:color w:val="auto"/>
          <w:sz w:val="32"/>
          <w:szCs w:val="32"/>
          <w:lang w:eastAsia="zh-CN"/>
        </w:rPr>
        <w:t>（</w:t>
      </w:r>
      <w:r>
        <w:rPr>
          <w:rFonts w:hint="eastAsia" w:cs="仿宋_GB2312"/>
          <w:b/>
          <w:color w:val="auto"/>
          <w:sz w:val="32"/>
          <w:szCs w:val="32"/>
          <w:lang w:val="en-US" w:eastAsia="zh-CN"/>
        </w:rPr>
        <w:t>一</w:t>
      </w:r>
      <w:r>
        <w:rPr>
          <w:rFonts w:hint="eastAsia" w:cs="仿宋_GB2312"/>
          <w:b/>
          <w:color w:val="auto"/>
          <w:sz w:val="32"/>
          <w:szCs w:val="32"/>
          <w:lang w:eastAsia="zh-CN"/>
        </w:rPr>
        <w:t>）</w:t>
      </w:r>
      <w:r>
        <w:rPr>
          <w:rFonts w:ascii="Times New Roman" w:hAnsi="Times New Roman" w:eastAsia="仿宋_GB2312" w:cs="仿宋_GB2312"/>
          <w:b/>
          <w:color w:val="auto"/>
          <w:sz w:val="32"/>
          <w:szCs w:val="32"/>
        </w:rPr>
        <w:t>基本支出244.66万元</w:t>
      </w:r>
      <w:r>
        <w:rPr>
          <w:rFonts w:ascii="Times New Roman" w:hAnsi="Times New Roman" w:eastAsia="仿宋_GB2312" w:cs="仿宋_GB2312"/>
          <w:color w:val="auto"/>
          <w:sz w:val="32"/>
          <w:szCs w:val="32"/>
        </w:rPr>
        <w:t>，占总支出的84.91％，用于保障机构正常运转、完成日常工作任务：</w:t>
      </w:r>
    </w:p>
    <w:p w14:paraId="260C4E71">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Fonts w:hint="eastAsia" w:cs="仿宋_GB2312"/>
          <w:b/>
          <w:color w:val="auto"/>
          <w:sz w:val="32"/>
          <w:szCs w:val="32"/>
          <w:lang w:val="en-US" w:eastAsia="zh-CN"/>
        </w:rPr>
        <w:t>1.</w:t>
      </w:r>
      <w:r>
        <w:rPr>
          <w:rFonts w:ascii="Times New Roman" w:hAnsi="Times New Roman" w:eastAsia="仿宋_GB2312" w:cs="仿宋_GB2312"/>
          <w:b/>
          <w:color w:val="auto"/>
          <w:sz w:val="32"/>
          <w:szCs w:val="32"/>
        </w:rPr>
        <w:t>人员经费230.83万元</w:t>
      </w:r>
      <w:r>
        <w:rPr>
          <w:rFonts w:ascii="Times New Roman" w:hAnsi="Times New Roman" w:eastAsia="仿宋_GB2312" w:cs="仿宋_GB2312"/>
          <w:color w:val="auto"/>
          <w:sz w:val="32"/>
          <w:szCs w:val="32"/>
        </w:rPr>
        <w:t>（占基本支出的94.35％）：包括工资福利支出219.80万元（基本工资、津贴补贴、奖金、伙食补助费、机关事业单位基本养老保险缴费、职工基本医疗保险缴费、其他社会保障缴费、住房公积金等）；对个人和家庭的补助11.03万元（生活补助、奖励金等）。</w:t>
      </w:r>
    </w:p>
    <w:p w14:paraId="70DABE11">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Fonts w:hint="eastAsia" w:cs="仿宋_GB2312"/>
          <w:b/>
          <w:color w:val="auto"/>
          <w:sz w:val="32"/>
          <w:szCs w:val="32"/>
          <w:lang w:val="en-US" w:eastAsia="zh-CN"/>
        </w:rPr>
        <w:t>2.</w:t>
      </w:r>
      <w:r>
        <w:rPr>
          <w:rFonts w:ascii="Times New Roman" w:hAnsi="Times New Roman" w:eastAsia="仿宋_GB2312" w:cs="仿宋_GB2312"/>
          <w:b/>
          <w:color w:val="auto"/>
          <w:sz w:val="32"/>
          <w:szCs w:val="32"/>
        </w:rPr>
        <w:t>公用经费13.83万元</w:t>
      </w:r>
      <w:r>
        <w:rPr>
          <w:rFonts w:ascii="Times New Roman" w:hAnsi="Times New Roman" w:eastAsia="仿宋_GB2312" w:cs="仿宋_GB2312"/>
          <w:color w:val="auto"/>
          <w:sz w:val="32"/>
          <w:szCs w:val="32"/>
        </w:rPr>
        <w:t>（占基本支出的5.65％）：包括商品和服务支出13.83万元（办公费、印刷费、邮电费、差旅费、培训费、工会经费、福利费、其他交通费用、其他商品和服务支出等）。</w:t>
      </w:r>
    </w:p>
    <w:p w14:paraId="3A2B9B69">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616" w:firstLineChars="200"/>
        <w:textAlignment w:val="auto"/>
        <w:rPr>
          <w:rFonts w:ascii="Times New Roman" w:hAnsi="Times New Roman" w:eastAsia="仿宋_GB2312" w:cs="仿宋_GB2312"/>
          <w:color w:val="auto"/>
          <w:sz w:val="32"/>
          <w:szCs w:val="32"/>
        </w:rPr>
      </w:pPr>
      <w:r>
        <w:rPr>
          <w:rFonts w:hint="eastAsia" w:cs="仿宋_GB2312"/>
          <w:b/>
          <w:color w:val="auto"/>
          <w:sz w:val="32"/>
          <w:szCs w:val="32"/>
          <w:lang w:eastAsia="zh-CN"/>
        </w:rPr>
        <w:t>（</w:t>
      </w:r>
      <w:r>
        <w:rPr>
          <w:rFonts w:hint="eastAsia" w:cs="仿宋_GB2312"/>
          <w:b/>
          <w:color w:val="auto"/>
          <w:sz w:val="32"/>
          <w:szCs w:val="32"/>
          <w:lang w:val="en-US" w:eastAsia="zh-CN"/>
        </w:rPr>
        <w:t>二</w:t>
      </w:r>
      <w:r>
        <w:rPr>
          <w:rFonts w:hint="eastAsia" w:cs="仿宋_GB2312"/>
          <w:b/>
          <w:color w:val="auto"/>
          <w:sz w:val="32"/>
          <w:szCs w:val="32"/>
          <w:lang w:eastAsia="zh-CN"/>
        </w:rPr>
        <w:t>）</w:t>
      </w:r>
      <w:r>
        <w:rPr>
          <w:rFonts w:ascii="Times New Roman" w:hAnsi="Times New Roman" w:eastAsia="仿宋_GB2312" w:cs="仿宋_GB2312"/>
          <w:b/>
          <w:color w:val="auto"/>
          <w:sz w:val="32"/>
          <w:szCs w:val="32"/>
        </w:rPr>
        <w:t>项目支出43.49万元</w:t>
      </w:r>
      <w:r>
        <w:rPr>
          <w:rFonts w:ascii="Times New Roman" w:hAnsi="Times New Roman" w:eastAsia="仿宋_GB2312" w:cs="仿宋_GB2312"/>
          <w:color w:val="auto"/>
          <w:sz w:val="32"/>
          <w:szCs w:val="32"/>
        </w:rPr>
        <w:t>，占总支出的15.09％，用于完成特定农业科技教育工作任务，包括科技转化与推广服务（高素质农民培育专题班）25.49万元、其他农业农村支出（农民科技教育培训专项）10.00万元、其他一般公共服务支出（乡村振兴扶持人才培育）8.00万元，重点支撑高素质农民培育、农民技能培训、乡村人才队伍建设等专项工作。</w:t>
      </w:r>
    </w:p>
    <w:p w14:paraId="71D67056">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无上缴上级支出、经营支出及对附属单位补助支出。支出结构坚持</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保运转、保重点、压一般</w:t>
      </w:r>
      <w:r>
        <w:rPr>
          <w:rFonts w:hint="eastAsia" w:ascii="仿宋_GB2312" w:hAnsi="仿宋_GB2312" w:eastAsia="仿宋_GB2312" w:cs="仿宋_GB2312"/>
          <w:b w:val="0"/>
          <w:bCs w:val="0"/>
          <w:color w:val="auto"/>
          <w:spacing w:val="-6"/>
          <w:sz w:val="32"/>
          <w:szCs w:val="32"/>
        </w:rPr>
        <w:t>”</w:t>
      </w:r>
      <w:r>
        <w:rPr>
          <w:rFonts w:ascii="Times New Roman" w:hAnsi="Times New Roman" w:eastAsia="仿宋_GB2312" w:cs="仿宋_GB2312"/>
          <w:b w:val="0"/>
          <w:bCs w:val="0"/>
          <w:color w:val="auto"/>
          <w:sz w:val="32"/>
          <w:szCs w:val="32"/>
        </w:rPr>
        <w:t>，基本支出保障机构日常运转，项目支出聚焦农业科技教育核心职能，资金使用方向精准。</w:t>
      </w:r>
    </w:p>
    <w:p w14:paraId="3C5056F8">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10" w:name="heading_11"/>
      <w:r>
        <w:rPr>
          <w:rFonts w:hint="eastAsia" w:cs="黑体"/>
          <w:b w:val="0"/>
          <w:bCs w:val="0"/>
          <w:color w:val="auto"/>
          <w:sz w:val="32"/>
          <w:szCs w:val="32"/>
          <w:lang w:eastAsia="zh-CN"/>
        </w:rPr>
        <w:t>四、</w:t>
      </w:r>
      <w:r>
        <w:rPr>
          <w:rFonts w:ascii="黑体" w:hAnsi="黑体" w:eastAsia="黑体" w:cs="黑体"/>
          <w:b w:val="0"/>
          <w:bCs w:val="0"/>
          <w:color w:val="auto"/>
          <w:sz w:val="32"/>
          <w:szCs w:val="32"/>
        </w:rPr>
        <w:t>财政拨款收入支出决算总体情况说明</w:t>
      </w:r>
      <w:bookmarkEnd w:id="10"/>
    </w:p>
    <w:p w14:paraId="21328041">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Fonts w:ascii="Times New Roman" w:hAnsi="Times New Roman" w:eastAsia="仿宋_GB2312" w:cs="仿宋_GB2312"/>
          <w:color w:val="auto"/>
          <w:sz w:val="32"/>
          <w:szCs w:val="32"/>
        </w:rPr>
        <w:t>2025年度财政拨款收、支总计</w:t>
      </w:r>
      <w:r>
        <w:rPr>
          <w:rFonts w:ascii="Times New Roman" w:hAnsi="Times New Roman" w:eastAsia="仿宋_GB2312" w:cs="仿宋_GB2312"/>
          <w:b/>
          <w:color w:val="auto"/>
          <w:sz w:val="32"/>
          <w:szCs w:val="32"/>
        </w:rPr>
        <w:t>288.15万元</w:t>
      </w:r>
      <w:r>
        <w:rPr>
          <w:rFonts w:ascii="Times New Roman" w:hAnsi="Times New Roman" w:eastAsia="仿宋_GB2312" w:cs="仿宋_GB2312"/>
          <w:color w:val="auto"/>
          <w:sz w:val="32"/>
          <w:szCs w:val="32"/>
        </w:rPr>
        <w:t>（全部为一般公共预算财政拨款），与2024年（238.89万元）相比，增加49.26万元，增长20.62％，主要原因：一是人员变动带动人员经费增长；二是年中追加高素质农民培育等专项项目经费，财政支出规模相应扩大；同时优化支出结构，压减非刚性支出，保障核心业务资金需求，财政资金使用效能持续提升。</w:t>
      </w:r>
    </w:p>
    <w:p w14:paraId="74A3DCE7">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11" w:name="heading_12"/>
      <w:r>
        <w:rPr>
          <w:rFonts w:hint="eastAsia" w:cs="黑体"/>
          <w:b w:val="0"/>
          <w:bCs w:val="0"/>
          <w:color w:val="auto"/>
          <w:sz w:val="32"/>
          <w:szCs w:val="32"/>
          <w:lang w:eastAsia="zh-CN"/>
        </w:rPr>
        <w:t>五、</w:t>
      </w:r>
      <w:r>
        <w:rPr>
          <w:rFonts w:ascii="黑体" w:hAnsi="黑体" w:eastAsia="黑体" w:cs="黑体"/>
          <w:b w:val="0"/>
          <w:bCs w:val="0"/>
          <w:color w:val="auto"/>
          <w:sz w:val="32"/>
          <w:szCs w:val="32"/>
        </w:rPr>
        <w:t>一般公共预算财政拨款支出决算情况说明</w:t>
      </w:r>
      <w:bookmarkEnd w:id="11"/>
    </w:p>
    <w:p w14:paraId="19B6D52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rPr>
      </w:pPr>
      <w:bookmarkStart w:id="12" w:name="heading_13"/>
      <w:r>
        <w:rPr>
          <w:rFonts w:hint="eastAsia" w:cs="楷体_GB2312"/>
          <w:b w:val="0"/>
          <w:bCs w:val="0"/>
          <w:color w:val="auto"/>
          <w:sz w:val="32"/>
          <w:szCs w:val="32"/>
          <w:lang w:eastAsia="zh-CN"/>
        </w:rPr>
        <w:t>（一）</w:t>
      </w:r>
      <w:r>
        <w:rPr>
          <w:rFonts w:ascii="Times New Roman" w:hAnsi="Times New Roman" w:eastAsia="楷体_GB2312" w:cs="楷体_GB2312"/>
          <w:b w:val="0"/>
          <w:bCs w:val="0"/>
          <w:color w:val="auto"/>
          <w:sz w:val="32"/>
          <w:szCs w:val="32"/>
        </w:rPr>
        <w:t>一般公共预算财政拨款支出决算总体情况</w:t>
      </w:r>
      <w:bookmarkEnd w:id="12"/>
    </w:p>
    <w:p w14:paraId="34931D36">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Fonts w:ascii="Times New Roman" w:hAnsi="Times New Roman" w:eastAsia="仿宋_GB2312" w:cs="仿宋_GB2312"/>
          <w:color w:val="auto"/>
          <w:sz w:val="32"/>
          <w:szCs w:val="32"/>
        </w:rPr>
        <w:t>2025年度一般公共预算财政拨款支出</w:t>
      </w:r>
      <w:r>
        <w:rPr>
          <w:rFonts w:ascii="Times New Roman" w:hAnsi="Times New Roman" w:eastAsia="仿宋_GB2312" w:cs="仿宋_GB2312"/>
          <w:b/>
          <w:color w:val="auto"/>
          <w:sz w:val="32"/>
          <w:szCs w:val="32"/>
        </w:rPr>
        <w:t>288.15万元</w:t>
      </w:r>
      <w:r>
        <w:rPr>
          <w:rFonts w:ascii="Times New Roman" w:hAnsi="Times New Roman" w:eastAsia="仿宋_GB2312" w:cs="仿宋_GB2312"/>
          <w:color w:val="auto"/>
          <w:sz w:val="32"/>
          <w:szCs w:val="32"/>
        </w:rPr>
        <w:t>，占本年支出合计的100％，与2024年相比增加49.26万元，增长20.62％，主要原因是人员经费增加及专项项目经费追加。</w:t>
      </w:r>
    </w:p>
    <w:p w14:paraId="7D7F7832">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rPr>
      </w:pPr>
      <w:bookmarkStart w:id="13" w:name="heading_14"/>
      <w:r>
        <w:rPr>
          <w:rFonts w:hint="eastAsia" w:cs="楷体_GB2312"/>
          <w:b w:val="0"/>
          <w:bCs w:val="0"/>
          <w:color w:val="auto"/>
          <w:sz w:val="32"/>
          <w:szCs w:val="32"/>
          <w:lang w:eastAsia="zh-CN"/>
        </w:rPr>
        <w:t>（二）</w:t>
      </w:r>
      <w:r>
        <w:rPr>
          <w:rFonts w:ascii="Times New Roman" w:hAnsi="Times New Roman" w:eastAsia="楷体_GB2312" w:cs="楷体_GB2312"/>
          <w:b w:val="0"/>
          <w:bCs w:val="0"/>
          <w:color w:val="auto"/>
          <w:sz w:val="32"/>
          <w:szCs w:val="32"/>
        </w:rPr>
        <w:t>一般公共预算财政拨款支出决算结构情况</w:t>
      </w:r>
      <w:bookmarkEnd w:id="13"/>
    </w:p>
    <w:p w14:paraId="539380DF">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2025年度一般公共预算财政拨款支出288.15万元，按功能分类科目分布如下：</w:t>
      </w:r>
    </w:p>
    <w:p w14:paraId="08787657">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1.</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一般公共服务（类）支出20.86万元，占7.24％；</w:t>
      </w:r>
    </w:p>
    <w:p w14:paraId="401B1728">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2.</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社会保障和就业（类）支出20.84万元，占7.23％；</w:t>
      </w:r>
    </w:p>
    <w:p w14:paraId="42A7525D">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3.</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卫生健康（类）支出8.34万元，占2.89％；</w:t>
      </w:r>
    </w:p>
    <w:p w14:paraId="5489092F">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4.</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农林水（类）支出236.47万元，占82.07％；</w:t>
      </w:r>
    </w:p>
    <w:p w14:paraId="49009676">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auto"/>
          <w:sz w:val="32"/>
          <w:szCs w:val="32"/>
        </w:rPr>
      </w:pPr>
      <w:r>
        <w:rPr>
          <w:rFonts w:hint="eastAsia" w:cs="仿宋_GB2312"/>
          <w:b w:val="0"/>
          <w:bCs w:val="0"/>
          <w:color w:val="auto"/>
          <w:sz w:val="32"/>
          <w:szCs w:val="32"/>
          <w:lang w:eastAsia="zh-CN"/>
        </w:rPr>
        <w:t>5.</w:t>
      </w:r>
      <w:r>
        <w:rPr>
          <w:rFonts w:hint="eastAsia" w:ascii="仿宋" w:hAnsi="仿宋" w:eastAsia="仿宋" w:cs="仿宋"/>
          <w:b w:val="0"/>
          <w:bCs w:val="0"/>
          <w:color w:val="auto"/>
          <w:spacing w:val="-6"/>
          <w:sz w:val="32"/>
          <w:szCs w:val="32"/>
          <w:lang w:eastAsia="zh-CN"/>
        </w:rPr>
        <w:t xml:space="preserve"> </w:t>
      </w:r>
      <w:r>
        <w:rPr>
          <w:rFonts w:ascii="Times New Roman" w:hAnsi="Times New Roman" w:eastAsia="仿宋_GB2312" w:cs="仿宋_GB2312"/>
          <w:b w:val="0"/>
          <w:bCs w:val="0"/>
          <w:color w:val="auto"/>
          <w:sz w:val="32"/>
          <w:szCs w:val="32"/>
        </w:rPr>
        <w:t>住房保障（类）支出1.65万元，占0.57％。</w:t>
      </w:r>
    </w:p>
    <w:p w14:paraId="6DFEAF25">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支出结构与农业科技教育部门职能定位高度匹配，农林水支出占比超80％，确保财政资金向主责主业集中。</w:t>
      </w:r>
    </w:p>
    <w:p w14:paraId="20485985">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rPr>
      </w:pPr>
      <w:bookmarkStart w:id="14" w:name="heading_15"/>
      <w:r>
        <w:rPr>
          <w:rFonts w:hint="eastAsia" w:cs="楷体_GB2312"/>
          <w:b w:val="0"/>
          <w:bCs w:val="0"/>
          <w:color w:val="auto"/>
          <w:sz w:val="32"/>
          <w:szCs w:val="32"/>
          <w:lang w:eastAsia="zh-CN"/>
        </w:rPr>
        <w:t>（三）</w:t>
      </w:r>
      <w:r>
        <w:rPr>
          <w:rFonts w:ascii="Times New Roman" w:hAnsi="Times New Roman" w:eastAsia="楷体_GB2312" w:cs="楷体_GB2312"/>
          <w:b w:val="0"/>
          <w:bCs w:val="0"/>
          <w:color w:val="auto"/>
          <w:sz w:val="32"/>
          <w:szCs w:val="32"/>
        </w:rPr>
        <w:t>一般公共预算财政拨款支出决算具体情况</w:t>
      </w:r>
      <w:bookmarkEnd w:id="14"/>
    </w:p>
    <w:p w14:paraId="6F1C6AAC">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2025年度一般公共预算财政拨款支出年初预算数为226.26万元，支出决算数为288.15万元，完成年初预算的127.35％，主要因年中追加多项专项经费，具体项目（按功能分类到项级科目）情况如下：</w:t>
      </w:r>
    </w:p>
    <w:p w14:paraId="5DFEC916">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rPr>
      </w:pPr>
      <w:r>
        <w:rPr>
          <w:rFonts w:hint="eastAsia" w:cs="仿宋_GB2312"/>
          <w:b w:val="0"/>
          <w:bCs w:val="0"/>
          <w:color w:val="auto"/>
          <w:sz w:val="32"/>
          <w:szCs w:val="32"/>
          <w:lang w:eastAsia="zh-CN"/>
        </w:rPr>
        <w:t>1.</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一般公共服务（类）其他一般公共服务支出（款）其他一般公共服务支出（项）</w:t>
      </w:r>
    </w:p>
    <w:p w14:paraId="5E8CFEE4">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年初预算为0万元，支出决算为20.86万元，决算数大于年初预算数的主要原因是年中追加乡村振兴扶持人才培育、农民科技教育培训等专项工作经费。</w:t>
      </w:r>
    </w:p>
    <w:p w14:paraId="5F5F571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rPr>
      </w:pPr>
      <w:r>
        <w:rPr>
          <w:rFonts w:hint="eastAsia" w:cs="仿宋_GB2312"/>
          <w:b w:val="0"/>
          <w:bCs w:val="0"/>
          <w:color w:val="auto"/>
          <w:sz w:val="32"/>
          <w:szCs w:val="32"/>
          <w:lang w:eastAsia="zh-CN"/>
        </w:rPr>
        <w:t>2.</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社会保障和就业（类）行政事业单位养老支出（款）机关事业单位基本养老保险缴费支出（项）</w:t>
      </w:r>
    </w:p>
    <w:p w14:paraId="452F353E">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年初预算为20.13万元，支出决算为20.84万元，完成年初预算的103.53％，决算数略大于年初预算数的主要原因是年度内人员调入，养老保险缴费基数相应调整。</w:t>
      </w:r>
    </w:p>
    <w:p w14:paraId="4F45FF85">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rPr>
      </w:pPr>
      <w:r>
        <w:rPr>
          <w:rFonts w:hint="eastAsia" w:cs="仿宋_GB2312"/>
          <w:b w:val="0"/>
          <w:bCs w:val="0"/>
          <w:color w:val="auto"/>
          <w:sz w:val="32"/>
          <w:szCs w:val="32"/>
          <w:lang w:eastAsia="zh-CN"/>
        </w:rPr>
        <w:t>3.</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卫生健康（类）行政事业单位医疗（款）行政单位医疗（项）</w:t>
      </w:r>
    </w:p>
    <w:p w14:paraId="55BBE172">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年初预算为7.99万元，支出决算为8.34万元，完成年初预算的104.38％，决算数略大于年初预算数的主要原因是人员调入，职工基本医疗保险缴费相应增加。</w:t>
      </w:r>
    </w:p>
    <w:p w14:paraId="7C4A1FB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rPr>
      </w:pPr>
      <w:r>
        <w:rPr>
          <w:rFonts w:hint="eastAsia" w:cs="仿宋_GB2312"/>
          <w:b w:val="0"/>
          <w:bCs w:val="0"/>
          <w:color w:val="auto"/>
          <w:sz w:val="32"/>
          <w:szCs w:val="32"/>
          <w:lang w:eastAsia="zh-CN"/>
        </w:rPr>
        <w:t>4.</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农林水（类）农业农村（款）事业运行（项）</w:t>
      </w:r>
    </w:p>
    <w:p w14:paraId="7AA4B940">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年初预算为198.14万元，支出决算为200.98万元，完成年初预算的101.43％，决算数略大于年初预算数的主要原因是年度内人员变动，人员经费略有增加。</w:t>
      </w:r>
    </w:p>
    <w:p w14:paraId="420D8C5A">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rPr>
      </w:pPr>
      <w:r>
        <w:rPr>
          <w:rFonts w:hint="eastAsia" w:cs="仿宋_GB2312"/>
          <w:b w:val="0"/>
          <w:bCs w:val="0"/>
          <w:color w:val="auto"/>
          <w:sz w:val="32"/>
          <w:szCs w:val="32"/>
          <w:lang w:eastAsia="zh-CN"/>
        </w:rPr>
        <w:t>5.</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农林水（类）农业农村（款）科技转化与推广服务（项）</w:t>
      </w:r>
    </w:p>
    <w:p w14:paraId="38FDEEDE">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年初预算为0万元，支出决算为25.49万元，决算数大于年初预算数的主要原因是年中追加2025年高素质农民培育专题班工作专项资金，用于开展高素质农民技能提升培训。</w:t>
      </w:r>
    </w:p>
    <w:p w14:paraId="23803186">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rPr>
      </w:pPr>
      <w:r>
        <w:rPr>
          <w:rFonts w:hint="eastAsia" w:cs="仿宋_GB2312"/>
          <w:b w:val="0"/>
          <w:bCs w:val="0"/>
          <w:color w:val="auto"/>
          <w:sz w:val="32"/>
          <w:szCs w:val="32"/>
          <w:lang w:eastAsia="zh-CN"/>
        </w:rPr>
        <w:t>6.</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农林水（类）其他农业农村支出（款）其他农业农村支出（项）</w:t>
      </w:r>
    </w:p>
    <w:p w14:paraId="7DE6D4D9">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年初预算为0万元，支出决算为10.00万元，决算数大于年初预算数的主要原因是年中追加农民素质教育工作专项经费，用于农民科技教育培训相关工作。</w:t>
      </w:r>
    </w:p>
    <w:p w14:paraId="23C080A6">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rPr>
      </w:pPr>
      <w:r>
        <w:rPr>
          <w:rFonts w:hint="eastAsia" w:cs="仿宋_GB2312"/>
          <w:b w:val="0"/>
          <w:bCs w:val="0"/>
          <w:color w:val="auto"/>
          <w:sz w:val="32"/>
          <w:szCs w:val="32"/>
          <w:lang w:eastAsia="zh-CN"/>
        </w:rPr>
        <w:t>7.</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住房保障（类）住房改革支出（款）住房公积金（项）</w:t>
      </w:r>
    </w:p>
    <w:p w14:paraId="3F1EC2AD">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年初预算为0万元，支出决算为1.65万元，决算数大于年初预算数的主要原因是住房公积金支出年初预算未单独列项，统一在事业运行经费中核算，年度决算按功能分类规范调整列示。</w:t>
      </w:r>
    </w:p>
    <w:p w14:paraId="4FE5EF65">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Fonts w:ascii="Times New Roman" w:hAnsi="Times New Roman" w:eastAsia="仿宋_GB2312" w:cs="仿宋_GB2312"/>
          <w:color w:val="auto"/>
          <w:sz w:val="32"/>
          <w:szCs w:val="32"/>
        </w:rPr>
        <w:t>按照支出功能分类，</w:t>
      </w:r>
      <w:r>
        <w:rPr>
          <w:rFonts w:ascii="Times New Roman" w:hAnsi="Times New Roman" w:eastAsia="仿宋_GB2312" w:cs="仿宋_GB2312"/>
          <w:b/>
          <w:color w:val="auto"/>
          <w:sz w:val="32"/>
          <w:szCs w:val="32"/>
        </w:rPr>
        <w:t>农林水方面的支出规模较大</w:t>
      </w:r>
      <w:r>
        <w:rPr>
          <w:rFonts w:ascii="Times New Roman" w:hAnsi="Times New Roman" w:eastAsia="仿宋_GB2312" w:cs="仿宋_GB2312"/>
          <w:color w:val="auto"/>
          <w:sz w:val="32"/>
          <w:szCs w:val="32"/>
        </w:rPr>
        <w:t>，2025年度决算数为236.47万元，占一般公共预算财政拨款支出总额的82.07％，主要用于农业科技教育事业运行、高素质农民培育、农民科技培训、体系建设等方面，是保障全市农业科技教育事业发展、培育乡村本土人才的核心经费支撑。</w:t>
      </w:r>
    </w:p>
    <w:p w14:paraId="601DFBFF">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15" w:name="heading_16"/>
      <w:r>
        <w:rPr>
          <w:rFonts w:hint="eastAsia" w:cs="黑体"/>
          <w:b w:val="0"/>
          <w:bCs w:val="0"/>
          <w:color w:val="auto"/>
          <w:sz w:val="32"/>
          <w:szCs w:val="32"/>
          <w:lang w:eastAsia="zh-CN"/>
        </w:rPr>
        <w:t>六、</w:t>
      </w:r>
      <w:r>
        <w:rPr>
          <w:rFonts w:ascii="黑体" w:hAnsi="黑体" w:eastAsia="黑体" w:cs="黑体"/>
          <w:b w:val="0"/>
          <w:bCs w:val="0"/>
          <w:color w:val="auto"/>
          <w:sz w:val="32"/>
          <w:szCs w:val="32"/>
        </w:rPr>
        <w:t>一般公共预算财政拨款基本支出决算情况说明</w:t>
      </w:r>
      <w:bookmarkEnd w:id="15"/>
    </w:p>
    <w:p w14:paraId="39E12941">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Fonts w:ascii="Times New Roman" w:hAnsi="Times New Roman" w:eastAsia="仿宋_GB2312" w:cs="仿宋_GB2312"/>
          <w:color w:val="auto"/>
          <w:sz w:val="32"/>
          <w:szCs w:val="32"/>
        </w:rPr>
        <w:t>2025年度一般公共预算财政拨款基本支出</w:t>
      </w:r>
      <w:r>
        <w:rPr>
          <w:rFonts w:ascii="Times New Roman" w:hAnsi="Times New Roman" w:eastAsia="仿宋_GB2312" w:cs="仿宋_GB2312"/>
          <w:b/>
          <w:color w:val="auto"/>
          <w:sz w:val="32"/>
          <w:szCs w:val="32"/>
        </w:rPr>
        <w:t>244.66万元</w:t>
      </w:r>
      <w:r>
        <w:rPr>
          <w:rFonts w:ascii="Times New Roman" w:hAnsi="Times New Roman" w:eastAsia="仿宋_GB2312" w:cs="仿宋_GB2312"/>
          <w:color w:val="auto"/>
          <w:sz w:val="32"/>
          <w:szCs w:val="32"/>
        </w:rPr>
        <w:t>，按经济分类分为人员经费和公用经费：</w:t>
      </w:r>
    </w:p>
    <w:p w14:paraId="3DE44EDA">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rPr>
      </w:pPr>
      <w:bookmarkStart w:id="16" w:name="heading_17"/>
      <w:r>
        <w:rPr>
          <w:rFonts w:hint="eastAsia" w:cs="楷体_GB2312"/>
          <w:b w:val="0"/>
          <w:bCs w:val="0"/>
          <w:color w:val="auto"/>
          <w:sz w:val="32"/>
          <w:szCs w:val="32"/>
          <w:lang w:eastAsia="zh-CN"/>
        </w:rPr>
        <w:t>（一）</w:t>
      </w:r>
      <w:r>
        <w:rPr>
          <w:rFonts w:ascii="Times New Roman" w:hAnsi="Times New Roman" w:eastAsia="楷体_GB2312" w:cs="楷体_GB2312"/>
          <w:b w:val="0"/>
          <w:bCs w:val="0"/>
          <w:color w:val="auto"/>
          <w:sz w:val="32"/>
          <w:szCs w:val="32"/>
        </w:rPr>
        <w:t>人员经费230.83万元，占基本支出的94.35</w:t>
      </w:r>
      <w:bookmarkEnd w:id="16"/>
      <w:r>
        <w:rPr>
          <w:rFonts w:ascii="Times New Roman" w:hAnsi="Times New Roman" w:eastAsia="楷体_GB2312" w:cs="楷体_GB2312"/>
          <w:b w:val="0"/>
          <w:bCs w:val="0"/>
          <w:color w:val="auto"/>
          <w:sz w:val="32"/>
          <w:szCs w:val="32"/>
        </w:rPr>
        <w:t>％</w:t>
      </w:r>
    </w:p>
    <w:p w14:paraId="3060685D">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4"/>
          <w:rFonts w:hint="eastAsia"/>
          <w:color w:val="auto"/>
          <w:lang w:eastAsia="zh-CN"/>
        </w:rPr>
        <w:t>1.</w:t>
      </w:r>
      <w:r>
        <w:rPr>
          <w:rFonts w:hint="eastAsia" w:ascii="仿宋" w:hAnsi="仿宋" w:eastAsia="仿宋" w:cs="仿宋"/>
          <w:color w:val="auto"/>
          <w:spacing w:val="-6"/>
          <w:sz w:val="32"/>
          <w:szCs w:val="32"/>
          <w:lang w:eastAsia="zh-CN"/>
        </w:rPr>
        <w:t xml:space="preserve"> </w:t>
      </w:r>
      <w:r>
        <w:rPr>
          <w:rStyle w:val="24"/>
          <w:color w:val="auto"/>
        </w:rPr>
        <w:t>工资福利支出219.80万元</w:t>
      </w:r>
      <w:r>
        <w:rPr>
          <w:rFonts w:ascii="Times New Roman" w:hAnsi="Times New Roman" w:eastAsia="仿宋_GB2312" w:cs="仿宋_GB2312"/>
          <w:color w:val="auto"/>
          <w:sz w:val="32"/>
          <w:szCs w:val="32"/>
        </w:rPr>
        <w:t>：包括基本工资72.33万元、津贴补贴68.51万元、奖金25.20万元、伙食补助费3.14万元、机关事业单位基本养老保险缴费21.26万元、职工基本医疗保险缴费9.26万元、其他社会保障缴费1.76万元、住房公积金18.35万元。严格执行国家工资福利政策与地方津补贴标准，按照人事部门核定的标准按月足额发放，各项社会保险及住房公积金按国家规定的缴费基数和比例按时足额缴纳。</w:t>
      </w:r>
    </w:p>
    <w:p w14:paraId="59A13E3C">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4"/>
          <w:rFonts w:hint="eastAsia"/>
          <w:color w:val="auto"/>
          <w:lang w:eastAsia="zh-CN"/>
        </w:rPr>
        <w:t>2.</w:t>
      </w:r>
      <w:r>
        <w:rPr>
          <w:rFonts w:hint="eastAsia" w:ascii="仿宋" w:hAnsi="仿宋" w:eastAsia="仿宋" w:cs="仿宋"/>
          <w:color w:val="auto"/>
          <w:spacing w:val="-6"/>
          <w:sz w:val="32"/>
          <w:szCs w:val="32"/>
          <w:lang w:eastAsia="zh-CN"/>
        </w:rPr>
        <w:t xml:space="preserve"> </w:t>
      </w:r>
      <w:r>
        <w:rPr>
          <w:rStyle w:val="24"/>
          <w:color w:val="auto"/>
        </w:rPr>
        <w:t>对个人和家庭的补助11.03万元</w:t>
      </w:r>
      <w:r>
        <w:rPr>
          <w:rFonts w:ascii="Times New Roman" w:hAnsi="Times New Roman" w:eastAsia="仿宋_GB2312" w:cs="仿宋_GB2312"/>
          <w:color w:val="auto"/>
          <w:sz w:val="32"/>
          <w:szCs w:val="32"/>
        </w:rPr>
        <w:t>：包括生活补助10.64万元、奖励金0.38万元。离退休人员待遇及各项补助按政策标准及时落实，按规定程序审批发放。</w:t>
      </w:r>
    </w:p>
    <w:p w14:paraId="2CA621DD">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rPr>
      </w:pPr>
      <w:bookmarkStart w:id="17" w:name="heading_18"/>
      <w:r>
        <w:rPr>
          <w:rFonts w:hint="eastAsia" w:cs="楷体_GB2312"/>
          <w:b w:val="0"/>
          <w:bCs w:val="0"/>
          <w:color w:val="auto"/>
          <w:sz w:val="32"/>
          <w:szCs w:val="32"/>
          <w:lang w:eastAsia="zh-CN"/>
        </w:rPr>
        <w:t>（二）</w:t>
      </w:r>
      <w:r>
        <w:rPr>
          <w:rFonts w:ascii="Times New Roman" w:hAnsi="Times New Roman" w:eastAsia="楷体_GB2312" w:cs="楷体_GB2312"/>
          <w:b w:val="0"/>
          <w:bCs w:val="0"/>
          <w:color w:val="auto"/>
          <w:sz w:val="32"/>
          <w:szCs w:val="32"/>
        </w:rPr>
        <w:t>公用经费13.83万元，占基本支出的5.65</w:t>
      </w:r>
      <w:bookmarkEnd w:id="17"/>
      <w:r>
        <w:rPr>
          <w:rFonts w:ascii="Times New Roman" w:hAnsi="Times New Roman" w:eastAsia="楷体_GB2312" w:cs="楷体_GB2312"/>
          <w:b w:val="0"/>
          <w:bCs w:val="0"/>
          <w:color w:val="auto"/>
          <w:sz w:val="32"/>
          <w:szCs w:val="32"/>
        </w:rPr>
        <w:t>％</w:t>
      </w:r>
    </w:p>
    <w:p w14:paraId="7B40CC82">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商品和服务支出13.83万元：包括办公费1.22万元、印刷费0.25万元、邮电费0.12万元、差旅费1.74万元、培训费0.20万元、工会经费6.80万元、福利费2.14万元、其他交通费用0.70万元、其他商品和服务支出0.66万元。公用经费严格落实过紧日子要求，从严控制一般性支出，优化经费支出结构，保障重点公务需求。</w:t>
      </w:r>
    </w:p>
    <w:p w14:paraId="6183FF61">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18" w:name="heading_19"/>
      <w:r>
        <w:rPr>
          <w:rFonts w:hint="eastAsia" w:cs="黑体"/>
          <w:b w:val="0"/>
          <w:bCs w:val="0"/>
          <w:color w:val="auto"/>
          <w:sz w:val="32"/>
          <w:szCs w:val="32"/>
          <w:lang w:eastAsia="zh-CN"/>
        </w:rPr>
        <w:t>七、</w:t>
      </w:r>
      <w:r>
        <w:rPr>
          <w:rFonts w:ascii="黑体" w:hAnsi="黑体" w:eastAsia="黑体" w:cs="黑体"/>
          <w:b w:val="0"/>
          <w:bCs w:val="0"/>
          <w:color w:val="auto"/>
          <w:sz w:val="32"/>
          <w:szCs w:val="32"/>
        </w:rPr>
        <w:t>财政拨款“三公”经费支出决算情况说明</w:t>
      </w:r>
      <w:bookmarkEnd w:id="18"/>
    </w:p>
    <w:p w14:paraId="5DF9781D">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楷体_GB2312"/>
          <w:b w:val="0"/>
          <w:bCs w:val="0"/>
          <w:color w:val="auto"/>
          <w:sz w:val="32"/>
          <w:szCs w:val="32"/>
        </w:rPr>
      </w:pPr>
      <w:bookmarkStart w:id="19" w:name="heading_20"/>
      <w:r>
        <w:rPr>
          <w:rFonts w:hint="eastAsia" w:cs="楷体_GB2312"/>
          <w:b w:val="0"/>
          <w:bCs w:val="0"/>
          <w:color w:val="auto"/>
          <w:sz w:val="32"/>
          <w:szCs w:val="32"/>
          <w:lang w:eastAsia="zh-CN"/>
        </w:rPr>
        <w:t>（一）</w:t>
      </w:r>
      <w:r>
        <w:rPr>
          <w:rFonts w:ascii="Times New Roman" w:hAnsi="Times New Roman" w:eastAsia="楷体_GB2312" w:cs="楷体_GB2312"/>
          <w:b w:val="0"/>
          <w:bCs w:val="0"/>
          <w:color w:val="auto"/>
          <w:sz w:val="32"/>
          <w:szCs w:val="32"/>
        </w:rPr>
        <w:t>“三公”经费财政拨款支出决算总体情况说明</w:t>
      </w:r>
      <w:bookmarkEnd w:id="19"/>
    </w:p>
    <w:p w14:paraId="723AFF8C">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Fonts w:ascii="Times New Roman" w:hAnsi="Times New Roman" w:eastAsia="仿宋_GB2312" w:cs="仿宋_GB2312"/>
          <w:color w:val="auto"/>
          <w:sz w:val="32"/>
          <w:szCs w:val="32"/>
        </w:rPr>
        <w:t>2025年度</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三公</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经费财政拨款支出预算为</w:t>
      </w:r>
      <w:r>
        <w:rPr>
          <w:rFonts w:ascii="Times New Roman" w:hAnsi="Times New Roman" w:eastAsia="仿宋_GB2312" w:cs="仿宋_GB2312"/>
          <w:b/>
          <w:color w:val="auto"/>
          <w:sz w:val="32"/>
          <w:szCs w:val="32"/>
        </w:rPr>
        <w:t>0.20万元</w:t>
      </w:r>
      <w:r>
        <w:rPr>
          <w:rFonts w:ascii="Times New Roman" w:hAnsi="Times New Roman" w:eastAsia="仿宋_GB2312" w:cs="仿宋_GB2312"/>
          <w:color w:val="auto"/>
          <w:sz w:val="32"/>
          <w:szCs w:val="32"/>
        </w:rPr>
        <w:t>，支出决算为</w:t>
      </w:r>
      <w:r>
        <w:rPr>
          <w:rFonts w:ascii="Times New Roman" w:hAnsi="Times New Roman" w:eastAsia="仿宋_GB2312" w:cs="仿宋_GB2312"/>
          <w:b/>
          <w:color w:val="auto"/>
          <w:sz w:val="32"/>
          <w:szCs w:val="32"/>
        </w:rPr>
        <w:t>0.00万元</w:t>
      </w:r>
      <w:r>
        <w:rPr>
          <w:rFonts w:ascii="Times New Roman" w:hAnsi="Times New Roman" w:eastAsia="仿宋_GB2312" w:cs="仿宋_GB2312"/>
          <w:color w:val="auto"/>
          <w:sz w:val="32"/>
          <w:szCs w:val="32"/>
        </w:rPr>
        <w:t>，完成预算的0％；与2024年（0.23万元）相比减少0.23万元，下降100％。决算数小于预算数的主要原因是严格执行公务接待管理规定，厉行节约，全年未发生公务接待支出；决算数小于上年数的主要原因是持续落实过紧日子要求，严控公务接待活动，</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三公</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经费压减成效显著。</w:t>
      </w:r>
    </w:p>
    <w:p w14:paraId="51EE248D">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楷体_GB2312"/>
          <w:b w:val="0"/>
          <w:bCs w:val="0"/>
          <w:color w:val="auto"/>
          <w:sz w:val="32"/>
          <w:szCs w:val="32"/>
        </w:rPr>
      </w:pPr>
      <w:bookmarkStart w:id="20" w:name="heading_21"/>
      <w:r>
        <w:rPr>
          <w:rFonts w:hint="eastAsia" w:cs="楷体_GB2312"/>
          <w:b w:val="0"/>
          <w:bCs w:val="0"/>
          <w:color w:val="auto"/>
          <w:sz w:val="32"/>
          <w:szCs w:val="32"/>
          <w:lang w:eastAsia="zh-CN"/>
        </w:rPr>
        <w:t>（二）</w:t>
      </w:r>
      <w:r>
        <w:rPr>
          <w:rFonts w:ascii="Times New Roman" w:hAnsi="Times New Roman" w:eastAsia="楷体_GB2312" w:cs="楷体_GB2312"/>
          <w:b w:val="0"/>
          <w:bCs w:val="0"/>
          <w:color w:val="auto"/>
          <w:sz w:val="32"/>
          <w:szCs w:val="32"/>
        </w:rPr>
        <w:t>“三公”经费财政拨款支出决算具体情况说明</w:t>
      </w:r>
      <w:bookmarkEnd w:id="20"/>
    </w:p>
    <w:p w14:paraId="4C337F07">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rPr>
      </w:pPr>
      <w:r>
        <w:rPr>
          <w:rFonts w:hint="eastAsia" w:cs="仿宋_GB2312"/>
          <w:b w:val="0"/>
          <w:bCs w:val="0"/>
          <w:color w:val="auto"/>
          <w:sz w:val="32"/>
          <w:szCs w:val="32"/>
          <w:lang w:eastAsia="zh-CN"/>
        </w:rPr>
        <w:t>1.</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因公出国（境）费</w:t>
      </w:r>
    </w:p>
    <w:p w14:paraId="3D037D83">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支出预算为0万元，支出决算为0万元，与上年一致，本年度无因公出国（境）任务，未发生相关支出。</w:t>
      </w:r>
    </w:p>
    <w:p w14:paraId="70D91E67">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rPr>
      </w:pPr>
      <w:r>
        <w:rPr>
          <w:rFonts w:hint="eastAsia" w:cs="仿宋_GB2312"/>
          <w:b w:val="0"/>
          <w:bCs w:val="0"/>
          <w:color w:val="auto"/>
          <w:sz w:val="32"/>
          <w:szCs w:val="32"/>
          <w:lang w:eastAsia="zh-CN"/>
        </w:rPr>
        <w:t>2.</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公务用车购置及运行维护费</w:t>
      </w:r>
    </w:p>
    <w:p w14:paraId="718AD30F">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支出预算为0万元，支出决算为0万元，与上年一致。其中：</w:t>
      </w:r>
    </w:p>
    <w:p w14:paraId="389DC0F1">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616" w:firstLineChars="200"/>
        <w:textAlignment w:val="auto"/>
        <w:rPr>
          <w:rFonts w:ascii="Times New Roman" w:hAnsi="Times New Roman" w:eastAsia="仿宋_GB2312" w:cs="仿宋_GB2312"/>
          <w:b w:val="0"/>
          <w:bCs w:val="0"/>
          <w:color w:val="auto"/>
          <w:sz w:val="32"/>
          <w:szCs w:val="32"/>
        </w:rPr>
      </w:pPr>
      <w:r>
        <w:rPr>
          <w:rStyle w:val="25"/>
          <w:color w:val="auto"/>
        </w:rPr>
        <w:t>公务用车购置费：</w:t>
      </w:r>
      <w:r>
        <w:rPr>
          <w:rFonts w:ascii="Times New Roman" w:hAnsi="Times New Roman" w:eastAsia="仿宋_GB2312" w:cs="仿宋_GB2312"/>
          <w:b w:val="0"/>
          <w:bCs w:val="0"/>
          <w:color w:val="auto"/>
          <w:sz w:val="32"/>
          <w:szCs w:val="32"/>
        </w:rPr>
        <w:t>支出预算为0万元，支出决算为0万元，与上年一致，本单位无公务用车编制，未购置公务用车；</w:t>
      </w:r>
    </w:p>
    <w:p w14:paraId="2648FAD0">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616" w:firstLineChars="200"/>
        <w:textAlignment w:val="auto"/>
        <w:rPr>
          <w:rFonts w:ascii="Times New Roman" w:hAnsi="Times New Roman" w:eastAsia="仿宋_GB2312" w:cs="仿宋_GB2312"/>
          <w:b w:val="0"/>
          <w:bCs w:val="0"/>
          <w:color w:val="auto"/>
          <w:sz w:val="32"/>
          <w:szCs w:val="32"/>
        </w:rPr>
      </w:pPr>
      <w:r>
        <w:rPr>
          <w:rStyle w:val="25"/>
          <w:color w:val="auto"/>
        </w:rPr>
        <w:t>公务用车运行维护费：</w:t>
      </w:r>
      <w:r>
        <w:rPr>
          <w:rFonts w:ascii="Times New Roman" w:hAnsi="Times New Roman" w:eastAsia="仿宋_GB2312" w:cs="仿宋_GB2312"/>
          <w:b w:val="0"/>
          <w:bCs w:val="0"/>
          <w:color w:val="auto"/>
          <w:sz w:val="32"/>
          <w:szCs w:val="32"/>
        </w:rPr>
        <w:t>支出预算为0万元，支出决算为0万元，与上年一致，无公务用车运行维护相关支出。</w:t>
      </w:r>
      <w:r>
        <w:rPr>
          <w:rFonts w:ascii="Times New Roman" w:hAnsi="Times New Roman" w:eastAsia="仿宋_GB2312" w:cs="仿宋_GB2312"/>
          <w:b w:val="0"/>
          <w:bCs w:val="0"/>
          <w:color w:val="auto"/>
          <w:sz w:val="32"/>
          <w:szCs w:val="32"/>
        </w:rPr>
        <w:br w:type="textWrapping"/>
      </w:r>
      <w:r>
        <w:rPr>
          <w:rFonts w:ascii="Times New Roman" w:hAnsi="Times New Roman" w:eastAsia="仿宋_GB2312" w:cs="仿宋_GB2312"/>
          <w:b w:val="0"/>
          <w:bCs w:val="0"/>
          <w:color w:val="auto"/>
          <w:sz w:val="32"/>
          <w:szCs w:val="32"/>
        </w:rPr>
        <w:t>截至2025年12月31日，本单位无开支财政拨款的公务用车。</w:t>
      </w:r>
    </w:p>
    <w:p w14:paraId="7044CD9F">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32"/>
          <w:szCs w:val="32"/>
        </w:rPr>
      </w:pPr>
      <w:r>
        <w:rPr>
          <w:rFonts w:hint="eastAsia" w:cs="仿宋_GB2312"/>
          <w:b w:val="0"/>
          <w:bCs w:val="0"/>
          <w:color w:val="auto"/>
          <w:sz w:val="32"/>
          <w:szCs w:val="32"/>
          <w:lang w:eastAsia="zh-CN"/>
        </w:rPr>
        <w:t>3.</w:t>
      </w:r>
      <w:r>
        <w:rPr>
          <w:rFonts w:hint="eastAsia" w:ascii="仿宋" w:hAnsi="仿宋" w:eastAsia="仿宋" w:cs="仿宋"/>
          <w:b w:val="0"/>
          <w:bCs w:val="0"/>
          <w:color w:val="auto"/>
          <w:sz w:val="32"/>
          <w:szCs w:val="32"/>
          <w:lang w:eastAsia="zh-CN"/>
        </w:rPr>
        <w:t xml:space="preserve"> </w:t>
      </w:r>
      <w:r>
        <w:rPr>
          <w:rFonts w:ascii="Times New Roman" w:hAnsi="Times New Roman" w:eastAsia="仿宋_GB2312" w:cs="仿宋_GB2312"/>
          <w:b w:val="0"/>
          <w:bCs w:val="0"/>
          <w:color w:val="auto"/>
          <w:sz w:val="32"/>
          <w:szCs w:val="32"/>
        </w:rPr>
        <w:t>公务接待费</w:t>
      </w:r>
    </w:p>
    <w:p w14:paraId="478F1195">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支出预算为0.20万元，支出决算为0.00万元，完成预算的0％；与2024年相比减少0.23万元，下降100％。决算数为零的主要原因是严格执行《怀化市市直机关公务接待管理办法》，厉行节约，严控接待标准与规模，全年未安排公务接待活动。2025年度共接待来访团组0个、来宾0人次。</w:t>
      </w:r>
    </w:p>
    <w:p w14:paraId="4F51F4D3">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21" w:name="heading_22"/>
      <w:r>
        <w:rPr>
          <w:rFonts w:hint="eastAsia" w:cs="黑体"/>
          <w:b w:val="0"/>
          <w:bCs w:val="0"/>
          <w:color w:val="auto"/>
          <w:sz w:val="32"/>
          <w:szCs w:val="32"/>
          <w:lang w:eastAsia="zh-CN"/>
        </w:rPr>
        <w:t>八、</w:t>
      </w:r>
      <w:r>
        <w:rPr>
          <w:rFonts w:ascii="黑体" w:hAnsi="黑体" w:eastAsia="黑体" w:cs="黑体"/>
          <w:b w:val="0"/>
          <w:bCs w:val="0"/>
          <w:color w:val="auto"/>
          <w:sz w:val="32"/>
          <w:szCs w:val="32"/>
        </w:rPr>
        <w:t>政府性基金预算收入支出决算情况</w:t>
      </w:r>
      <w:bookmarkEnd w:id="21"/>
    </w:p>
    <w:p w14:paraId="40DCD8AA">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2025年度本单位无政府性基金预算财政拨款收入，未安排政府性基金预算支出，无相关收支数据。</w:t>
      </w:r>
    </w:p>
    <w:p w14:paraId="4C91EC88">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22" w:name="heading_23"/>
      <w:r>
        <w:rPr>
          <w:rFonts w:hint="eastAsia" w:cs="黑体"/>
          <w:b w:val="0"/>
          <w:bCs w:val="0"/>
          <w:color w:val="auto"/>
          <w:sz w:val="32"/>
          <w:szCs w:val="32"/>
          <w:lang w:eastAsia="zh-CN"/>
        </w:rPr>
        <w:t>九、</w:t>
      </w:r>
      <w:r>
        <w:rPr>
          <w:rFonts w:ascii="黑体" w:hAnsi="黑体" w:eastAsia="黑体" w:cs="黑体"/>
          <w:b w:val="0"/>
          <w:bCs w:val="0"/>
          <w:color w:val="auto"/>
          <w:sz w:val="32"/>
          <w:szCs w:val="32"/>
        </w:rPr>
        <w:t>国有资本经营预算收入支出决算情况</w:t>
      </w:r>
      <w:bookmarkEnd w:id="22"/>
    </w:p>
    <w:p w14:paraId="576046DA">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2025年度本单位无国有资本经营预算财政拨款收入，未安排国有资本经营预算支出，无相关收支数据。</w:t>
      </w:r>
    </w:p>
    <w:p w14:paraId="200CD5B0">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23" w:name="heading_24"/>
      <w:r>
        <w:rPr>
          <w:rFonts w:hint="eastAsia" w:cs="黑体"/>
          <w:b w:val="0"/>
          <w:bCs w:val="0"/>
          <w:color w:val="auto"/>
          <w:sz w:val="32"/>
          <w:szCs w:val="32"/>
          <w:lang w:eastAsia="zh-CN"/>
        </w:rPr>
        <w:t>十、</w:t>
      </w:r>
      <w:r>
        <w:rPr>
          <w:rFonts w:ascii="黑体" w:hAnsi="黑体" w:eastAsia="黑体" w:cs="黑体"/>
          <w:b w:val="0"/>
          <w:bCs w:val="0"/>
          <w:color w:val="auto"/>
          <w:sz w:val="32"/>
          <w:szCs w:val="32"/>
        </w:rPr>
        <w:t>关于机关运行经费支出说明</w:t>
      </w:r>
      <w:bookmarkEnd w:id="23"/>
    </w:p>
    <w:p w14:paraId="04341F71">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32"/>
          <w:szCs w:val="32"/>
        </w:rPr>
      </w:pPr>
      <w:r>
        <w:rPr>
          <w:rFonts w:ascii="Times New Roman" w:hAnsi="Times New Roman" w:eastAsia="仿宋_GB2312" w:cs="仿宋_GB2312"/>
          <w:color w:val="auto"/>
          <w:sz w:val="32"/>
          <w:szCs w:val="32"/>
        </w:rPr>
        <w:t>本部门2025年度机关运行经费支出</w:t>
      </w:r>
      <w:r>
        <w:rPr>
          <w:rFonts w:ascii="Times New Roman" w:hAnsi="Times New Roman" w:eastAsia="仿宋_GB2312" w:cs="仿宋_GB2312"/>
          <w:b/>
          <w:color w:val="auto"/>
          <w:sz w:val="32"/>
          <w:szCs w:val="32"/>
        </w:rPr>
        <w:t>13.83万元</w:t>
      </w:r>
      <w:r>
        <w:rPr>
          <w:rFonts w:ascii="Times New Roman" w:hAnsi="Times New Roman" w:eastAsia="仿宋_GB2312" w:cs="仿宋_GB2312"/>
          <w:color w:val="auto"/>
          <w:sz w:val="32"/>
          <w:szCs w:val="32"/>
        </w:rPr>
        <w:t>（与部门决算中事业单位财政拨款基本支出中公用经费之和一致），比2024年（16.29万元）减少2.46万元，下降15.10％。主要原因是：严格落实过紧日子要求，压减办公费、印刷费、差旅费等非刚性支出；推行无纸化办公，降低办公耗材消耗；优化公务出行调度，减少不必要出行；严控日常运行成本，切实降低机关运行成本。机关运行经费主要用于办公费、差旅费、工会经费、福利费等，保障单位日常运转。</w:t>
      </w:r>
    </w:p>
    <w:p w14:paraId="45D014E7">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24" w:name="heading_25"/>
      <w:r>
        <w:rPr>
          <w:rFonts w:hint="eastAsia" w:cs="黑体"/>
          <w:b w:val="0"/>
          <w:bCs w:val="0"/>
          <w:color w:val="auto"/>
          <w:sz w:val="32"/>
          <w:szCs w:val="32"/>
          <w:lang w:eastAsia="zh-CN"/>
        </w:rPr>
        <w:t>十一、</w:t>
      </w:r>
      <w:r>
        <w:rPr>
          <w:rFonts w:ascii="黑体" w:hAnsi="黑体" w:eastAsia="黑体" w:cs="黑体"/>
          <w:b w:val="0"/>
          <w:bCs w:val="0"/>
          <w:color w:val="auto"/>
          <w:sz w:val="32"/>
          <w:szCs w:val="32"/>
        </w:rPr>
        <w:t>一般性支出情况说明</w:t>
      </w:r>
      <w:bookmarkEnd w:id="24"/>
    </w:p>
    <w:p w14:paraId="206048B1">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6"/>
          <w:rFonts w:hint="eastAsia" w:eastAsia="楷体_GB2312"/>
          <w:color w:val="auto"/>
          <w:lang w:eastAsia="zh-CN"/>
        </w:rPr>
        <w:t>（一）</w:t>
      </w:r>
      <w:r>
        <w:rPr>
          <w:rStyle w:val="26"/>
          <w:color w:val="auto"/>
        </w:rPr>
        <w:t>会议费支出</w:t>
      </w:r>
      <w:r>
        <w:rPr>
          <w:rFonts w:ascii="Times New Roman" w:hAnsi="Times New Roman" w:eastAsia="仿宋_GB2312" w:cs="仿宋_GB2312"/>
          <w:color w:val="auto"/>
          <w:sz w:val="32"/>
          <w:szCs w:val="32"/>
        </w:rPr>
        <w:t>：2025年本部门无会议费预算支出，严格控制会议活动，优先采用线上会议、内部会议室召开形式，无场地租赁等高额支出。</w:t>
      </w:r>
    </w:p>
    <w:p w14:paraId="4E28BD9A">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6"/>
          <w:rFonts w:hint="eastAsia" w:eastAsia="楷体_GB2312"/>
          <w:color w:val="auto"/>
          <w:lang w:eastAsia="zh-CN"/>
        </w:rPr>
        <w:t>（二）</w:t>
      </w:r>
      <w:r>
        <w:rPr>
          <w:rStyle w:val="26"/>
          <w:color w:val="auto"/>
        </w:rPr>
        <w:t>培训费支出</w:t>
      </w:r>
      <w:r>
        <w:rPr>
          <w:rFonts w:ascii="Times New Roman" w:hAnsi="Times New Roman" w:eastAsia="仿宋_GB2312" w:cs="仿宋_GB2312"/>
          <w:color w:val="auto"/>
          <w:sz w:val="32"/>
          <w:szCs w:val="32"/>
        </w:rPr>
        <w:t>：2025年本部门基本支出列支培训费0.20万元，用于开展农业科技教育管理业务培训，覆盖20余人次，内容涵盖高素质农民培育政策、农民培训管理规范等。</w:t>
      </w:r>
    </w:p>
    <w:p w14:paraId="56A0D86F">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6"/>
          <w:rFonts w:hint="eastAsia" w:eastAsia="楷体_GB2312"/>
          <w:color w:val="auto"/>
          <w:lang w:eastAsia="zh-CN"/>
        </w:rPr>
        <w:t>（三）</w:t>
      </w:r>
      <w:r>
        <w:rPr>
          <w:rStyle w:val="26"/>
          <w:color w:val="auto"/>
        </w:rPr>
        <w:t>节庆、晚会、论坛、赛事活动支出</w:t>
      </w:r>
      <w:r>
        <w:rPr>
          <w:rFonts w:ascii="Times New Roman" w:hAnsi="Times New Roman" w:eastAsia="仿宋_GB2312" w:cs="仿宋_GB2312"/>
          <w:color w:val="auto"/>
          <w:sz w:val="32"/>
          <w:szCs w:val="32"/>
        </w:rPr>
        <w:t>：2025年度未举办节庆、晚会、论坛、赛事等活动，无相关支出，符合</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严控非必要活动</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要求。</w:t>
      </w:r>
    </w:p>
    <w:p w14:paraId="35F55CFB">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25" w:name="heading_26"/>
      <w:r>
        <w:rPr>
          <w:rFonts w:hint="eastAsia" w:cs="黑体"/>
          <w:b w:val="0"/>
          <w:bCs w:val="0"/>
          <w:color w:val="auto"/>
          <w:sz w:val="32"/>
          <w:szCs w:val="32"/>
          <w:lang w:eastAsia="zh-CN"/>
        </w:rPr>
        <w:t>十二、</w:t>
      </w:r>
      <w:r>
        <w:rPr>
          <w:rFonts w:ascii="黑体" w:hAnsi="黑体" w:eastAsia="黑体" w:cs="黑体"/>
          <w:b w:val="0"/>
          <w:bCs w:val="0"/>
          <w:color w:val="auto"/>
          <w:sz w:val="32"/>
          <w:szCs w:val="32"/>
        </w:rPr>
        <w:t>关于政府采购支出说明</w:t>
      </w:r>
      <w:bookmarkEnd w:id="25"/>
    </w:p>
    <w:p w14:paraId="6C6855BC">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本部门2025年度政府采购支出总额0万元，无政府采购货物、工程、服务支出。</w:t>
      </w:r>
    </w:p>
    <w:p w14:paraId="0D5CCF54">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32"/>
          <w:szCs w:val="32"/>
        </w:rPr>
      </w:pPr>
      <w:bookmarkStart w:id="26" w:name="heading_27"/>
      <w:r>
        <w:rPr>
          <w:rFonts w:hint="eastAsia" w:cs="黑体"/>
          <w:b w:val="0"/>
          <w:bCs w:val="0"/>
          <w:color w:val="auto"/>
          <w:sz w:val="32"/>
          <w:szCs w:val="32"/>
          <w:lang w:eastAsia="zh-CN"/>
        </w:rPr>
        <w:t>十三、</w:t>
      </w:r>
      <w:r>
        <w:rPr>
          <w:rFonts w:ascii="黑体" w:hAnsi="黑体" w:eastAsia="黑体" w:cs="黑体"/>
          <w:b w:val="0"/>
          <w:bCs w:val="0"/>
          <w:color w:val="auto"/>
          <w:sz w:val="32"/>
          <w:szCs w:val="32"/>
        </w:rPr>
        <w:t>关于2025年度预算绩效管理情况的说明</w:t>
      </w:r>
      <w:bookmarkEnd w:id="26"/>
    </w:p>
    <w:p w14:paraId="2ED39100">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rPr>
      </w:pPr>
      <w:bookmarkStart w:id="27" w:name="heading_28"/>
      <w:r>
        <w:rPr>
          <w:rFonts w:hint="eastAsia" w:cs="楷体_GB2312"/>
          <w:b w:val="0"/>
          <w:bCs w:val="0"/>
          <w:color w:val="auto"/>
          <w:sz w:val="32"/>
          <w:szCs w:val="32"/>
          <w:lang w:eastAsia="zh-CN"/>
        </w:rPr>
        <w:t>（一）</w:t>
      </w:r>
      <w:r>
        <w:rPr>
          <w:rFonts w:ascii="Times New Roman" w:hAnsi="Times New Roman" w:eastAsia="楷体_GB2312" w:cs="楷体_GB2312"/>
          <w:b w:val="0"/>
          <w:bCs w:val="0"/>
          <w:color w:val="auto"/>
          <w:sz w:val="32"/>
          <w:szCs w:val="32"/>
        </w:rPr>
        <w:t>绩效评价工作开展情况</w:t>
      </w:r>
      <w:bookmarkEnd w:id="27"/>
    </w:p>
    <w:p w14:paraId="671FBE33">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4"/>
          <w:rFonts w:hint="eastAsia"/>
          <w:color w:val="auto"/>
          <w:lang w:eastAsia="zh-CN"/>
        </w:rPr>
        <w:t>1.</w:t>
      </w:r>
      <w:r>
        <w:rPr>
          <w:rFonts w:hint="eastAsia" w:ascii="仿宋" w:hAnsi="仿宋" w:eastAsia="仿宋" w:cs="仿宋"/>
          <w:color w:val="auto"/>
          <w:spacing w:val="-6"/>
          <w:sz w:val="32"/>
          <w:szCs w:val="32"/>
          <w:lang w:eastAsia="zh-CN"/>
        </w:rPr>
        <w:t xml:space="preserve"> </w:t>
      </w:r>
      <w:r>
        <w:rPr>
          <w:rStyle w:val="24"/>
          <w:color w:val="auto"/>
        </w:rPr>
        <w:t>绩效自评开展情况</w:t>
      </w:r>
      <w:r>
        <w:rPr>
          <w:rFonts w:ascii="Times New Roman" w:hAnsi="Times New Roman" w:eastAsia="仿宋_GB2312" w:cs="仿宋_GB2312"/>
          <w:color w:val="auto"/>
          <w:sz w:val="32"/>
          <w:szCs w:val="32"/>
        </w:rPr>
        <w:t>：组织对2025年度本部门整体支出及3个项目支出开展绩效自评，涉及资金43.49万元。其中，一般公共预算项目3个，涉及资金43.49万元，占一般公共预算项目支出总额的100％；无政府性基金预算、国有资本经营预算、社会保险基金预算项目。自评通过</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科室自查—集中审核—实地复核</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流程，收集资金凭证、培训记录、成果报告等佐证材料，确保数据真实、结论客观。</w:t>
      </w:r>
    </w:p>
    <w:p w14:paraId="11155F63">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4"/>
          <w:rFonts w:hint="eastAsia"/>
          <w:color w:val="auto"/>
          <w:lang w:eastAsia="zh-CN"/>
        </w:rPr>
        <w:t>2.</w:t>
      </w:r>
      <w:r>
        <w:rPr>
          <w:rFonts w:hint="eastAsia" w:ascii="仿宋" w:hAnsi="仿宋" w:eastAsia="仿宋" w:cs="仿宋"/>
          <w:color w:val="auto"/>
          <w:spacing w:val="-6"/>
          <w:sz w:val="32"/>
          <w:szCs w:val="32"/>
          <w:lang w:eastAsia="zh-CN"/>
        </w:rPr>
        <w:t xml:space="preserve"> </w:t>
      </w:r>
      <w:r>
        <w:rPr>
          <w:rStyle w:val="24"/>
          <w:color w:val="auto"/>
        </w:rPr>
        <w:t>部门评价开展情况</w:t>
      </w:r>
      <w:r>
        <w:rPr>
          <w:rFonts w:ascii="Times New Roman" w:hAnsi="Times New Roman" w:eastAsia="仿宋_GB2312" w:cs="仿宋_GB2312"/>
          <w:color w:val="auto"/>
          <w:sz w:val="32"/>
          <w:szCs w:val="32"/>
        </w:rPr>
        <w:t>：本单位为二级预算单位，未组织开展部门评价，相关评价工作由上级主管部门统筹实施。</w:t>
      </w:r>
    </w:p>
    <w:p w14:paraId="1A4081EA">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4"/>
          <w:rFonts w:hint="eastAsia"/>
          <w:color w:val="auto"/>
          <w:lang w:eastAsia="zh-CN"/>
        </w:rPr>
        <w:t>3.</w:t>
      </w:r>
      <w:r>
        <w:rPr>
          <w:rFonts w:hint="eastAsia" w:ascii="仿宋" w:hAnsi="仿宋" w:eastAsia="仿宋" w:cs="仿宋"/>
          <w:color w:val="auto"/>
          <w:spacing w:val="-6"/>
          <w:sz w:val="32"/>
          <w:szCs w:val="32"/>
          <w:lang w:eastAsia="zh-CN"/>
        </w:rPr>
        <w:t xml:space="preserve"> </w:t>
      </w:r>
      <w:r>
        <w:rPr>
          <w:rStyle w:val="24"/>
          <w:color w:val="auto"/>
        </w:rPr>
        <w:t>事前绩效评估开展情况</w:t>
      </w:r>
      <w:r>
        <w:rPr>
          <w:rFonts w:ascii="Times New Roman" w:hAnsi="Times New Roman" w:eastAsia="仿宋_GB2312" w:cs="仿宋_GB2312"/>
          <w:color w:val="auto"/>
          <w:sz w:val="32"/>
          <w:szCs w:val="32"/>
        </w:rPr>
        <w:t>：本单位未独立组织新增重大政策和重大项目事前绩效评估，项目立项与预算论证由上级部门统一开展。</w:t>
      </w:r>
    </w:p>
    <w:p w14:paraId="032C7043">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rPr>
      </w:pPr>
      <w:bookmarkStart w:id="28" w:name="heading_29"/>
      <w:r>
        <w:rPr>
          <w:rFonts w:hint="eastAsia" w:cs="楷体_GB2312"/>
          <w:b w:val="0"/>
          <w:bCs w:val="0"/>
          <w:color w:val="auto"/>
          <w:sz w:val="32"/>
          <w:szCs w:val="32"/>
          <w:lang w:eastAsia="zh-CN"/>
        </w:rPr>
        <w:t>（二）</w:t>
      </w:r>
      <w:r>
        <w:rPr>
          <w:rFonts w:ascii="Times New Roman" w:hAnsi="Times New Roman" w:eastAsia="楷体_GB2312" w:cs="楷体_GB2312"/>
          <w:b w:val="0"/>
          <w:bCs w:val="0"/>
          <w:color w:val="auto"/>
          <w:sz w:val="32"/>
          <w:szCs w:val="32"/>
        </w:rPr>
        <w:t>绩效评价结果</w:t>
      </w:r>
      <w:bookmarkEnd w:id="28"/>
    </w:p>
    <w:p w14:paraId="5FDDD361">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4"/>
          <w:rFonts w:hint="eastAsia"/>
          <w:color w:val="auto"/>
          <w:lang w:eastAsia="zh-CN"/>
        </w:rPr>
        <w:t>1.</w:t>
      </w:r>
      <w:r>
        <w:rPr>
          <w:rFonts w:hint="eastAsia" w:ascii="仿宋" w:hAnsi="仿宋" w:eastAsia="仿宋" w:cs="仿宋"/>
          <w:color w:val="auto"/>
          <w:spacing w:val="-6"/>
          <w:sz w:val="32"/>
          <w:szCs w:val="32"/>
          <w:lang w:eastAsia="zh-CN"/>
        </w:rPr>
        <w:t xml:space="preserve"> </w:t>
      </w:r>
      <w:r>
        <w:rPr>
          <w:rStyle w:val="24"/>
          <w:color w:val="auto"/>
        </w:rPr>
        <w:t>绩效自评结果</w:t>
      </w:r>
      <w:r>
        <w:rPr>
          <w:rFonts w:ascii="Times New Roman" w:hAnsi="Times New Roman" w:eastAsia="仿宋_GB2312" w:cs="仿宋_GB2312"/>
          <w:color w:val="auto"/>
          <w:sz w:val="32"/>
          <w:szCs w:val="32"/>
        </w:rPr>
        <w:t>：2025年度本部门整体支出全年预算数296.33万元，执行数288.15万元，完成预算的97.24％，绩效自评得分97.72分，评价等级为</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优秀</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w:t>
      </w:r>
    </w:p>
    <w:p w14:paraId="68D770F1">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616" w:firstLineChars="200"/>
        <w:textAlignment w:val="auto"/>
        <w:rPr>
          <w:rFonts w:ascii="Times New Roman" w:hAnsi="Times New Roman" w:eastAsia="仿宋_GB2312" w:cs="仿宋_GB2312"/>
          <w:color w:val="auto"/>
          <w:sz w:val="32"/>
          <w:szCs w:val="32"/>
        </w:rPr>
      </w:pPr>
      <w:r>
        <w:rPr>
          <w:rFonts w:ascii="Times New Roman" w:hAnsi="Times New Roman" w:eastAsia="仿宋_GB2312" w:cs="仿宋_GB2312"/>
          <w:b/>
          <w:color w:val="auto"/>
          <w:sz w:val="32"/>
          <w:szCs w:val="32"/>
        </w:rPr>
        <w:t>绩效目标完成情况</w:t>
      </w:r>
      <w:r>
        <w:rPr>
          <w:rFonts w:ascii="Times New Roman" w:hAnsi="Times New Roman" w:eastAsia="仿宋_GB2312" w:cs="仿宋_GB2312"/>
          <w:color w:val="auto"/>
          <w:sz w:val="32"/>
          <w:szCs w:val="32"/>
        </w:rPr>
        <w:t>：一是农民教育培训超额完成，全年累计培训12.7万人次，完成年度目标（12万人次）的106％，较上年增长1.7％；二是专项培训成果丰硕，争取省级</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农广助农</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专项培训5期，开展省级农民田间学校培训4期，承办2期湖南省高素质农民培育专题培训班，培训高素质农民100人；三是培训体系持续夯实，新增4家省级农民田间学校，市级示范基地达13个；四是人才队伍建设强化，全市农民教育培训师资库专家达121人，组织多批次骨干人才赴外研修培训；五是农民体协工作成效显著，推动全国和美乡村篮球大赛（村BA）南部赛区落户怀化，辰溪代表队获全国第四名。</w:t>
      </w:r>
    </w:p>
    <w:p w14:paraId="21EA8E3B">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616" w:firstLineChars="200"/>
        <w:textAlignment w:val="auto"/>
        <w:rPr>
          <w:rFonts w:ascii="Times New Roman" w:hAnsi="Times New Roman" w:eastAsia="仿宋_GB2312" w:cs="仿宋_GB2312"/>
          <w:color w:val="auto"/>
          <w:sz w:val="32"/>
          <w:szCs w:val="32"/>
        </w:rPr>
      </w:pPr>
      <w:r>
        <w:rPr>
          <w:rFonts w:ascii="Times New Roman" w:hAnsi="Times New Roman" w:eastAsia="仿宋_GB2312" w:cs="仿宋_GB2312"/>
          <w:b/>
          <w:color w:val="auto"/>
          <w:sz w:val="32"/>
          <w:szCs w:val="32"/>
        </w:rPr>
        <w:t>发现的主要问题及原因</w:t>
      </w:r>
      <w:r>
        <w:rPr>
          <w:rFonts w:ascii="Times New Roman" w:hAnsi="Times New Roman" w:eastAsia="仿宋_GB2312" w:cs="仿宋_GB2312"/>
          <w:color w:val="auto"/>
          <w:sz w:val="32"/>
          <w:szCs w:val="32"/>
        </w:rPr>
        <w:t>：一是财政拨款收入预决算差异率较大，达27.35％，主要原因是年度内退休1人、调出1人、调入3人，人员变动幅度大；二是预算编制精准性有待提升，年中追加项目较多，年初预算覆盖不足；三是支出指标归集有待细化，部分支出方向存在交叉。</w:t>
      </w:r>
    </w:p>
    <w:p w14:paraId="7F9E64D2">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616" w:firstLineChars="200"/>
        <w:textAlignment w:val="auto"/>
        <w:rPr>
          <w:rFonts w:ascii="Times New Roman" w:hAnsi="Times New Roman" w:eastAsia="仿宋_GB2312" w:cs="仿宋_GB2312"/>
          <w:color w:val="auto"/>
          <w:sz w:val="32"/>
          <w:szCs w:val="32"/>
        </w:rPr>
      </w:pPr>
      <w:r>
        <w:rPr>
          <w:rFonts w:ascii="Times New Roman" w:hAnsi="Times New Roman" w:eastAsia="仿宋_GB2312" w:cs="仿宋_GB2312"/>
          <w:b/>
          <w:color w:val="auto"/>
          <w:sz w:val="32"/>
          <w:szCs w:val="32"/>
        </w:rPr>
        <w:t>下一步改进措施</w:t>
      </w:r>
      <w:r>
        <w:rPr>
          <w:rFonts w:ascii="Times New Roman" w:hAnsi="Times New Roman" w:eastAsia="仿宋_GB2312" w:cs="仿宋_GB2312"/>
          <w:color w:val="auto"/>
          <w:sz w:val="32"/>
          <w:szCs w:val="32"/>
        </w:rPr>
        <w:t>：一是提升预算编制精准度，充分考虑人员变动和项目需求，科学测算经费，减少预算追加；二是加强验收管理，规范报账程序，完善凭证审核要求；三是细化支出指标归集，明确资金使用方向，避免交叉使用，提升资金使用效益。</w:t>
      </w:r>
    </w:p>
    <w:p w14:paraId="2936DBB0">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4"/>
          <w:rFonts w:hint="eastAsia"/>
          <w:color w:val="auto"/>
          <w:lang w:eastAsia="zh-CN"/>
        </w:rPr>
        <w:t>2.</w:t>
      </w:r>
      <w:r>
        <w:rPr>
          <w:rFonts w:hint="eastAsia" w:ascii="仿宋" w:hAnsi="仿宋" w:eastAsia="仿宋" w:cs="仿宋"/>
          <w:color w:val="auto"/>
          <w:spacing w:val="-6"/>
          <w:sz w:val="32"/>
          <w:szCs w:val="32"/>
          <w:lang w:eastAsia="zh-CN"/>
        </w:rPr>
        <w:t xml:space="preserve"> </w:t>
      </w:r>
      <w:r>
        <w:rPr>
          <w:rStyle w:val="24"/>
          <w:color w:val="auto"/>
        </w:rPr>
        <w:t>部门评价结果</w:t>
      </w:r>
      <w:r>
        <w:rPr>
          <w:rFonts w:ascii="Times New Roman" w:hAnsi="Times New Roman" w:eastAsia="仿宋_GB2312" w:cs="仿宋_GB2312"/>
          <w:color w:val="auto"/>
          <w:sz w:val="32"/>
          <w:szCs w:val="32"/>
        </w:rPr>
        <w:t>：本单位无部门评价项目，无相关评价结果。</w:t>
      </w:r>
    </w:p>
    <w:p w14:paraId="78281835">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4"/>
          <w:rFonts w:hint="eastAsia"/>
          <w:color w:val="auto"/>
          <w:lang w:eastAsia="zh-CN"/>
        </w:rPr>
        <w:t>3.</w:t>
      </w:r>
      <w:r>
        <w:rPr>
          <w:rFonts w:hint="eastAsia" w:ascii="仿宋" w:hAnsi="仿宋" w:eastAsia="仿宋" w:cs="仿宋"/>
          <w:color w:val="auto"/>
          <w:spacing w:val="-6"/>
          <w:sz w:val="32"/>
          <w:szCs w:val="32"/>
          <w:lang w:eastAsia="zh-CN"/>
        </w:rPr>
        <w:t xml:space="preserve"> </w:t>
      </w:r>
      <w:r>
        <w:rPr>
          <w:rStyle w:val="24"/>
          <w:color w:val="auto"/>
        </w:rPr>
        <w:t>事前绩效评估结果</w:t>
      </w:r>
      <w:r>
        <w:rPr>
          <w:rFonts w:ascii="Times New Roman" w:hAnsi="Times New Roman" w:eastAsia="仿宋_GB2312" w:cs="仿宋_GB2312"/>
          <w:color w:val="auto"/>
          <w:sz w:val="32"/>
          <w:szCs w:val="32"/>
        </w:rPr>
        <w:t>：本单位未独立开展事前绩效评估，所有项目均通过上级部门论证后纳入预算。</w:t>
      </w:r>
    </w:p>
    <w:p w14:paraId="211543C3">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32"/>
          <w:szCs w:val="32"/>
        </w:rPr>
      </w:pPr>
      <w:bookmarkStart w:id="29" w:name="heading_30"/>
      <w:r>
        <w:rPr>
          <w:rFonts w:hint="eastAsia" w:cs="楷体_GB2312"/>
          <w:b w:val="0"/>
          <w:bCs w:val="0"/>
          <w:color w:val="auto"/>
          <w:sz w:val="32"/>
          <w:szCs w:val="32"/>
          <w:lang w:eastAsia="zh-CN"/>
        </w:rPr>
        <w:t>（三）</w:t>
      </w:r>
      <w:r>
        <w:rPr>
          <w:rFonts w:ascii="Times New Roman" w:hAnsi="Times New Roman" w:eastAsia="楷体_GB2312" w:cs="楷体_GB2312"/>
          <w:b w:val="0"/>
          <w:bCs w:val="0"/>
          <w:color w:val="auto"/>
          <w:sz w:val="32"/>
          <w:szCs w:val="32"/>
        </w:rPr>
        <w:t>评价结果应用情况</w:t>
      </w:r>
      <w:bookmarkEnd w:id="29"/>
    </w:p>
    <w:p w14:paraId="0F120DF1">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rPr>
      </w:pPr>
      <w:r>
        <w:rPr>
          <w:rFonts w:ascii="Times New Roman" w:hAnsi="Times New Roman" w:eastAsia="仿宋_GB2312" w:cs="仿宋_GB2312"/>
          <w:b w:val="0"/>
          <w:bCs w:val="0"/>
          <w:color w:val="auto"/>
          <w:sz w:val="32"/>
          <w:szCs w:val="32"/>
        </w:rPr>
        <w:t>根据2025年度绩效评价结果，在2026年度预算安排、支出结构调整、资金管理、制度建设等方面强化结果应用：</w:t>
      </w:r>
    </w:p>
    <w:p w14:paraId="24AD6E52">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4"/>
          <w:rFonts w:hint="eastAsia"/>
          <w:color w:val="auto"/>
          <w:lang w:eastAsia="zh-CN"/>
        </w:rPr>
        <w:t>1.</w:t>
      </w:r>
      <w:r>
        <w:rPr>
          <w:rFonts w:hint="eastAsia" w:ascii="仿宋" w:hAnsi="仿宋" w:eastAsia="仿宋" w:cs="仿宋"/>
          <w:color w:val="auto"/>
          <w:spacing w:val="-6"/>
          <w:sz w:val="32"/>
          <w:szCs w:val="32"/>
          <w:lang w:eastAsia="zh-CN"/>
        </w:rPr>
        <w:t xml:space="preserve"> </w:t>
      </w:r>
      <w:r>
        <w:rPr>
          <w:rStyle w:val="24"/>
          <w:color w:val="auto"/>
        </w:rPr>
        <w:t>预算安排优化</w:t>
      </w:r>
      <w:r>
        <w:rPr>
          <w:rFonts w:ascii="Times New Roman" w:hAnsi="Times New Roman" w:eastAsia="仿宋_GB2312" w:cs="仿宋_GB2312"/>
          <w:color w:val="auto"/>
          <w:sz w:val="32"/>
          <w:szCs w:val="32"/>
        </w:rPr>
        <w:t>：对绩效优良的高素质农民培育、培训体系建设等项目优先保障资金，适当增加预算额度；优化预算编制方法，充分考虑人员变动与项目需求，提升年初预算精准度。</w:t>
      </w:r>
    </w:p>
    <w:p w14:paraId="33976CD6">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4"/>
          <w:rFonts w:hint="eastAsia"/>
          <w:color w:val="auto"/>
          <w:lang w:eastAsia="zh-CN"/>
        </w:rPr>
        <w:t>2.</w:t>
      </w:r>
      <w:r>
        <w:rPr>
          <w:rFonts w:hint="eastAsia" w:ascii="仿宋" w:hAnsi="仿宋" w:eastAsia="仿宋" w:cs="仿宋"/>
          <w:color w:val="auto"/>
          <w:spacing w:val="-6"/>
          <w:sz w:val="32"/>
          <w:szCs w:val="32"/>
          <w:lang w:eastAsia="zh-CN"/>
        </w:rPr>
        <w:t xml:space="preserve"> </w:t>
      </w:r>
      <w:r>
        <w:rPr>
          <w:rStyle w:val="24"/>
          <w:color w:val="auto"/>
        </w:rPr>
        <w:t>支出结构调整</w:t>
      </w:r>
      <w:r>
        <w:rPr>
          <w:rFonts w:ascii="Times New Roman" w:hAnsi="Times New Roman" w:eastAsia="仿宋_GB2312" w:cs="仿宋_GB2312"/>
          <w:color w:val="auto"/>
          <w:sz w:val="32"/>
          <w:szCs w:val="32"/>
        </w:rPr>
        <w:t>：持续压减一般性支出，加大高素质农民培育、基层人才培训等核心业务领域投入，资金向重点工作、薄弱环节倾斜。</w:t>
      </w:r>
    </w:p>
    <w:p w14:paraId="3BAC20E5">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sz w:val="32"/>
          <w:szCs w:val="32"/>
        </w:rPr>
      </w:pPr>
      <w:r>
        <w:rPr>
          <w:rStyle w:val="24"/>
          <w:rFonts w:hint="eastAsia"/>
          <w:color w:val="auto"/>
          <w:lang w:eastAsia="zh-CN"/>
        </w:rPr>
        <w:t>3.</w:t>
      </w:r>
      <w:r>
        <w:rPr>
          <w:rFonts w:hint="eastAsia" w:ascii="仿宋" w:hAnsi="仿宋" w:eastAsia="仿宋" w:cs="仿宋"/>
          <w:color w:val="auto"/>
          <w:spacing w:val="-6"/>
          <w:sz w:val="32"/>
          <w:szCs w:val="32"/>
          <w:lang w:eastAsia="zh-CN"/>
        </w:rPr>
        <w:t xml:space="preserve"> </w:t>
      </w:r>
      <w:r>
        <w:rPr>
          <w:rStyle w:val="24"/>
          <w:color w:val="auto"/>
        </w:rPr>
        <w:t>资金管理强化</w:t>
      </w:r>
      <w:r>
        <w:rPr>
          <w:rFonts w:ascii="Times New Roman" w:hAnsi="Times New Roman" w:eastAsia="仿宋_GB2312" w:cs="仿宋_GB2312"/>
          <w:color w:val="auto"/>
          <w:sz w:val="32"/>
          <w:szCs w:val="32"/>
        </w:rPr>
        <w:t>：修订专项资金管理细则，将绩效评价结果与资金分配挂钩；建立动态监控机制，跟踪预算执行情况，及时纠偏补差。</w:t>
      </w:r>
    </w:p>
    <w:p w14:paraId="14378F78">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cs="Times New Roman"/>
          <w:color w:val="auto"/>
          <w:sz w:val="72"/>
          <w:szCs w:val="72"/>
        </w:rPr>
      </w:pPr>
      <w:r>
        <w:rPr>
          <w:rStyle w:val="24"/>
          <w:rFonts w:hint="eastAsia"/>
          <w:color w:val="auto"/>
          <w:lang w:eastAsia="zh-CN"/>
        </w:rPr>
        <w:t>4.</w:t>
      </w:r>
      <w:r>
        <w:rPr>
          <w:rFonts w:hint="eastAsia" w:ascii="仿宋" w:hAnsi="仿宋" w:eastAsia="仿宋" w:cs="仿宋"/>
          <w:color w:val="auto"/>
          <w:spacing w:val="-6"/>
          <w:sz w:val="32"/>
          <w:szCs w:val="32"/>
          <w:lang w:eastAsia="zh-CN"/>
        </w:rPr>
        <w:t xml:space="preserve"> </w:t>
      </w:r>
      <w:r>
        <w:rPr>
          <w:rStyle w:val="24"/>
          <w:color w:val="auto"/>
        </w:rPr>
        <w:t>制度建设完善</w:t>
      </w:r>
      <w:r>
        <w:rPr>
          <w:rFonts w:ascii="Times New Roman" w:hAnsi="Times New Roman" w:eastAsia="仿宋_GB2312" w:cs="仿宋_GB2312"/>
          <w:color w:val="auto"/>
          <w:sz w:val="32"/>
          <w:szCs w:val="32"/>
        </w:rPr>
        <w:t>：针对评价发现的问题，完善预算管理、项目管理等制度，建立</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花钱必问效、无效必问责</w:t>
      </w:r>
      <w:r>
        <w:rPr>
          <w:rFonts w:hint="eastAsia" w:ascii="仿宋_GB2312" w:hAnsi="仿宋_GB2312" w:eastAsia="仿宋_GB2312" w:cs="仿宋_GB2312"/>
          <w:color w:val="auto"/>
          <w:spacing w:val="-6"/>
          <w:sz w:val="32"/>
          <w:szCs w:val="32"/>
        </w:rPr>
        <w:t>”</w:t>
      </w:r>
      <w:r>
        <w:rPr>
          <w:rFonts w:ascii="Times New Roman" w:hAnsi="Times New Roman" w:eastAsia="仿宋_GB2312" w:cs="仿宋_GB2312"/>
          <w:color w:val="auto"/>
          <w:sz w:val="32"/>
          <w:szCs w:val="32"/>
        </w:rPr>
        <w:t>的长效机制，充分发挥绩效评价导向作用。</w:t>
      </w:r>
    </w:p>
    <w:p w14:paraId="25D54B55">
      <w:pPr>
        <w:pStyle w:val="18"/>
        <w:jc w:val="center"/>
        <w:rPr>
          <w:rFonts w:ascii="Times New Roman" w:hAnsi="Times New Roman" w:cs="Times New Roman"/>
          <w:color w:val="auto"/>
          <w:sz w:val="72"/>
          <w:szCs w:val="72"/>
        </w:rPr>
      </w:pPr>
    </w:p>
    <w:p w14:paraId="77632987">
      <w:pPr>
        <w:pStyle w:val="18"/>
        <w:jc w:val="center"/>
        <w:rPr>
          <w:rFonts w:ascii="Times New Roman" w:hAnsi="Times New Roman" w:cs="Times New Roman"/>
          <w:color w:val="auto"/>
          <w:sz w:val="72"/>
          <w:szCs w:val="72"/>
        </w:rPr>
      </w:pPr>
    </w:p>
    <w:p w14:paraId="2C634401">
      <w:pPr>
        <w:pStyle w:val="18"/>
        <w:jc w:val="center"/>
        <w:rPr>
          <w:rFonts w:ascii="Times New Roman" w:hAnsi="Times New Roman" w:cs="Times New Roman"/>
          <w:color w:val="auto"/>
          <w:sz w:val="72"/>
          <w:szCs w:val="72"/>
        </w:rPr>
      </w:pPr>
    </w:p>
    <w:p w14:paraId="2C6776C0">
      <w:pPr>
        <w:rPr>
          <w:rFonts w:ascii="Times New Roman" w:hAnsi="Times New Roman" w:cs="Times New Roman"/>
          <w:color w:val="auto"/>
          <w:sz w:val="72"/>
          <w:szCs w:val="72"/>
        </w:rPr>
      </w:pPr>
      <w:r>
        <w:rPr>
          <w:rFonts w:ascii="Times New Roman" w:hAnsi="Times New Roman" w:cs="Times New Roman"/>
          <w:color w:val="auto"/>
          <w:sz w:val="72"/>
          <w:szCs w:val="72"/>
        </w:rPr>
        <w:br w:type="page"/>
      </w:r>
    </w:p>
    <w:p w14:paraId="65E09D76">
      <w:pPr>
        <w:pStyle w:val="18"/>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第四部分    名词解释</w:t>
      </w:r>
    </w:p>
    <w:p w14:paraId="219D44E5">
      <w:pPr>
        <w:widowControl/>
        <w:jc w:val="left"/>
        <w:rPr>
          <w:rFonts w:ascii="Times New Roman" w:hAnsi="Times New Roman" w:cs="Times New Roman"/>
          <w:color w:val="auto"/>
          <w:kern w:val="0"/>
          <w:sz w:val="32"/>
          <w:szCs w:val="32"/>
        </w:rPr>
      </w:pPr>
    </w:p>
    <w:p w14:paraId="39E87A85">
      <w:pPr>
        <w:pStyle w:val="18"/>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 xml:space="preserve">一、财政拨款收入：指财政当年拨付的资金。 </w:t>
      </w:r>
    </w:p>
    <w:p w14:paraId="38499EB1">
      <w:pPr>
        <w:pStyle w:val="18"/>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 xml:space="preserve">二、事业收入：指事业单位开展专业业务活动及辅助活动所取得的收入。如：中国财政杂志社的刊物发行收入，中国注册会计师协会、中国资产评估协会、中国国债协会、中国会计学会收取的会费收入等。 </w:t>
      </w:r>
    </w:p>
    <w:p w14:paraId="44DABC4F">
      <w:pPr>
        <w:pStyle w:val="18"/>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 xml:space="preserve">三、经营收入：指事业单位在专业业务活动及其辅助活动之外开展非独立核算经营活动取得的收入。如：中国财政杂志社广告收入等。 </w:t>
      </w:r>
    </w:p>
    <w:p w14:paraId="5131B3F9">
      <w:pPr>
        <w:pStyle w:val="18"/>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 xml:space="preserve">四、其他收入：指除上述“财政拨款收入”、“事业收入”、“经营收入”等以外的收入。主要是按规定动用的售房收入、存款利息收入等。 </w:t>
      </w:r>
    </w:p>
    <w:p w14:paraId="0FAB453E">
      <w:pPr>
        <w:pStyle w:val="18"/>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 xml:space="preserve">五、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4E8884B1">
      <w:pPr>
        <w:pStyle w:val="18"/>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 xml:space="preserve">六、年初结转和结余：指以前年度尚未完成、结转到本年按有关规定继续使用的资金。 </w:t>
      </w:r>
    </w:p>
    <w:p w14:paraId="482EB7C0">
      <w:pPr>
        <w:pStyle w:val="18"/>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七、结余分配：指事业单位按规定提取的职工福利基金、事业基金和缴纳的所得税，以及建设单位按规定应交回的基本建设竣工项目结余资金。</w:t>
      </w:r>
    </w:p>
    <w:p w14:paraId="2B6CB0A2">
      <w:pPr>
        <w:pStyle w:val="18"/>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 xml:space="preserve">八、年末结转和结余：指本年度或以前年度预算安排、因客观条件发生变化无法按原计划实施，需要延迟到以后年度按有关规定继续使用的资金。 </w:t>
      </w:r>
    </w:p>
    <w:p w14:paraId="04CCF3BE">
      <w:pPr>
        <w:pStyle w:val="18"/>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 xml:space="preserve">九、基本支出：指为保障机构正常运转、完成日常工作任务而发生的人员支出和公用支出。 </w:t>
      </w:r>
    </w:p>
    <w:p w14:paraId="35155502">
      <w:pPr>
        <w:pStyle w:val="18"/>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 xml:space="preserve">十、项目支出：指在基本支出之外为完成特定行政任务和事业发展目标所发生的支出。 </w:t>
      </w:r>
    </w:p>
    <w:p w14:paraId="11E35FDF">
      <w:pPr>
        <w:pStyle w:val="18"/>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十一、经营</w:t>
      </w:r>
      <w:bookmarkStart w:id="30" w:name="_GoBack"/>
      <w:bookmarkEnd w:id="30"/>
      <w:r>
        <w:rPr>
          <w:rFonts w:hint="eastAsia" w:ascii="Times New Roman" w:hAnsi="Times New Roman" w:eastAsia="仿宋_GB2312" w:cs="Times New Roman"/>
          <w:color w:val="auto"/>
          <w:kern w:val="0"/>
          <w:sz w:val="32"/>
          <w:szCs w:val="32"/>
        </w:rPr>
        <w:t xml:space="preserve">支出：指事业单位在专业业务活动及其辅助活动之外开展非独立核算经营活动发生的支出。 </w:t>
      </w:r>
    </w:p>
    <w:p w14:paraId="37FB05AC">
      <w:pPr>
        <w:pStyle w:val="18"/>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 xml:space="preserve">十二、“三公”经费：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5DD82668">
      <w:pPr>
        <w:pStyle w:val="18"/>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ascii="Times New Roman" w:hAnsi="Times New Roman" w:cs="Times New Roman"/>
          <w:color w:val="auto"/>
          <w:sz w:val="72"/>
          <w:szCs w:val="72"/>
        </w:rPr>
      </w:pPr>
      <w:r>
        <w:rPr>
          <w:rFonts w:hint="eastAsia" w:ascii="Times New Roman" w:hAnsi="Times New Roman" w:eastAsia="仿宋_GB2312" w:cs="Times New Roman"/>
          <w:color w:val="auto"/>
          <w:kern w:val="0"/>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7EFB22C">
      <w:pPr>
        <w:pStyle w:val="18"/>
        <w:jc w:val="center"/>
        <w:rPr>
          <w:rFonts w:ascii="Times New Roman" w:hAnsi="Times New Roman" w:cs="Times New Roman"/>
          <w:color w:val="auto"/>
          <w:sz w:val="72"/>
          <w:szCs w:val="72"/>
        </w:rPr>
      </w:pPr>
    </w:p>
    <w:p w14:paraId="1D00E2C1">
      <w:pPr>
        <w:pStyle w:val="18"/>
        <w:jc w:val="center"/>
        <w:rPr>
          <w:rFonts w:ascii="Times New Roman" w:hAnsi="Times New Roman" w:cs="Times New Roman"/>
          <w:color w:val="auto"/>
          <w:sz w:val="72"/>
          <w:szCs w:val="72"/>
        </w:rPr>
      </w:pPr>
    </w:p>
    <w:p w14:paraId="354AC499">
      <w:pPr>
        <w:pStyle w:val="18"/>
        <w:jc w:val="center"/>
        <w:rPr>
          <w:rFonts w:ascii="Times New Roman" w:hAnsi="Times New Roman" w:cs="Times New Roman"/>
          <w:color w:val="auto"/>
          <w:sz w:val="72"/>
          <w:szCs w:val="72"/>
        </w:rPr>
      </w:pPr>
    </w:p>
    <w:p w14:paraId="6D49E45E">
      <w:pPr>
        <w:pStyle w:val="18"/>
        <w:jc w:val="center"/>
        <w:rPr>
          <w:rFonts w:ascii="Times New Roman" w:hAnsi="Times New Roman" w:cs="Times New Roman"/>
          <w:color w:val="auto"/>
          <w:sz w:val="72"/>
          <w:szCs w:val="72"/>
        </w:rPr>
      </w:pPr>
    </w:p>
    <w:p w14:paraId="7C5B0BB3">
      <w:pPr>
        <w:pStyle w:val="18"/>
        <w:jc w:val="center"/>
        <w:rPr>
          <w:rFonts w:ascii="Times New Roman" w:hAnsi="Times New Roman" w:cs="Times New Roman"/>
          <w:color w:val="auto"/>
          <w:sz w:val="72"/>
          <w:szCs w:val="72"/>
        </w:rPr>
      </w:pPr>
    </w:p>
    <w:p w14:paraId="6958AD03">
      <w:pPr>
        <w:rPr>
          <w:rFonts w:ascii="Times New Roman" w:hAnsi="Times New Roman" w:cs="Times New Roman"/>
          <w:color w:val="auto"/>
          <w:sz w:val="72"/>
          <w:szCs w:val="72"/>
        </w:rPr>
      </w:pPr>
      <w:r>
        <w:rPr>
          <w:rFonts w:ascii="Times New Roman" w:hAnsi="Times New Roman" w:cs="Times New Roman"/>
          <w:color w:val="auto"/>
          <w:sz w:val="72"/>
          <w:szCs w:val="72"/>
        </w:rPr>
        <w:br w:type="page"/>
      </w:r>
    </w:p>
    <w:p w14:paraId="34F3F749">
      <w:pPr>
        <w:pStyle w:val="18"/>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第五部分   附 件</w:t>
      </w:r>
    </w:p>
    <w:p w14:paraId="62134592">
      <w:pPr>
        <w:rPr>
          <w:rFonts w:ascii="Times New Roman" w:hAnsi="Times New Roman" w:cs="Times New Roman"/>
          <w:color w:val="auto"/>
          <w:sz w:val="72"/>
          <w:szCs w:val="72"/>
        </w:rPr>
      </w:pPr>
    </w:p>
    <w:p w14:paraId="320A4C1D">
      <w:pPr>
        <w:pStyle w:val="18"/>
        <w:spacing w:line="600" w:lineRule="exact"/>
        <w:ind w:firstLine="640" w:firstLineChars="200"/>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lang w:eastAsia="zh-CN"/>
        </w:rPr>
        <w:t>一</w:t>
      </w:r>
      <w:r>
        <w:rPr>
          <w:rFonts w:hint="eastAsia" w:ascii="Times New Roman" w:hAnsi="Times New Roman" w:eastAsia="仿宋_GB2312" w:cs="Times New Roman"/>
          <w:color w:val="auto"/>
          <w:sz w:val="32"/>
          <w:szCs w:val="32"/>
          <w:lang w:eastAsia="zh-CN"/>
        </w:rPr>
        <w:t>、怀化市农业科技教育促进中心2025年决算公开表</w:t>
      </w:r>
      <w:r>
        <w:rPr>
          <w:rFonts w:hint="default" w:ascii="Times New Roman" w:hAnsi="Times New Roman" w:eastAsia="仿宋_GB2312" w:cs="Times New Roman"/>
          <w:color w:val="auto"/>
          <w:sz w:val="32"/>
          <w:szCs w:val="32"/>
          <w:lang w:eastAsia="zh-CN"/>
        </w:rPr>
        <w:t>；</w:t>
      </w:r>
    </w:p>
    <w:p w14:paraId="36CE94C0">
      <w:pPr>
        <w:pStyle w:val="18"/>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b/>
          <w:bCs/>
          <w:color w:val="auto"/>
          <w:sz w:val="32"/>
          <w:szCs w:val="32"/>
        </w:rPr>
        <w:t>二、</w:t>
      </w:r>
      <w:r>
        <w:rPr>
          <w:rFonts w:hint="eastAsia" w:ascii="Times New Roman" w:hAnsi="Times New Roman" w:eastAsia="仿宋_GB2312" w:cs="Times New Roman"/>
          <w:color w:val="auto"/>
          <w:sz w:val="32"/>
          <w:szCs w:val="32"/>
          <w:lang w:eastAsia="zh-CN"/>
        </w:rPr>
        <w:t>怀化市农业科技教育促进中心</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年度部门整体支出绩效自评报告</w:t>
      </w:r>
    </w:p>
    <w:p w14:paraId="176B1F6A">
      <w:pPr>
        <w:pStyle w:val="18"/>
        <w:spacing w:line="600" w:lineRule="exact"/>
        <w:ind w:firstLine="640" w:firstLineChars="200"/>
        <w:rPr>
          <w:rFonts w:ascii="Times New Roman" w:hAnsi="Times New Roman" w:eastAsia="仿宋_GB2312" w:cs="Times New Roman"/>
          <w:color w:val="auto"/>
          <w:sz w:val="32"/>
          <w:szCs w:val="32"/>
        </w:rPr>
      </w:pPr>
    </w:p>
    <w:p w14:paraId="08E3AB01">
      <w:pPr>
        <w:pStyle w:val="18"/>
        <w:spacing w:line="600" w:lineRule="exact"/>
        <w:ind w:firstLine="640" w:firstLineChars="200"/>
        <w:rPr>
          <w:rFonts w:ascii="Times New Roman" w:hAnsi="Times New Roman" w:eastAsia="仿宋_GB2312" w:cs="Times New Roman"/>
          <w:color w:val="auto"/>
          <w:sz w:val="32"/>
          <w:szCs w:val="32"/>
        </w:rPr>
      </w:pPr>
    </w:p>
    <w:p w14:paraId="06002F26">
      <w:pPr>
        <w:pStyle w:val="18"/>
        <w:jc w:val="center"/>
        <w:rPr>
          <w:rFonts w:ascii="Times New Roman" w:hAnsi="Times New Roman" w:cs="Times New Roman"/>
          <w:color w:val="auto"/>
          <w:sz w:val="72"/>
          <w:szCs w:val="72"/>
        </w:rPr>
      </w:pPr>
    </w:p>
    <w:p w14:paraId="556F507E">
      <w:pPr>
        <w:pStyle w:val="18"/>
        <w:jc w:val="center"/>
        <w:rPr>
          <w:rFonts w:ascii="Times New Roman" w:hAnsi="Times New Roman" w:cs="Times New Roman"/>
          <w:color w:val="auto"/>
          <w:sz w:val="72"/>
          <w:szCs w:val="72"/>
        </w:rPr>
      </w:pPr>
    </w:p>
    <w:p w14:paraId="02FF1F20">
      <w:pPr>
        <w:jc w:val="left"/>
        <w:rPr>
          <w:rFonts w:ascii="Times New Roman" w:hAnsi="Times New Roman" w:cs="Times New Roman"/>
          <w:color w:val="auto"/>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方正书宋_GBK">
    <w:altName w:val="微软雅黑"/>
    <w:panose1 w:val="02000000000000000000"/>
    <w:charset w:val="86"/>
    <w:family w:val="auto"/>
    <w:pitch w:val="default"/>
    <w:sig w:usb0="00000000" w:usb1="00000000" w:usb2="00082016" w:usb3="00000000" w:csb0="00040001" w:csb1="00000000"/>
  </w:font>
  <w:font w:name="楷体_GB2312">
    <w:altName w:val="楷体"/>
    <w:panose1 w:val="02010609030101010101"/>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5AA5D">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87A41">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7058C">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8A4C5">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28800" cy="1828800"/>
                      </a:xfrm>
                      <a:prstGeom prst="rect">
                        <a:avLst/>
                      </a:prstGeom>
                      <a:noFill/>
                      <a:ln>
                        <a:noFill/>
                      </a:ln>
                    </wps:spPr>
                    <wps:style>
                      <a:lnRef idx="0">
                        <a:srgbClr val="FFFFFF"/>
                      </a:lnRef>
                      <a:fillRef idx="0">
                        <a:srgbClr val="FFFFFF"/>
                      </a:fillRef>
                      <a:effectRef idx="0">
                        <a:schemeClr val="accent1"/>
                      </a:effectRef>
                      <a:fontRef idx="minor">
                        <a:schemeClr val="dk1"/>
                      </a:fontRef>
                    </wps:style>
                    <wps:txbx>
                      <w:txbxContent>
                        <w:p w14:paraId="6E51644A">
                          <w:pPr>
                            <w:pStyle w:val="10"/>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rtlCol="0" anchor="t" upright="0">
                      <a:spAutoFit/>
                    </wps:bodyPr>
                  </wps:wsp>
                </a:graphicData>
              </a:graphic>
            </wp:anchor>
          </w:drawing>
        </mc:Choice>
        <mc:Fallback>
          <w:pict>
            <v:rect id="文本框 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5dblS0AAAAAUBAAAPAAAAAAAA&#10;AAEAIAAAACIAAABkcnMvZG93bnJldi54bWxQSwECFAAUAAAACACHTuJAuAYqAxoCAAA2BAAADgAA&#10;AAAAAAABACAAAAAfAQAAZHJzL2Uyb0RvYy54bWxQSwUGAAAAAAYABgBZAQAAqwUAAAAA&#10;">
              <v:fill on="f" focussize="0,0"/>
              <v:stroke on="f"/>
              <v:imagedata o:title=""/>
              <o:lock v:ext="edit" aspectratio="t"/>
              <v:textbox inset="0mm,0mm,0mm,0mm" style="mso-fit-shape-to-text:t;">
                <w:txbxContent>
                  <w:p w14:paraId="6E51644A">
                    <w:pPr>
                      <w:pStyle w:val="10"/>
                    </w:pPr>
                    <w:r>
                      <w:fldChar w:fldCharType="begin"/>
                    </w:r>
                    <w:r>
                      <w:instrText xml:space="preserve"> PAGE  \* MERGEFORMAT </w:instrText>
                    </w:r>
                    <w:r>
                      <w:fldChar w:fldCharType="separate"/>
                    </w:r>
                    <w:r>
                      <w:t>20</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625A1B"/>
    <w:rsid w:val="1CEF1E44"/>
    <w:rsid w:val="1FFF2DB8"/>
    <w:rsid w:val="355A1251"/>
    <w:rsid w:val="36E3D7A8"/>
    <w:rsid w:val="37DFCE5E"/>
    <w:rsid w:val="4CA97EBE"/>
    <w:rsid w:val="4EEB3766"/>
    <w:rsid w:val="598F4A79"/>
    <w:rsid w:val="5BEB4A2C"/>
    <w:rsid w:val="5FD19EC4"/>
    <w:rsid w:val="66493EF3"/>
    <w:rsid w:val="696F1EDE"/>
    <w:rsid w:val="6E3FC268"/>
    <w:rsid w:val="6FBF5927"/>
    <w:rsid w:val="773738D4"/>
    <w:rsid w:val="7757B2BB"/>
    <w:rsid w:val="77CFA1BD"/>
    <w:rsid w:val="77D68833"/>
    <w:rsid w:val="7CFDA54A"/>
    <w:rsid w:val="7DBA257C"/>
    <w:rsid w:val="7EF9FD98"/>
    <w:rsid w:val="7EFFE565"/>
    <w:rsid w:val="7FDBB624"/>
    <w:rsid w:val="7FFDCF39"/>
    <w:rsid w:val="8EBC7483"/>
    <w:rsid w:val="9EF6C743"/>
    <w:rsid w:val="AFFB2474"/>
    <w:rsid w:val="B7F3A335"/>
    <w:rsid w:val="BEFD1F76"/>
    <w:rsid w:val="BF222CA6"/>
    <w:rsid w:val="BFFD2681"/>
    <w:rsid w:val="D6FE77C9"/>
    <w:rsid w:val="D7FD1F9E"/>
    <w:rsid w:val="DBFDC80E"/>
    <w:rsid w:val="DEBEB7B4"/>
    <w:rsid w:val="DFEBDFCC"/>
    <w:rsid w:val="E53F3C34"/>
    <w:rsid w:val="E78EC2D5"/>
    <w:rsid w:val="E7FE8EC6"/>
    <w:rsid w:val="ECFEA3A9"/>
    <w:rsid w:val="EF1FACDC"/>
    <w:rsid w:val="F5EF4E1B"/>
    <w:rsid w:val="F7FFA7BF"/>
    <w:rsid w:val="F8F7D15C"/>
    <w:rsid w:val="FADBDC34"/>
    <w:rsid w:val="FBF68921"/>
    <w:rsid w:val="FD593025"/>
    <w:rsid w:val="FEEBCA8A"/>
    <w:rsid w:val="FFE64112"/>
    <w:rsid w:val="FFFFD73F"/>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6"/>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24"/>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link w:val="25"/>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7">
    <w:name w:val="Body Text Indent"/>
    <w:basedOn w:val="1"/>
    <w:next w:val="8"/>
    <w:unhideWhenUsed/>
    <w:qFormat/>
    <w:uiPriority w:val="99"/>
    <w:pPr>
      <w:widowControl/>
      <w:spacing w:after="120"/>
      <w:ind w:left="420" w:leftChars="200"/>
      <w:jc w:val="left"/>
    </w:pPr>
    <w:rPr>
      <w:rFonts w:ascii="宋体" w:hAnsi="宋体" w:eastAsia="宋体" w:cs="宋体"/>
      <w:kern w:val="0"/>
      <w:sz w:val="24"/>
    </w:rPr>
  </w:style>
  <w:style w:type="paragraph" w:styleId="8">
    <w:name w:val="Body Text First Indent 2"/>
    <w:basedOn w:val="7"/>
    <w:next w:val="1"/>
    <w:unhideWhenUsed/>
    <w:qFormat/>
    <w:uiPriority w:val="99"/>
    <w:pPr>
      <w:ind w:firstLine="420" w:firstLineChars="200"/>
    </w:pPr>
  </w:style>
  <w:style w:type="paragraph" w:styleId="9">
    <w:name w:val="Balloon Text"/>
    <w:basedOn w:val="1"/>
    <w:link w:val="20"/>
    <w:semiHidden/>
    <w:unhideWhenUsed/>
    <w:qFormat/>
    <w:uiPriority w:val="99"/>
    <w:rPr>
      <w:sz w:val="18"/>
      <w:szCs w:val="18"/>
    </w:rPr>
  </w:style>
  <w:style w:type="paragraph" w:styleId="10">
    <w:name w:val="footer"/>
    <w:basedOn w:val="1"/>
    <w:link w:val="17"/>
    <w:unhideWhenUsed/>
    <w:qFormat/>
    <w:uiPriority w:val="99"/>
    <w:pPr>
      <w:tabs>
        <w:tab w:val="center" w:pos="4153"/>
        <w:tab w:val="right" w:pos="8306"/>
      </w:tabs>
      <w:snapToGrid w:val="0"/>
      <w:jc w:val="left"/>
    </w:pPr>
    <w:rPr>
      <w:sz w:val="18"/>
      <w:szCs w:val="18"/>
    </w:rPr>
  </w:style>
  <w:style w:type="paragraph" w:styleId="11">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next w:val="8"/>
    <w:semiHidden/>
    <w:qFormat/>
    <w:uiPriority w:val="0"/>
    <w:pPr>
      <w:snapToGrid w:val="0"/>
      <w:jc w:val="left"/>
    </w:pPr>
    <w:rPr>
      <w:sz w:val="18"/>
      <w:szCs w:val="18"/>
    </w:rPr>
  </w:style>
  <w:style w:type="table" w:styleId="14">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6">
    <w:name w:val="页眉 Char"/>
    <w:basedOn w:val="15"/>
    <w:link w:val="11"/>
    <w:qFormat/>
    <w:uiPriority w:val="99"/>
    <w:rPr>
      <w:sz w:val="18"/>
      <w:szCs w:val="18"/>
    </w:rPr>
  </w:style>
  <w:style w:type="character" w:customStyle="1" w:styleId="17">
    <w:name w:val="页脚 Char"/>
    <w:basedOn w:val="15"/>
    <w:link w:val="10"/>
    <w:qFormat/>
    <w:uiPriority w:val="99"/>
    <w:rPr>
      <w:sz w:val="18"/>
      <w:szCs w:val="18"/>
    </w:rPr>
  </w:style>
  <w:style w:type="paragraph" w:customStyle="1" w:styleId="18">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9">
    <w:name w:val="List Paragraph"/>
    <w:basedOn w:val="1"/>
    <w:qFormat/>
    <w:uiPriority w:val="34"/>
    <w:pPr>
      <w:ind w:firstLine="420" w:firstLineChars="200"/>
    </w:pPr>
  </w:style>
  <w:style w:type="character" w:customStyle="1" w:styleId="20">
    <w:name w:val="批注框文本 Char"/>
    <w:basedOn w:val="15"/>
    <w:link w:val="9"/>
    <w:semiHidden/>
    <w:qFormat/>
    <w:uiPriority w:val="99"/>
    <w:rPr>
      <w:sz w:val="18"/>
      <w:szCs w:val="18"/>
    </w:rPr>
  </w:style>
  <w:style w:type="character" w:customStyle="1" w:styleId="21">
    <w:name w:val="font01"/>
    <w:basedOn w:val="15"/>
    <w:qFormat/>
    <w:uiPriority w:val="0"/>
    <w:rPr>
      <w:rFonts w:hint="eastAsia" w:ascii="宋体" w:hAnsi="宋体" w:eastAsia="宋体" w:cs="宋体"/>
      <w:color w:val="000000"/>
      <w:sz w:val="22"/>
      <w:szCs w:val="22"/>
      <w:u w:val="none"/>
    </w:rPr>
  </w:style>
  <w:style w:type="character" w:customStyle="1" w:styleId="22">
    <w:name w:val="font21"/>
    <w:basedOn w:val="15"/>
    <w:qFormat/>
    <w:uiPriority w:val="0"/>
    <w:rPr>
      <w:rFonts w:hint="eastAsia" w:ascii="宋体" w:hAnsi="宋体" w:eastAsia="宋体" w:cs="宋体"/>
      <w:color w:val="000000"/>
      <w:sz w:val="24"/>
      <w:szCs w:val="24"/>
      <w:u w:val="none"/>
    </w:rPr>
  </w:style>
  <w:style w:type="character" w:customStyle="1" w:styleId="23">
    <w:name w:val="font11"/>
    <w:basedOn w:val="15"/>
    <w:qFormat/>
    <w:uiPriority w:val="0"/>
    <w:rPr>
      <w:rFonts w:hint="eastAsia" w:ascii="宋体" w:hAnsi="宋体" w:eastAsia="宋体" w:cs="宋体"/>
      <w:color w:val="000000"/>
      <w:sz w:val="24"/>
      <w:szCs w:val="24"/>
      <w:u w:val="none"/>
    </w:rPr>
  </w:style>
  <w:style w:type="character" w:customStyle="1" w:styleId="24">
    <w:name w:val="标题 3 Char"/>
    <w:link w:val="4"/>
    <w:uiPriority w:val="0"/>
    <w:rPr>
      <w:rFonts w:ascii="Times New Roman" w:hAnsi="Times New Roman" w:eastAsia="仿宋_GB2312" w:cs="仿宋_GB2312"/>
      <w:sz w:val="32"/>
      <w:szCs w:val="32"/>
    </w:rPr>
  </w:style>
  <w:style w:type="character" w:customStyle="1" w:styleId="25">
    <w:name w:val="标题 4 Char"/>
    <w:link w:val="5"/>
    <w:uiPriority w:val="0"/>
    <w:rPr>
      <w:rFonts w:ascii="Times New Roman" w:hAnsi="Times New Roman" w:eastAsia="仿宋_GB2312" w:cs="仿宋_GB2312"/>
      <w:sz w:val="32"/>
      <w:szCs w:val="32"/>
    </w:rPr>
  </w:style>
  <w:style w:type="character" w:customStyle="1" w:styleId="26">
    <w:name w:val="标题 2 Char"/>
    <w:link w:val="3"/>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2643</Words>
  <Characters>3236</Characters>
  <Lines>69</Lines>
  <Paragraphs>19</Paragraphs>
  <TotalTime>12</TotalTime>
  <ScaleCrop>false</ScaleCrop>
  <LinksUpToDate>false</LinksUpToDate>
  <CharactersWithSpaces>3791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超级豆丁</cp:lastModifiedBy>
  <cp:lastPrinted>2025-09-19T18:15:00Z</cp:lastPrinted>
  <dcterms:modified xsi:type="dcterms:W3CDTF">2026-09-19T13:40:52Z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BB7B6AA21D207914D6FDA268992A22D6</vt:lpwstr>
  </property>
  <property fmtid="{D5CDD505-2E9C-101B-9397-08002B2CF9AE}" pid="4" name="KSOTemplateDocerSaveRecord">
    <vt:lpwstr>eyJoZGlkIjoiMWExYjhhMTUzOGFjOGE3ZmU1YTRmZTExNzE1Nzg0NzgiLCJ1c2VySWQiOiIxNjQwNTUxMjk3In0=</vt:lpwstr>
  </property>
</Properties>
</file>