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44F1">
      <w:pPr>
        <w:widowControl/>
        <w:jc w:val="left"/>
        <w:rPr>
          <w:rFonts w:hint="eastAsia" w:ascii="方正楷体简体" w:hAnsi="方正楷体简体" w:eastAsia="方正楷体简体" w:cs="方正楷体简体"/>
          <w:bCs/>
          <w:kern w:val="0"/>
          <w:sz w:val="32"/>
          <w:szCs w:val="32"/>
          <w:lang w:val="en-US" w:eastAsia="zh-CN"/>
        </w:rPr>
      </w:pPr>
      <w:r>
        <w:rPr>
          <w:rFonts w:hint="eastAsia" w:ascii="方正楷体简体" w:hAnsi="方正楷体简体" w:eastAsia="方正楷体简体" w:cs="方正楷体简体"/>
          <w:bCs/>
          <w:kern w:val="0"/>
          <w:sz w:val="32"/>
          <w:szCs w:val="32"/>
        </w:rPr>
        <w:t>附件</w:t>
      </w:r>
      <w:r>
        <w:rPr>
          <w:rFonts w:hint="eastAsia" w:ascii="方正楷体简体" w:hAnsi="方正楷体简体" w:eastAsia="方正楷体简体" w:cs="方正楷体简体"/>
          <w:bCs/>
          <w:kern w:val="0"/>
          <w:sz w:val="32"/>
          <w:szCs w:val="32"/>
          <w:lang w:val="en-US" w:eastAsia="zh-CN"/>
        </w:rPr>
        <w:t>1</w:t>
      </w:r>
    </w:p>
    <w:p w14:paraId="773535F1">
      <w:pPr>
        <w:widowControl/>
        <w:jc w:val="left"/>
        <w:rPr>
          <w:rFonts w:hint="eastAsia"/>
          <w:bCs/>
          <w:kern w:val="0"/>
          <w:sz w:val="32"/>
          <w:szCs w:val="32"/>
          <w:lang w:val="en-US" w:eastAsia="zh-CN"/>
        </w:rPr>
      </w:pPr>
    </w:p>
    <w:p w14:paraId="73FDCEAF">
      <w:pPr>
        <w:widowControl/>
        <w:jc w:val="center"/>
        <w:rPr>
          <w:rFonts w:hint="eastAsia" w:ascii="Times New Roman" w:hAnsi="Times New Roman" w:eastAsia="方正小标宋简体" w:cs="Times New Roman"/>
          <w:w w:val="100"/>
          <w:kern w:val="0"/>
          <w:sz w:val="40"/>
          <w:szCs w:val="44"/>
        </w:rPr>
      </w:pPr>
      <w:r>
        <w:rPr>
          <w:rFonts w:hint="eastAsia" w:ascii="Times New Roman" w:hAnsi="Times New Roman" w:eastAsia="方正小标宋简体" w:cs="Times New Roman"/>
          <w:w w:val="100"/>
          <w:kern w:val="0"/>
          <w:sz w:val="40"/>
          <w:szCs w:val="44"/>
        </w:rPr>
        <w:t>2026年度</w:t>
      </w:r>
    </w:p>
    <w:p w14:paraId="741759E7">
      <w:pPr>
        <w:widowControl/>
        <w:jc w:val="center"/>
        <w:rPr>
          <w:rFonts w:hint="eastAsia" w:ascii="方正小标宋简体" w:hAnsi="方正小标宋简体" w:eastAsia="方正小标宋简体" w:cs="方正小标宋简体"/>
          <w:b w:val="0"/>
          <w:bCs w:val="0"/>
          <w:kern w:val="0"/>
          <w:sz w:val="44"/>
          <w:szCs w:val="44"/>
        </w:rPr>
      </w:pPr>
      <w:r>
        <w:rPr>
          <w:rFonts w:hint="eastAsia" w:ascii="Times New Roman" w:hAnsi="Times New Roman" w:eastAsia="方正小标宋简体" w:cs="Times New Roman"/>
          <w:w w:val="100"/>
          <w:kern w:val="0"/>
          <w:sz w:val="40"/>
          <w:szCs w:val="44"/>
        </w:rPr>
        <w:t>怀化市农村经营事务中心</w:t>
      </w:r>
      <w:r>
        <w:rPr>
          <w:rFonts w:ascii="Times New Roman" w:hAnsi="Times New Roman" w:eastAsia="方正小标宋简体" w:cs="Times New Roman"/>
          <w:w w:val="100"/>
          <w:kern w:val="0"/>
          <w:sz w:val="40"/>
          <w:szCs w:val="44"/>
        </w:rPr>
        <w:t>部门预算公开</w:t>
      </w:r>
      <w:r>
        <w:rPr>
          <w:rFonts w:hint="eastAsia" w:ascii="Times New Roman" w:hAnsi="Times New Roman" w:eastAsia="方正小标宋简体" w:cs="Times New Roman"/>
          <w:w w:val="100"/>
          <w:kern w:val="0"/>
          <w:sz w:val="40"/>
          <w:szCs w:val="44"/>
        </w:rPr>
        <w:t>说明</w:t>
      </w:r>
    </w:p>
    <w:p w14:paraId="5F74242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9D9505D">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bCs/>
          <w:kern w:val="0"/>
          <w:sz w:val="32"/>
          <w:szCs w:val="32"/>
          <w:lang w:eastAsia="zh-CN"/>
        </w:rPr>
      </w:pPr>
    </w:p>
    <w:p w14:paraId="69DFF496">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center"/>
        <w:textAlignment w:val="auto"/>
        <w:outlineLvl w:val="9"/>
        <w:rPr>
          <w:rFonts w:hint="default" w:ascii="Times New Roman" w:hAnsi="Times New Roman" w:eastAsia="黑体" w:cs="Times New Roman"/>
          <w:bCs/>
          <w:color w:val="auto"/>
          <w:kern w:val="0"/>
          <w:sz w:val="32"/>
          <w:szCs w:val="32"/>
          <w:lang w:eastAsia="zh-CN"/>
        </w:rPr>
      </w:pPr>
      <w:r>
        <w:rPr>
          <w:rFonts w:hint="default" w:ascii="Times New Roman" w:hAnsi="Times New Roman" w:eastAsia="黑体" w:cs="Times New Roman"/>
          <w:bCs/>
          <w:color w:val="auto"/>
          <w:kern w:val="0"/>
          <w:sz w:val="32"/>
          <w:szCs w:val="32"/>
          <w:lang w:eastAsia="zh-CN"/>
        </w:rPr>
        <w:t>目录</w:t>
      </w:r>
      <w:bookmarkStart w:id="0" w:name="_GoBack"/>
      <w:bookmarkEnd w:id="0"/>
    </w:p>
    <w:p w14:paraId="23425979">
      <w:pPr>
        <w:keepNext w:val="0"/>
        <w:keepLines w:val="0"/>
        <w:pageBreakBefore w:val="0"/>
        <w:widowControl w:val="0"/>
        <w:kinsoku/>
        <w:wordWrap/>
        <w:overflowPunct/>
        <w:topLinePunct w:val="0"/>
        <w:autoSpaceDE/>
        <w:autoSpaceDN/>
        <w:bidi w:val="0"/>
        <w:adjustRightInd/>
        <w:snapToGrid/>
        <w:spacing w:line="500" w:lineRule="auto"/>
        <w:ind w:right="0" w:rightChars="0" w:firstLine="320" w:firstLineChars="100"/>
        <w:jc w:val="left"/>
        <w:textAlignment w:val="auto"/>
        <w:outlineLvl w:val="9"/>
        <w:rPr>
          <w:rFonts w:hint="default" w:ascii="Times New Roman" w:hAnsi="Times New Roman" w:eastAsia="黑体" w:cs="Times New Roman"/>
          <w:bCs/>
          <w:color w:val="auto"/>
          <w:kern w:val="0"/>
          <w:sz w:val="32"/>
          <w:szCs w:val="32"/>
          <w:lang w:val="en-US" w:eastAsia="zh-CN"/>
        </w:rPr>
      </w:pPr>
      <w:r>
        <w:rPr>
          <w:rFonts w:hint="eastAsia" w:eastAsia="黑体" w:cs="Times New Roman"/>
          <w:bCs/>
          <w:color w:val="auto"/>
          <w:kern w:val="0"/>
          <w:sz w:val="32"/>
          <w:szCs w:val="32"/>
          <w:lang w:eastAsia="zh-CN"/>
        </w:rPr>
        <w:t>第一部分</w:t>
      </w:r>
      <w:r>
        <w:rPr>
          <w:rFonts w:hint="eastAsia" w:eastAsia="黑体" w:cs="Times New Roman"/>
          <w:bCs/>
          <w:color w:val="auto"/>
          <w:kern w:val="0"/>
          <w:sz w:val="32"/>
          <w:szCs w:val="32"/>
          <w:lang w:val="en-US" w:eastAsia="zh-CN"/>
        </w:rPr>
        <w:t>2026年部门预算说明</w:t>
      </w:r>
    </w:p>
    <w:p w14:paraId="7AE9EAA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一、部门</w:t>
      </w:r>
      <w:r>
        <w:rPr>
          <w:rFonts w:hint="eastAsia" w:ascii="仿宋" w:hAnsi="仿宋" w:eastAsia="仿宋" w:cs="仿宋"/>
          <w:b w:val="0"/>
          <w:bCs/>
          <w:color w:val="auto"/>
          <w:kern w:val="0"/>
          <w:sz w:val="32"/>
          <w:szCs w:val="32"/>
          <w:lang w:eastAsia="zh-CN"/>
        </w:rPr>
        <w:t>基本概况</w:t>
      </w:r>
    </w:p>
    <w:p w14:paraId="2DE342DF">
      <w:pPr>
        <w:keepNext w:val="0"/>
        <w:keepLines w:val="0"/>
        <w:pageBreakBefore w:val="0"/>
        <w:widowControl w:val="0"/>
        <w:numPr>
          <w:ilvl w:val="0"/>
          <w:numId w:val="1"/>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部门预算单位构成</w:t>
      </w:r>
    </w:p>
    <w:p w14:paraId="02B9D71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eastAsia="zh-CN"/>
        </w:rPr>
        <w:t>三</w:t>
      </w:r>
      <w:r>
        <w:rPr>
          <w:rFonts w:hint="eastAsia" w:ascii="仿宋" w:hAnsi="仿宋" w:eastAsia="仿宋" w:cs="仿宋"/>
          <w:b w:val="0"/>
          <w:bCs/>
          <w:color w:val="auto"/>
          <w:kern w:val="0"/>
          <w:sz w:val="32"/>
          <w:szCs w:val="32"/>
        </w:rPr>
        <w:t>、</w:t>
      </w:r>
      <w:r>
        <w:rPr>
          <w:rFonts w:hint="eastAsia" w:ascii="仿宋" w:hAnsi="仿宋" w:eastAsia="仿宋" w:cs="仿宋"/>
          <w:b w:val="0"/>
          <w:bCs/>
          <w:color w:val="auto"/>
          <w:kern w:val="0"/>
          <w:sz w:val="32"/>
          <w:szCs w:val="32"/>
          <w:lang w:eastAsia="zh-CN"/>
        </w:rPr>
        <w:t>部门收支总体情况</w:t>
      </w:r>
    </w:p>
    <w:p w14:paraId="50C0F441">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一般公共预算财政拨款支出</w:t>
      </w:r>
    </w:p>
    <w:p w14:paraId="764F02DA">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政府性基金预算支出</w:t>
      </w:r>
    </w:p>
    <w:p w14:paraId="684E01EB">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六、其他重要事项的情况说明</w:t>
      </w:r>
    </w:p>
    <w:p w14:paraId="259EC6DC">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七、</w:t>
      </w:r>
      <w:r>
        <w:rPr>
          <w:rFonts w:hint="eastAsia" w:ascii="仿宋" w:hAnsi="仿宋" w:eastAsia="仿宋" w:cs="仿宋"/>
          <w:b w:val="0"/>
          <w:bCs/>
          <w:color w:val="auto"/>
          <w:sz w:val="32"/>
          <w:szCs w:val="32"/>
        </w:rPr>
        <w:t>名词解释</w:t>
      </w:r>
    </w:p>
    <w:p w14:paraId="2AB683C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第二部分2026年部门预算表</w:t>
      </w:r>
    </w:p>
    <w:p w14:paraId="02A1EDA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eastAsia="仿宋_GB2312"/>
          <w:color w:val="000000"/>
          <w:sz w:val="32"/>
          <w:szCs w:val="32"/>
        </w:rPr>
        <w:t>收支</w:t>
      </w:r>
      <w:r>
        <w:rPr>
          <w:rFonts w:hint="eastAsia" w:eastAsia="仿宋_GB2312"/>
          <w:color w:val="000000"/>
          <w:sz w:val="32"/>
          <w:szCs w:val="32"/>
          <w:lang w:eastAsia="zh-CN"/>
        </w:rPr>
        <w:t>预算</w:t>
      </w:r>
      <w:r>
        <w:rPr>
          <w:rFonts w:eastAsia="仿宋_GB2312"/>
          <w:color w:val="000000"/>
          <w:sz w:val="32"/>
          <w:szCs w:val="32"/>
        </w:rPr>
        <w:t>总表</w:t>
      </w:r>
    </w:p>
    <w:p w14:paraId="3947F7C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eastAsia="仿宋_GB2312"/>
          <w:color w:val="000000"/>
          <w:sz w:val="32"/>
          <w:szCs w:val="32"/>
        </w:rPr>
        <w:t>收入</w:t>
      </w:r>
      <w:r>
        <w:rPr>
          <w:rFonts w:hint="eastAsia" w:eastAsia="仿宋_GB2312"/>
          <w:color w:val="000000"/>
          <w:sz w:val="32"/>
          <w:szCs w:val="32"/>
          <w:lang w:eastAsia="zh-CN"/>
        </w:rPr>
        <w:t>预算总</w:t>
      </w:r>
      <w:r>
        <w:rPr>
          <w:rFonts w:eastAsia="仿宋_GB2312"/>
          <w:color w:val="000000"/>
          <w:sz w:val="32"/>
          <w:szCs w:val="32"/>
        </w:rPr>
        <w:t>表</w:t>
      </w:r>
    </w:p>
    <w:p w14:paraId="338F35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eastAsia="仿宋_GB2312"/>
          <w:color w:val="000000"/>
          <w:sz w:val="32"/>
          <w:szCs w:val="32"/>
        </w:rPr>
        <w:t>支出</w:t>
      </w:r>
      <w:r>
        <w:rPr>
          <w:rFonts w:hint="eastAsia" w:eastAsia="仿宋_GB2312"/>
          <w:color w:val="000000"/>
          <w:sz w:val="32"/>
          <w:szCs w:val="32"/>
          <w:lang w:eastAsia="zh-CN"/>
        </w:rPr>
        <w:t>预算总</w:t>
      </w:r>
      <w:r>
        <w:rPr>
          <w:rFonts w:eastAsia="仿宋_GB2312"/>
          <w:color w:val="000000"/>
          <w:sz w:val="32"/>
          <w:szCs w:val="32"/>
        </w:rPr>
        <w:t>表</w:t>
      </w:r>
    </w:p>
    <w:p w14:paraId="036CCC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4.</w:t>
      </w:r>
      <w:r>
        <w:rPr>
          <w:rFonts w:eastAsia="仿宋_GB2312"/>
          <w:color w:val="000000"/>
          <w:sz w:val="32"/>
          <w:szCs w:val="32"/>
        </w:rPr>
        <w:t>财政拨款收支</w:t>
      </w:r>
      <w:r>
        <w:rPr>
          <w:rFonts w:hint="eastAsia" w:eastAsia="仿宋_GB2312"/>
          <w:color w:val="000000"/>
          <w:sz w:val="32"/>
          <w:szCs w:val="32"/>
          <w:lang w:eastAsia="zh-CN"/>
        </w:rPr>
        <w:t>预算</w:t>
      </w:r>
      <w:r>
        <w:rPr>
          <w:rFonts w:eastAsia="仿宋_GB2312"/>
          <w:color w:val="000000"/>
          <w:sz w:val="32"/>
          <w:szCs w:val="32"/>
        </w:rPr>
        <w:t>总表</w:t>
      </w:r>
    </w:p>
    <w:p w14:paraId="65D6185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eastAsia="仿宋_GB2312"/>
          <w:color w:val="000000"/>
          <w:sz w:val="32"/>
          <w:szCs w:val="32"/>
        </w:rPr>
      </w:pPr>
      <w:r>
        <w:rPr>
          <w:rFonts w:hint="default" w:ascii="Times New Roman" w:hAnsi="Times New Roman" w:eastAsia="仿宋_GB2312" w:cs="Times New Roman"/>
          <w:b w:val="0"/>
          <w:bCs w:val="0"/>
          <w:color w:val="auto"/>
          <w:sz w:val="32"/>
          <w:szCs w:val="32"/>
          <w:lang w:val="en-US" w:eastAsia="zh-CN"/>
        </w:rPr>
        <w:t>5.</w:t>
      </w:r>
      <w:r>
        <w:rPr>
          <w:rFonts w:eastAsia="仿宋_GB2312"/>
          <w:color w:val="000000"/>
          <w:sz w:val="32"/>
          <w:szCs w:val="32"/>
        </w:rPr>
        <w:t>一般公共预算支出</w:t>
      </w:r>
      <w:r>
        <w:rPr>
          <w:rFonts w:hint="eastAsia" w:eastAsia="仿宋_GB2312"/>
          <w:color w:val="000000"/>
          <w:sz w:val="32"/>
          <w:szCs w:val="32"/>
          <w:lang w:eastAsia="zh-CN"/>
        </w:rPr>
        <w:t>预算</w:t>
      </w:r>
      <w:r>
        <w:rPr>
          <w:rFonts w:eastAsia="仿宋_GB2312"/>
          <w:color w:val="000000"/>
          <w:sz w:val="32"/>
          <w:szCs w:val="32"/>
        </w:rPr>
        <w:t>表</w:t>
      </w:r>
    </w:p>
    <w:p w14:paraId="11EC18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w:t>
      </w:r>
      <w:r>
        <w:rPr>
          <w:rFonts w:eastAsia="仿宋_GB2312"/>
          <w:color w:val="000000"/>
          <w:sz w:val="32"/>
          <w:szCs w:val="32"/>
        </w:rPr>
        <w:t>一般公共预算基本支出</w:t>
      </w:r>
      <w:r>
        <w:rPr>
          <w:rFonts w:hint="eastAsia" w:eastAsia="仿宋_GB2312"/>
          <w:color w:val="000000"/>
          <w:sz w:val="32"/>
          <w:szCs w:val="32"/>
          <w:lang w:eastAsia="zh-CN"/>
        </w:rPr>
        <w:t>预算</w:t>
      </w:r>
      <w:r>
        <w:rPr>
          <w:rFonts w:eastAsia="仿宋_GB2312"/>
          <w:color w:val="000000"/>
          <w:sz w:val="32"/>
          <w:szCs w:val="32"/>
        </w:rPr>
        <w:t>表</w:t>
      </w:r>
    </w:p>
    <w:p w14:paraId="1BA36F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7.</w:t>
      </w:r>
      <w:r>
        <w:rPr>
          <w:rFonts w:hint="eastAsia" w:eastAsia="仿宋_GB2312" w:cs="Times New Roman"/>
          <w:b w:val="0"/>
          <w:bCs w:val="0"/>
          <w:color w:val="auto"/>
          <w:sz w:val="32"/>
          <w:szCs w:val="32"/>
          <w:lang w:val="en-US" w:eastAsia="zh-CN"/>
        </w:rPr>
        <w:t>一般公共预算</w:t>
      </w:r>
      <w:r>
        <w:rPr>
          <w:rFonts w:eastAsia="仿宋_GB2312"/>
          <w:color w:val="000000"/>
          <w:sz w:val="32"/>
          <w:szCs w:val="32"/>
        </w:rPr>
        <w:t>“三公”经费支出</w:t>
      </w:r>
      <w:r>
        <w:rPr>
          <w:rFonts w:hint="eastAsia" w:eastAsia="仿宋_GB2312"/>
          <w:color w:val="000000"/>
          <w:sz w:val="32"/>
          <w:szCs w:val="32"/>
          <w:lang w:eastAsia="zh-CN"/>
        </w:rPr>
        <w:t>预算</w:t>
      </w:r>
      <w:r>
        <w:rPr>
          <w:rFonts w:eastAsia="仿宋_GB2312"/>
          <w:color w:val="000000"/>
          <w:sz w:val="32"/>
          <w:szCs w:val="32"/>
        </w:rPr>
        <w:t>表</w:t>
      </w:r>
    </w:p>
    <w:p w14:paraId="38BB63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8.</w:t>
      </w:r>
      <w:r>
        <w:rPr>
          <w:rFonts w:eastAsia="仿宋_GB2312"/>
          <w:color w:val="000000"/>
          <w:sz w:val="32"/>
          <w:szCs w:val="32"/>
        </w:rPr>
        <w:t>政府性基金预算支</w:t>
      </w:r>
      <w:r>
        <w:rPr>
          <w:rFonts w:hint="eastAsia" w:eastAsia="仿宋_GB2312"/>
          <w:color w:val="000000"/>
          <w:sz w:val="32"/>
          <w:szCs w:val="32"/>
          <w:lang w:eastAsia="zh-CN"/>
        </w:rPr>
        <w:t>出预算</w:t>
      </w:r>
      <w:r>
        <w:rPr>
          <w:rFonts w:eastAsia="仿宋_GB2312"/>
          <w:color w:val="000000"/>
          <w:sz w:val="32"/>
          <w:szCs w:val="32"/>
        </w:rPr>
        <w:t>表</w:t>
      </w:r>
    </w:p>
    <w:p w14:paraId="5F45FA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9.</w:t>
      </w:r>
      <w:r>
        <w:rPr>
          <w:rFonts w:hint="eastAsia" w:eastAsia="仿宋_GB2312"/>
          <w:color w:val="000000"/>
          <w:sz w:val="32"/>
          <w:szCs w:val="32"/>
          <w:lang w:eastAsia="zh-CN"/>
        </w:rPr>
        <w:t>项目支出预算表</w:t>
      </w:r>
    </w:p>
    <w:p w14:paraId="051366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lang w:val="en-US" w:eastAsia="zh-CN"/>
        </w:rPr>
        <w:t>.</w:t>
      </w:r>
      <w:r>
        <w:rPr>
          <w:rFonts w:hint="eastAsia" w:eastAsia="仿宋_GB2312"/>
          <w:color w:val="000000"/>
          <w:sz w:val="32"/>
          <w:szCs w:val="32"/>
          <w:lang w:eastAsia="zh-CN"/>
        </w:rPr>
        <w:t>国有资本经营预算支出预算表</w:t>
      </w:r>
    </w:p>
    <w:p w14:paraId="2C568E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11.项目支出绩效目标表</w:t>
      </w:r>
    </w:p>
    <w:p w14:paraId="751AA2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12.部门整体支出绩效目标表</w:t>
      </w:r>
    </w:p>
    <w:p w14:paraId="1F51D25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注：以上部门预算报表中，空表表示本部门无相关收支情况</w:t>
      </w:r>
    </w:p>
    <w:p w14:paraId="0C1DEE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p>
    <w:p w14:paraId="7ABECEB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1C12AA9">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4C999931">
      <w:pPr>
        <w:bidi w:val="0"/>
        <w:rPr>
          <w:rFonts w:hint="eastAsia"/>
          <w:lang w:val="en-US" w:eastAsia="zh-CN"/>
        </w:rPr>
      </w:pPr>
    </w:p>
    <w:p w14:paraId="132913ED">
      <w:pPr>
        <w:bidi w:val="0"/>
        <w:rPr>
          <w:rFonts w:hint="eastAsia"/>
          <w:lang w:val="en-US" w:eastAsia="zh-CN"/>
        </w:rPr>
      </w:pPr>
    </w:p>
    <w:p w14:paraId="32CA245B">
      <w:pPr>
        <w:bidi w:val="0"/>
        <w:rPr>
          <w:rFonts w:hint="eastAsia"/>
          <w:lang w:val="en-US" w:eastAsia="zh-CN"/>
        </w:rPr>
      </w:pPr>
    </w:p>
    <w:p w14:paraId="172EE815">
      <w:pPr>
        <w:bidi w:val="0"/>
        <w:rPr>
          <w:rFonts w:hint="eastAsia"/>
          <w:lang w:val="en-US" w:eastAsia="zh-CN"/>
        </w:rPr>
      </w:pPr>
    </w:p>
    <w:p w14:paraId="4C368DCC">
      <w:pPr>
        <w:bidi w:val="0"/>
        <w:rPr>
          <w:rFonts w:hint="eastAsia"/>
          <w:lang w:val="en-US" w:eastAsia="zh-CN"/>
        </w:rPr>
      </w:pPr>
    </w:p>
    <w:p w14:paraId="4ADD009C">
      <w:pPr>
        <w:bidi w:val="0"/>
        <w:rPr>
          <w:rFonts w:hint="eastAsia"/>
          <w:lang w:val="en-US" w:eastAsia="zh-CN"/>
        </w:rPr>
      </w:pPr>
    </w:p>
    <w:p w14:paraId="52E7FB5A">
      <w:pPr>
        <w:bidi w:val="0"/>
        <w:jc w:val="left"/>
        <w:rPr>
          <w:rFonts w:hint="eastAsia"/>
          <w:lang w:val="en-US" w:eastAsia="zh-CN"/>
        </w:rPr>
      </w:pPr>
      <w:r>
        <w:rPr>
          <w:rFonts w:hint="eastAsia"/>
          <w:lang w:val="en-US" w:eastAsia="zh-CN"/>
        </w:rPr>
        <w:br w:type="page"/>
      </w:r>
    </w:p>
    <w:p w14:paraId="1CB2E766">
      <w:pPr>
        <w:widowControl/>
        <w:spacing w:line="437" w:lineRule="atLeast"/>
        <w:ind w:firstLine="627"/>
        <w:jc w:val="left"/>
        <w:rPr>
          <w:rFonts w:ascii="Times New Roman" w:hAnsi="Times New Roman" w:eastAsia="微软雅黑"/>
          <w:color w:val="3D3D3D"/>
          <w:kern w:val="0"/>
          <w:sz w:val="30"/>
          <w:szCs w:val="30"/>
        </w:rPr>
      </w:pPr>
      <w:r>
        <w:rPr>
          <w:rFonts w:ascii="黑体" w:hAnsi="黑体" w:eastAsia="黑体"/>
          <w:color w:val="3D3D3D"/>
          <w:kern w:val="0"/>
          <w:sz w:val="30"/>
          <w:szCs w:val="30"/>
        </w:rPr>
        <w:t>一、部门</w:t>
      </w:r>
      <w:r>
        <w:rPr>
          <w:rFonts w:hint="eastAsia" w:ascii="黑体" w:hAnsi="黑体" w:eastAsia="黑体"/>
          <w:color w:val="3D3D3D"/>
          <w:kern w:val="0"/>
          <w:sz w:val="30"/>
          <w:szCs w:val="30"/>
        </w:rPr>
        <w:t>基本概况</w:t>
      </w:r>
    </w:p>
    <w:p w14:paraId="01943395">
      <w:pPr>
        <w:widowControl/>
        <w:spacing w:line="437" w:lineRule="atLeast"/>
        <w:ind w:firstLine="1134"/>
        <w:jc w:val="left"/>
        <w:rPr>
          <w:rFonts w:ascii="Times New Roman" w:hAnsi="Times New Roman" w:eastAsia="微软雅黑"/>
          <w:b/>
          <w:bCs/>
          <w:color w:val="3D3D3D"/>
          <w:kern w:val="0"/>
          <w:sz w:val="30"/>
          <w:szCs w:val="30"/>
        </w:rPr>
      </w:pPr>
      <w:r>
        <w:rPr>
          <w:rFonts w:hint="eastAsia" w:ascii="仿宋" w:hAnsi="仿宋" w:eastAsia="仿宋"/>
          <w:b/>
          <w:bCs/>
          <w:color w:val="3D3D3D"/>
          <w:kern w:val="0"/>
          <w:sz w:val="30"/>
          <w:szCs w:val="30"/>
        </w:rPr>
        <w:t>（一）部门职责</w:t>
      </w:r>
    </w:p>
    <w:p w14:paraId="2960BB91">
      <w:pPr>
        <w:widowControl/>
        <w:shd w:val="clear" w:color="auto" w:fill="FFFFFF"/>
        <w:spacing w:line="360" w:lineRule="auto"/>
        <w:ind w:left="410" w:firstLine="640"/>
        <w:rPr>
          <w:rFonts w:ascii="仿宋" w:hAnsi="仿宋" w:eastAsia="仿宋"/>
          <w:bCs/>
          <w:color w:val="3D3D3D"/>
          <w:kern w:val="0"/>
          <w:sz w:val="30"/>
          <w:szCs w:val="30"/>
        </w:rPr>
      </w:pPr>
      <w:r>
        <w:rPr>
          <w:rFonts w:hint="eastAsia" w:ascii="仿宋" w:hAnsi="仿宋" w:eastAsia="仿宋"/>
          <w:bCs/>
          <w:color w:val="3D3D3D"/>
          <w:kern w:val="0"/>
          <w:sz w:val="30"/>
          <w:szCs w:val="30"/>
        </w:rPr>
        <w:t>（1）承担稳定完善农村土地承包关系，深化农村土地制度，落实农村土地所有权、承包权、经营权“三权分置”制度的事务性工作；承担开展农村土地承包和第二轮土地承包到期后再延长三十年的相关事务性工作；承担农村土地承包合同管理的业务指导工作；承担土地承包经营权流转和农业适度规模经营的相关事务性工作；承担农村土地承包纠纷调解仲裁的相关事务性工作。</w:t>
      </w:r>
    </w:p>
    <w:p w14:paraId="3AB24B15">
      <w:pPr>
        <w:widowControl/>
        <w:shd w:val="clear" w:color="auto" w:fill="FFFFFF"/>
        <w:spacing w:line="360" w:lineRule="auto"/>
        <w:ind w:left="410" w:firstLine="640"/>
        <w:rPr>
          <w:rFonts w:ascii="仿宋" w:hAnsi="仿宋" w:eastAsia="仿宋"/>
          <w:bCs/>
          <w:color w:val="3D3D3D"/>
          <w:kern w:val="0"/>
          <w:sz w:val="30"/>
          <w:szCs w:val="30"/>
        </w:rPr>
      </w:pPr>
      <w:r>
        <w:rPr>
          <w:rFonts w:hint="eastAsia" w:ascii="仿宋" w:hAnsi="仿宋" w:eastAsia="仿宋"/>
          <w:bCs/>
          <w:color w:val="3D3D3D"/>
          <w:kern w:val="0"/>
          <w:sz w:val="30"/>
          <w:szCs w:val="30"/>
        </w:rPr>
        <w:t>（2）承担农村宅基地管理和改革的相关事务性工作；指导农村宅基地分配、使用、流转、纠纷仲裁工作，组织开展农村宅基地现状和需求情况统计调查；指导农村宅基地合理布局、闲置宅基地和闲置农房利用等工作。</w:t>
      </w:r>
    </w:p>
    <w:p w14:paraId="43C5EB12">
      <w:pPr>
        <w:widowControl/>
        <w:shd w:val="clear" w:color="auto" w:fill="FFFFFF"/>
        <w:spacing w:line="360" w:lineRule="auto"/>
        <w:ind w:left="410" w:firstLine="640"/>
        <w:rPr>
          <w:rFonts w:ascii="仿宋" w:hAnsi="仿宋" w:eastAsia="仿宋"/>
          <w:bCs/>
          <w:color w:val="3D3D3D"/>
          <w:kern w:val="0"/>
          <w:sz w:val="30"/>
          <w:szCs w:val="30"/>
        </w:rPr>
      </w:pPr>
      <w:r>
        <w:rPr>
          <w:rFonts w:hint="eastAsia" w:ascii="仿宋" w:hAnsi="仿宋" w:eastAsia="仿宋"/>
          <w:bCs/>
          <w:color w:val="3D3D3D"/>
          <w:kern w:val="0"/>
          <w:sz w:val="30"/>
          <w:szCs w:val="30"/>
        </w:rPr>
        <w:t>（3）指导扶持家庭农场、农民合作社等新型经营主体的建设与发展，建立健全扶持发展培育农村新型经营主体的标准规范；指导家庭农场、农民合作社建章立制，完善家庭农场名录管理制度，开展家庭农场和农民合作社示范创建；组织实施农业生产托管服务，指导扶持农业社会化体系建设与发展。</w:t>
      </w:r>
    </w:p>
    <w:p w14:paraId="6EE52710">
      <w:pPr>
        <w:widowControl/>
        <w:shd w:val="clear" w:color="auto" w:fill="FFFFFF"/>
        <w:spacing w:line="360" w:lineRule="auto"/>
        <w:ind w:left="410" w:firstLine="640"/>
        <w:rPr>
          <w:rFonts w:ascii="仿宋" w:hAnsi="仿宋" w:eastAsia="仿宋"/>
          <w:bCs/>
          <w:color w:val="3D3D3D"/>
          <w:kern w:val="0"/>
          <w:sz w:val="30"/>
          <w:szCs w:val="30"/>
        </w:rPr>
      </w:pPr>
      <w:r>
        <w:rPr>
          <w:rFonts w:hint="eastAsia" w:ascii="仿宋" w:hAnsi="仿宋" w:eastAsia="仿宋"/>
          <w:bCs/>
          <w:color w:val="3D3D3D"/>
          <w:kern w:val="0"/>
          <w:sz w:val="30"/>
          <w:szCs w:val="30"/>
        </w:rPr>
        <w:t>（4）承担农民权益维护和农民负担监督管理的事务性工作；承担监督“一事一议”筹资筹劳的审批、管理和财政奖补资金使用等事务性工作；参与乡村小微权力监督相关工作，参与查处惠农资金发放、集体资产管理等领域的突出问题，参与查处损害农民利益的案件；协助推进乡村治理体系建设。</w:t>
      </w:r>
    </w:p>
    <w:p w14:paraId="4030E2EC">
      <w:pPr>
        <w:widowControl/>
        <w:shd w:val="clear" w:color="auto" w:fill="FFFFFF"/>
        <w:spacing w:line="360" w:lineRule="auto"/>
        <w:ind w:left="410" w:firstLine="640"/>
        <w:rPr>
          <w:rFonts w:ascii="仿宋" w:hAnsi="仿宋" w:eastAsia="仿宋"/>
          <w:bCs/>
          <w:color w:val="3D3D3D"/>
          <w:kern w:val="0"/>
          <w:sz w:val="30"/>
          <w:szCs w:val="30"/>
        </w:rPr>
      </w:pPr>
      <w:r>
        <w:rPr>
          <w:rFonts w:hint="eastAsia" w:ascii="仿宋" w:hAnsi="仿宋" w:eastAsia="仿宋"/>
          <w:bCs/>
          <w:color w:val="3D3D3D"/>
          <w:kern w:val="0"/>
          <w:sz w:val="30"/>
          <w:szCs w:val="30"/>
        </w:rPr>
        <w:t>（5）指导农村集体经济组织采取多种方式发展壮大村集体经济；承担推进农村集体产权改革的相关事务性工作，配合指导建立农村集体产权交易市场；承担你村集体经济组织审计监督相关服务工作。</w:t>
      </w:r>
    </w:p>
    <w:p w14:paraId="68D33995">
      <w:pPr>
        <w:widowControl/>
        <w:shd w:val="clear" w:color="auto" w:fill="FFFFFF"/>
        <w:spacing w:line="360" w:lineRule="auto"/>
        <w:ind w:left="410" w:firstLine="640"/>
        <w:rPr>
          <w:rFonts w:ascii="仿宋" w:hAnsi="仿宋" w:eastAsia="仿宋"/>
          <w:bCs/>
          <w:color w:val="3D3D3D"/>
          <w:kern w:val="0"/>
          <w:sz w:val="30"/>
          <w:szCs w:val="30"/>
        </w:rPr>
      </w:pPr>
      <w:r>
        <w:rPr>
          <w:rFonts w:hint="eastAsia" w:ascii="仿宋" w:hAnsi="仿宋" w:eastAsia="仿宋"/>
          <w:bCs/>
          <w:color w:val="3D3D3D"/>
          <w:kern w:val="0"/>
          <w:sz w:val="30"/>
          <w:szCs w:val="30"/>
        </w:rPr>
        <w:t>（6）组织开展农村经济收支、农业社会化服务、农民合作社、家庭农场与你村集体经济组织运行情况监测、调查统计等工作。</w:t>
      </w:r>
    </w:p>
    <w:p w14:paraId="07124583">
      <w:pPr>
        <w:widowControl/>
        <w:spacing w:line="437" w:lineRule="atLeast"/>
        <w:ind w:firstLine="709"/>
        <w:jc w:val="left"/>
        <w:rPr>
          <w:rFonts w:hint="eastAsia" w:ascii="仿宋" w:hAnsi="仿宋" w:eastAsia="仿宋"/>
          <w:bCs/>
          <w:color w:val="3D3D3D"/>
          <w:kern w:val="0"/>
          <w:sz w:val="30"/>
          <w:szCs w:val="30"/>
        </w:rPr>
      </w:pPr>
      <w:r>
        <w:rPr>
          <w:rFonts w:hint="eastAsia" w:ascii="仿宋" w:hAnsi="仿宋" w:eastAsia="仿宋"/>
          <w:bCs/>
          <w:color w:val="3D3D3D"/>
          <w:kern w:val="0"/>
          <w:sz w:val="30"/>
          <w:szCs w:val="30"/>
        </w:rPr>
        <w:t>（7）完成农业农村局交办的其他任务。</w:t>
      </w:r>
    </w:p>
    <w:p w14:paraId="42F0451B">
      <w:pPr>
        <w:widowControl/>
        <w:spacing w:line="437" w:lineRule="atLeast"/>
        <w:ind w:firstLine="709"/>
        <w:jc w:val="left"/>
        <w:rPr>
          <w:rFonts w:ascii="Times New Roman" w:hAnsi="Times New Roman" w:eastAsia="微软雅黑"/>
          <w:b/>
          <w:bCs/>
          <w:color w:val="3D3D3D"/>
          <w:kern w:val="0"/>
          <w:sz w:val="30"/>
          <w:szCs w:val="30"/>
        </w:rPr>
      </w:pPr>
      <w:r>
        <w:rPr>
          <w:rFonts w:hint="eastAsia" w:ascii="仿宋" w:hAnsi="仿宋" w:eastAsia="仿宋"/>
          <w:b/>
          <w:bCs/>
          <w:color w:val="3D3D3D"/>
          <w:kern w:val="0"/>
          <w:sz w:val="30"/>
          <w:szCs w:val="30"/>
        </w:rPr>
        <w:t>（二）机构设置情况</w:t>
      </w:r>
    </w:p>
    <w:p w14:paraId="6545F991">
      <w:pPr>
        <w:widowControl/>
        <w:spacing w:line="360" w:lineRule="auto"/>
        <w:ind w:firstLine="588" w:firstLineChars="196"/>
        <w:jc w:val="left"/>
        <w:rPr>
          <w:rFonts w:hint="eastAsia" w:ascii="仿宋" w:hAnsi="仿宋" w:eastAsia="仿宋"/>
          <w:bCs/>
          <w:color w:val="3D3D3D"/>
          <w:kern w:val="0"/>
          <w:sz w:val="30"/>
          <w:szCs w:val="30"/>
        </w:rPr>
      </w:pPr>
      <w:r>
        <w:rPr>
          <w:rFonts w:hint="eastAsia" w:ascii="仿宋" w:hAnsi="仿宋" w:eastAsia="仿宋"/>
          <w:bCs/>
          <w:color w:val="3D3D3D"/>
          <w:kern w:val="0"/>
          <w:sz w:val="30"/>
          <w:szCs w:val="30"/>
        </w:rPr>
        <w:t>怀化市农村经营事务中心作为怀化市农业农村局二级部门预算单位，内设科室为：办公室、农村土地部、农村经营体制部、农村集体资产财务部共计4个办部。</w:t>
      </w:r>
    </w:p>
    <w:p w14:paraId="57B8B28A">
      <w:pPr>
        <w:widowControl/>
        <w:spacing w:line="437" w:lineRule="atLeast"/>
        <w:ind w:firstLine="709"/>
        <w:jc w:val="left"/>
        <w:rPr>
          <w:rFonts w:ascii="Times New Roman" w:hAnsi="Times New Roman" w:eastAsia="微软雅黑"/>
          <w:color w:val="3D3D3D"/>
          <w:kern w:val="0"/>
          <w:sz w:val="30"/>
          <w:szCs w:val="30"/>
        </w:rPr>
      </w:pPr>
      <w:r>
        <w:rPr>
          <w:rFonts w:hint="eastAsia" w:ascii="黑体" w:hAnsi="黑体" w:eastAsia="黑体"/>
          <w:color w:val="3D3D3D"/>
          <w:kern w:val="0"/>
          <w:sz w:val="30"/>
          <w:szCs w:val="30"/>
        </w:rPr>
        <w:t>二、部门预算单位构成</w:t>
      </w:r>
    </w:p>
    <w:p w14:paraId="49373177">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00" w:firstLineChars="200"/>
        <w:jc w:val="left"/>
        <w:textAlignment w:val="auto"/>
        <w:outlineLvl w:val="9"/>
        <w:rPr>
          <w:rFonts w:hint="eastAsia" w:ascii="仿宋" w:hAnsi="仿宋" w:eastAsia="仿宋" w:cs="仿宋"/>
          <w:bCs/>
          <w:kern w:val="0"/>
          <w:sz w:val="30"/>
          <w:szCs w:val="30"/>
        </w:rPr>
      </w:pPr>
      <w:r>
        <w:rPr>
          <w:rFonts w:hint="eastAsia" w:ascii="仿宋" w:hAnsi="仿宋" w:eastAsia="仿宋"/>
          <w:bCs/>
          <w:color w:val="3D3D3D"/>
          <w:kern w:val="0"/>
          <w:sz w:val="30"/>
          <w:szCs w:val="30"/>
        </w:rPr>
        <w:t>纳入2025年部门预算编制范围的包括：怀化市农村经营事务中心（二级部门）。</w:t>
      </w:r>
    </w:p>
    <w:p w14:paraId="2B7D5FD0">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三、部门收支总体情况</w:t>
      </w:r>
    </w:p>
    <w:p w14:paraId="1E597848">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2026年部门预算包括本单位预算内的收支情况。</w:t>
      </w:r>
    </w:p>
    <w:p w14:paraId="35014FC4">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（一）收入预算</w:t>
      </w:r>
    </w:p>
    <w:p w14:paraId="0C887C75">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包括一般公共预算、政府性基金、国有资本经营预算等财政拨款收入，以及经营收入、事业收入等单位资金。2026年年初本部门收入预算298.49万元，其中，一般公共预算拨款298.49万元，政府性基金预算拨款0万元，纳入财政专户管理的非税收入拨款0万元，国有资本经营预算拨款0万元，上年结转结余0万元。同口径对比，收入较上年增加36.69万元，增长率13.98%，主要原因是优化基本支出保障结构，新增住房保障支出预算，同时聚焦核心业务调整项目支出方向。</w:t>
      </w:r>
    </w:p>
    <w:p w14:paraId="01D28313">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（二）支出预算</w:t>
      </w:r>
    </w:p>
    <w:p w14:paraId="5B50D6F4">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本部门支出预算数298.49万元，其中，社会保障和就业支出39.52万元、卫生健康支出9.71万元、农林水支出232.57万元、住房保障支出16.69万元。同口径对比，支出较上年增加36.69万元，增长率13.98%，主要原因是新增住房保障支出以保障职工权益，同时增加农林水领域核心业务经费，强化农村土地管理、集体经济发展等重点工作保障。</w:t>
      </w:r>
    </w:p>
    <w:p w14:paraId="48EA5D01">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四、一般公共预算财政拨款收支情况</w:t>
      </w:r>
    </w:p>
    <w:p w14:paraId="2A258511">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本部门一般公共预算拨款支出为298.49万元，其中：农林水支出232.57万元，占77.91%；社会保障和就业支出39.52万元，占13.24%；住房保障支出16.69万元，占5.59%；卫生健康支出9.71万元，占3.25%。具体安排情况如下：</w:t>
      </w:r>
    </w:p>
    <w:p w14:paraId="1BEFB596">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（一）基本支出</w:t>
      </w:r>
    </w:p>
    <w:p w14:paraId="1428ABAE">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2026年年初预算数为288.49万元，是保障单位机构正常运转、完成日常工作任务发生的各项支出。其中：</w:t>
      </w:r>
    </w:p>
    <w:p w14:paraId="6046658F">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人员经费239.03万元，主要用于基本工资70.05万元、津贴补贴35.76万元、奖金47.25万元、伙食补助费5.54万元、机关事业单位基本养老保险缴费22.25万元、职工基本医疗保险缴费9.71万元、其他社会保障缴费14.06万元、住房公积金16.69万元、其他对个人和家庭的补助16.50万元、奖励金1.22万元等；</w:t>
      </w:r>
    </w:p>
    <w:p w14:paraId="20C37BBF">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公用经费49.46万元，主要用于办公费7.20万元、印刷费0.76万元、邮电费0.10万元、差旅费8.50万元、维修（护）费0.10万元、租赁费0.80万元、会议费0.60万元、培训费0.50万元、工会经费10.63万元、公务用车运行维护费1.40万元、其他交通费用11.96万元、其他商品和服务支出6.90万元等。</w:t>
      </w:r>
    </w:p>
    <w:p w14:paraId="5B34EF2F">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（二）项目支出</w:t>
      </w:r>
    </w:p>
    <w:p w14:paraId="01D25F52">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年初预算数为10.00万元，是单位为完成特定行政工作任务或事业发展目标发生的支出。其中，“2026农村土地承包经营纠纷调解及乱占耕地建房整治”项目支出10.00万元，主要用于规范农村土地承包经营纠纷调解工作，开展乱占耕地建房整治，化解土地流转矛盾，遏制耕地“非农化”“非粮化”，维护农民土地权益与农村土地管理秩序。</w:t>
      </w:r>
    </w:p>
    <w:p w14:paraId="08EB72B4">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五、政府性基金支出情况</w:t>
      </w:r>
    </w:p>
    <w:p w14:paraId="5C6BA242">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2026年无政府性基金预算支出。</w:t>
      </w:r>
    </w:p>
    <w:p w14:paraId="65754CE5">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六、其他重要事项的情况说明</w:t>
      </w:r>
    </w:p>
    <w:p w14:paraId="1FA0EE79">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（一）一般公共预算“三公”经费预算</w:t>
      </w:r>
    </w:p>
    <w:p w14:paraId="6A5C0AD8">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怀化市农村经营事务中心安排一般公共预算“三公”经费预算数为1.40万元，其中，公务接待费0万元，公务用车购置费0万元，公务用车运行维护费1.40万元，因公出国（境）费0万元。2026年一般公共预算“三公”经费预算与上年预算数持平，主要因为严格执行“三公”经费“只减不增”原则，根据工作需求调整支出结构，将公务接待费调整为公务用车运行维护费，保障农村土地巡查、纠纷调解等外勤工作开展。</w:t>
      </w:r>
    </w:p>
    <w:p w14:paraId="331317A1">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（二）机关运行经费</w:t>
      </w:r>
    </w:p>
    <w:p w14:paraId="337A09DF">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怀化市农村经营事务中心机关运行经费49.46万元（公开表6公用经费安排的商品和服务支出），同口径对比，比上年预算数增加31.46万元，增长率174.78%，主要原因是本年度足额保障工会经费、差旅费等刚性支出，同时新增租赁费、其他交通费用等日常运转保障资金，适应农村经营事务外勤工作增多的需求。主要用于：办公费7.20万元、差旅费8.50万元、工会经费10.63万元、其他交通费用11.96万元、公务用车运行维护费1.40万元等。</w:t>
      </w:r>
    </w:p>
    <w:p w14:paraId="7421849B">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（三）政府采购情况</w:t>
      </w:r>
    </w:p>
    <w:p w14:paraId="020A3349">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2026年怀化市农村经营事务中心政府采购预算总额0万元，较上年减少2.80万元，主要原因是本年度无必要的货物采购需求，聚焦核心业务经费保障。</w:t>
      </w:r>
    </w:p>
    <w:p w14:paraId="6626BD2C">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（四）预算绩效管理情况</w:t>
      </w:r>
    </w:p>
    <w:p w14:paraId="1FA6BB05">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按照市本级预算绩效管理工作的总体要求，2026年我单位整体支出298.49万元，全部实行整体支出绩效目标管理；编报绩效目标的项目1个，涉及项目支出10.00万元，即“2026农村土地承包经营纠纷调解及乱占耕地建房整治”项目，实行项目支出绩效目标管理。</w:t>
      </w:r>
    </w:p>
    <w:p w14:paraId="223EFD46">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（五）国有资产占用情况</w:t>
      </w:r>
    </w:p>
    <w:p w14:paraId="198654A2">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截至2025年12月31日，本部门无车辆，无单位价值50万元以上通用设备，无单价100万元以上专用设备。</w:t>
      </w:r>
    </w:p>
    <w:p w14:paraId="6DEC32B5">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2026年，本部门无拟新增公务用车、单价50万元以上通用设备及单价100万元以上专用设备的计划。</w:t>
      </w:r>
    </w:p>
    <w:p w14:paraId="2971EF51">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（六）预算绩效目标说明</w:t>
      </w:r>
    </w:p>
    <w:p w14:paraId="4AABB5AA">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本部门所有支出实行绩效目标管理。纳入2026年部门整体支出绩效目标的金额为298.49万元，其中，基本支出288.49万元，项目支出10.00万元。具体绩效目标详见《部门整体支出绩效目标表》及《项目支出绩效目标表》。</w:t>
      </w:r>
    </w:p>
    <w:p w14:paraId="5D08E18F">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（七）一般性支出情况</w:t>
      </w:r>
    </w:p>
    <w:p w14:paraId="45E492BA">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2026年，本部门会议费预算0.60万元，具体为农村经营事务工作部署会议，内容包括土地纠纷调解、耕地保护工作安排等，预计参会人数40人，预算0.60万元。较上年减少0.20万元，主要因为精简会议规模，合并同类会议。</w:t>
      </w:r>
    </w:p>
    <w:p w14:paraId="6E5B054A">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2026年，本部门培训费预算0.50万元，具体为农村土地管理业务培训，内容包括土地承包政策解读、纠纷调解技巧等，预计人数30人，预算0.50万元。较上年新增培训费预算，主要为提升工作人员业务能力，适应农村经营事务工作新形势。</w:t>
      </w:r>
    </w:p>
    <w:p w14:paraId="5E688C7E">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rPr>
        <w:t>2026年，本部门无举办节庆、晚会、论坛、赛事等相关预算，与上年保持一致。</w:t>
      </w:r>
    </w:p>
    <w:p w14:paraId="6700E651">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七、专业名词解释</w:t>
      </w:r>
    </w:p>
    <w:p w14:paraId="6E2D3B0A">
      <w:pPr>
        <w:ind w:left="0" w:leftChars="0" w:firstLine="639" w:firstLineChars="213"/>
        <w:rPr>
          <w:rFonts w:hint="eastAsia" w:ascii="仿宋" w:hAnsi="仿宋" w:eastAsia="仿宋" w:cs="仿宋"/>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机关运行经费：</w:t>
      </w:r>
      <w:r>
        <w:rPr>
          <w:rFonts w:hint="eastAsia" w:ascii="仿宋" w:hAnsi="仿宋" w:eastAsia="仿宋" w:cs="仿宋"/>
          <w:sz w:val="30"/>
          <w:szCs w:val="30"/>
        </w:rPr>
        <w:t>为保障行政单位（包括参照公务员法管理的事业单位）运行，用一般公共预算拨款安排用于购买货物和服务的各项资金，包括办公及印刷费、邮电费、差旅费、会议费、福利费、日常维修费、办公用房水电费、办公用房物业管理费、公务用车运行维护费以及其他费用。</w:t>
      </w:r>
    </w:p>
    <w:p w14:paraId="69BFB502">
      <w:pPr>
        <w:ind w:left="0" w:leftChars="0" w:firstLine="639" w:firstLineChars="213"/>
        <w:rPr>
          <w:rFonts w:hint="eastAsia" w:ascii="仿宋" w:hAnsi="仿宋" w:eastAsia="仿宋" w:cs="仿宋"/>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一般公共预算“三公”经费：</w:t>
      </w:r>
      <w:r>
        <w:rPr>
          <w:rFonts w:hint="eastAsia" w:ascii="仿宋" w:hAnsi="仿宋" w:eastAsia="仿宋" w:cs="仿宋"/>
          <w:sz w:val="30"/>
          <w:szCs w:val="30"/>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67FE901">
      <w:pPr>
        <w:ind w:left="0" w:leftChars="0" w:firstLine="639" w:firstLineChars="213"/>
        <w:rPr>
          <w:rFonts w:hint="eastAsia" w:ascii="仿宋" w:hAnsi="仿宋" w:eastAsia="仿宋" w:cs="仿宋"/>
          <w:sz w:val="30"/>
          <w:szCs w:val="30"/>
          <w:lang w:val="en-US" w:eastAsia="zh-CN"/>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09DEBA-A676-438A-A648-DE18D89458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altName w:val="宋体"/>
    <w:panose1 w:val="02000000000000000000"/>
    <w:charset w:val="86"/>
    <w:family w:val="auto"/>
    <w:pitch w:val="default"/>
    <w:sig w:usb0="00000000" w:usb1="00000000" w:usb2="00000012" w:usb3="00000000" w:csb0="00040001" w:csb1="00000000"/>
    <w:embedRegular r:id="rId2" w:fontKey="{3E118D49-6DBC-4123-860A-B7E1D0BACC7D}"/>
  </w:font>
  <w:font w:name="方正小标宋简体">
    <w:panose1 w:val="02000000000000000000"/>
    <w:charset w:val="86"/>
    <w:family w:val="auto"/>
    <w:pitch w:val="default"/>
    <w:sig w:usb0="00000001" w:usb1="08000000" w:usb2="00000000" w:usb3="00000000" w:csb0="00040000" w:csb1="00000000"/>
    <w:embedRegular r:id="rId3" w:fontKey="{029B8EC3-E135-4762-A25E-08DDD565E1F6}"/>
  </w:font>
  <w:font w:name="楷体_GB2312">
    <w:altName w:val="楷体"/>
    <w:panose1 w:val="02010609030101010101"/>
    <w:charset w:val="86"/>
    <w:family w:val="modern"/>
    <w:pitch w:val="default"/>
    <w:sig w:usb0="00000000" w:usb1="00000000" w:usb2="00000000" w:usb3="00000000" w:csb0="00040000" w:csb1="00000000"/>
    <w:embedRegular r:id="rId4" w:fontKey="{939F14F9-DE59-42B2-A09A-5DD4FABEC749}"/>
  </w:font>
  <w:font w:name="楷体">
    <w:panose1 w:val="02010609060101010101"/>
    <w:charset w:val="86"/>
    <w:family w:val="auto"/>
    <w:pitch w:val="default"/>
    <w:sig w:usb0="800002BF" w:usb1="38CF7CFA" w:usb2="00000016" w:usb3="00000000" w:csb0="00040001" w:csb1="00000000"/>
    <w:embedRegular r:id="rId5" w:fontKey="{3A0D9AB2-04BC-4D7F-AA9F-C9FF5BABBD0A}"/>
  </w:font>
  <w:font w:name="仿宋">
    <w:panose1 w:val="02010609060101010101"/>
    <w:charset w:val="86"/>
    <w:family w:val="auto"/>
    <w:pitch w:val="default"/>
    <w:sig w:usb0="800002BF" w:usb1="38CF7CFA" w:usb2="00000016" w:usb3="00000000" w:csb0="00040001" w:csb1="00000000"/>
    <w:embedRegular r:id="rId6" w:fontKey="{BD1FE349-EDC8-48AF-80D1-BFBD4DD5B791}"/>
  </w:font>
  <w:font w:name="仿宋_GB2312">
    <w:altName w:val="仿宋"/>
    <w:panose1 w:val="02010609030101010101"/>
    <w:charset w:val="86"/>
    <w:family w:val="modern"/>
    <w:pitch w:val="default"/>
    <w:sig w:usb0="00000000" w:usb1="00000000" w:usb2="00000000" w:usb3="00000000" w:csb0="00040000" w:csb1="00000000"/>
    <w:embedRegular r:id="rId7" w:fontKey="{0D7C912F-1356-477C-8E04-3BAA5AFB770F}"/>
  </w:font>
  <w:font w:name="微软雅黑">
    <w:panose1 w:val="020B0503020204020204"/>
    <w:charset w:val="86"/>
    <w:family w:val="swiss"/>
    <w:pitch w:val="default"/>
    <w:sig w:usb0="80000287" w:usb1="2ACF3C50" w:usb2="00000016" w:usb3="00000000" w:csb0="0004001F" w:csb1="00000000"/>
    <w:embedRegular r:id="rId8" w:fontKey="{FACC36C8-65E7-4023-A2B6-CC65AB62CFFD}"/>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0AD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F825">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6670" cy="131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670" cy="131445"/>
                      </a:xfrm>
                      <a:prstGeom prst="rect">
                        <a:avLst/>
                      </a:prstGeom>
                      <a:noFill/>
                      <a:ln>
                        <a:noFill/>
                      </a:ln>
                    </wps:spPr>
                    <wps:txbx>
                      <w:txbxContent>
                        <w:p w14:paraId="4A072EFC">
                          <w:pPr>
                            <w:pStyle w:val="5"/>
                            <w:rPr>
                              <w:rStyle w:val="11"/>
                            </w:rPr>
                          </w:pPr>
                          <w:r>
                            <w:fldChar w:fldCharType="begin"/>
                          </w:r>
                          <w:r>
                            <w:rPr>
                              <w:rStyle w:val="11"/>
                            </w:rPr>
                            <w:instrText xml:space="preserve">PAGE  </w:instrText>
                          </w:r>
                          <w:r>
                            <w:fldChar w:fldCharType="separate"/>
                          </w:r>
                          <w:r>
                            <w:rPr>
                              <w:rStyle w:val="11"/>
                            </w:rPr>
                            <w:t>1</w:t>
                          </w:r>
                          <w: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R4T90AAAAAIBAAAPAAAAAAAAAAEAIAAAACIAAABkcnMvZG93bnJldi54bWxQSwECFAAUAAAA&#10;CACHTuJAa3zF770BAACVAwAADgAAAAAAAAABACAAAAAfAQAAZHJzL2Uyb0RvYy54bWxQSwUGAAAA&#10;AAYABgBZAQAATgUAAAAA&#10;">
              <v:fill on="f" focussize="0,0"/>
              <v:stroke on="f"/>
              <v:imagedata o:title=""/>
              <o:lock v:ext="edit" aspectratio="f"/>
              <v:textbox inset="0mm,0mm,0mm,0mm" style="mso-fit-shape-to-text:t;">
                <w:txbxContent>
                  <w:p w14:paraId="4A072EFC">
                    <w:pPr>
                      <w:pStyle w:val="5"/>
                      <w:rPr>
                        <w:rStyle w:val="11"/>
                      </w:rPr>
                    </w:pPr>
                    <w:r>
                      <w:fldChar w:fldCharType="begin"/>
                    </w:r>
                    <w:r>
                      <w:rPr>
                        <w:rStyle w:val="11"/>
                      </w:rPr>
                      <w:instrText xml:space="preserve">PAGE  </w:instrText>
                    </w:r>
                    <w:r>
                      <w:fldChar w:fldCharType="separate"/>
                    </w:r>
                    <w:r>
                      <w:rPr>
                        <w:rStyle w:val="11"/>
                      </w:rPr>
                      <w:t>1</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8D2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A2B7"/>
    <w:multiLevelType w:val="singleLevel"/>
    <w:tmpl w:val="5A7FA2B7"/>
    <w:lvl w:ilvl="0" w:tentative="0">
      <w:start w:val="2"/>
      <w:numFmt w:val="chineseCounting"/>
      <w:suff w:val="nothing"/>
      <w:lvlText w:val="%1、"/>
      <w:lvlJc w:val="left"/>
    </w:lvl>
  </w:abstractNum>
  <w:abstractNum w:abstractNumId="1">
    <w:nsid w:val="5A7FA837"/>
    <w:multiLevelType w:val="singleLevel"/>
    <w:tmpl w:val="5A7FA837"/>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GEzMGUwNWJjMTc3MjYwM2EyOTY0MWE0ZmM0MzEifQ=="/>
  </w:docVars>
  <w:rsids>
    <w:rsidRoot w:val="004E6E3D"/>
    <w:rsid w:val="03023DA5"/>
    <w:rsid w:val="042228D2"/>
    <w:rsid w:val="04433323"/>
    <w:rsid w:val="04D632CC"/>
    <w:rsid w:val="05881A2C"/>
    <w:rsid w:val="05A425EB"/>
    <w:rsid w:val="07D74632"/>
    <w:rsid w:val="08466C90"/>
    <w:rsid w:val="089D4136"/>
    <w:rsid w:val="09E5774A"/>
    <w:rsid w:val="0DB66903"/>
    <w:rsid w:val="14671B45"/>
    <w:rsid w:val="1496682F"/>
    <w:rsid w:val="157C6B16"/>
    <w:rsid w:val="18250522"/>
    <w:rsid w:val="1A5051A5"/>
    <w:rsid w:val="1ED6141B"/>
    <w:rsid w:val="218527E0"/>
    <w:rsid w:val="250E7A8A"/>
    <w:rsid w:val="268C786C"/>
    <w:rsid w:val="276F0967"/>
    <w:rsid w:val="28932515"/>
    <w:rsid w:val="2A0C345E"/>
    <w:rsid w:val="2E2477F7"/>
    <w:rsid w:val="2F830D35"/>
    <w:rsid w:val="31636116"/>
    <w:rsid w:val="32741650"/>
    <w:rsid w:val="35E702C8"/>
    <w:rsid w:val="39A141FC"/>
    <w:rsid w:val="3DAD604A"/>
    <w:rsid w:val="416B09D2"/>
    <w:rsid w:val="43A43CCA"/>
    <w:rsid w:val="45D61E36"/>
    <w:rsid w:val="4A67245D"/>
    <w:rsid w:val="506435A4"/>
    <w:rsid w:val="51077170"/>
    <w:rsid w:val="535836AB"/>
    <w:rsid w:val="556F46EC"/>
    <w:rsid w:val="55D67AAD"/>
    <w:rsid w:val="56CE5063"/>
    <w:rsid w:val="56FF5133"/>
    <w:rsid w:val="5AA4755C"/>
    <w:rsid w:val="5C04693A"/>
    <w:rsid w:val="5C5B50CB"/>
    <w:rsid w:val="5D7D47EF"/>
    <w:rsid w:val="601E4B2A"/>
    <w:rsid w:val="60E22426"/>
    <w:rsid w:val="620509C2"/>
    <w:rsid w:val="6361064F"/>
    <w:rsid w:val="642858BB"/>
    <w:rsid w:val="6A0478CB"/>
    <w:rsid w:val="6AB10152"/>
    <w:rsid w:val="6B260820"/>
    <w:rsid w:val="6BE62B36"/>
    <w:rsid w:val="72D775EE"/>
    <w:rsid w:val="79156D7B"/>
    <w:rsid w:val="79D6799A"/>
    <w:rsid w:val="7AFB7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cs="宋体"/>
      <w:kern w:val="0"/>
      <w:sz w:val="24"/>
      <w:lang w:bidi="ar-SA"/>
    </w:rPr>
  </w:style>
  <w:style w:type="character" w:styleId="10">
    <w:name w:val="Strong"/>
    <w:qFormat/>
    <w:uiPriority w:val="0"/>
    <w:rPr>
      <w:b/>
      <w:bCs/>
    </w:rPr>
  </w:style>
  <w:style w:type="character" w:styleId="11">
    <w:name w:val="page number"/>
    <w:basedOn w:val="9"/>
    <w:qFormat/>
    <w:uiPriority w:val="0"/>
  </w:style>
  <w:style w:type="character" w:styleId="12">
    <w:name w:val="FollowedHyperlink"/>
    <w:basedOn w:val="9"/>
    <w:unhideWhenUsed/>
    <w:qFormat/>
    <w:uiPriority w:val="99"/>
    <w:rPr>
      <w:color w:val="333333"/>
      <w:u w:val="none"/>
    </w:rPr>
  </w:style>
  <w:style w:type="character" w:styleId="13">
    <w:name w:val="Emphasis"/>
    <w:basedOn w:val="9"/>
    <w:qFormat/>
    <w:uiPriority w:val="20"/>
  </w:style>
  <w:style w:type="character" w:styleId="14">
    <w:name w:val="HTML Definition"/>
    <w:basedOn w:val="9"/>
    <w:unhideWhenUsed/>
    <w:qFormat/>
    <w:uiPriority w:val="99"/>
  </w:style>
  <w:style w:type="character" w:styleId="15">
    <w:name w:val="HTML Acronym"/>
    <w:basedOn w:val="9"/>
    <w:unhideWhenUsed/>
    <w:qFormat/>
    <w:uiPriority w:val="99"/>
  </w:style>
  <w:style w:type="character" w:styleId="16">
    <w:name w:val="HTML Variable"/>
    <w:basedOn w:val="9"/>
    <w:unhideWhenUsed/>
    <w:qFormat/>
    <w:uiPriority w:val="99"/>
  </w:style>
  <w:style w:type="character" w:styleId="17">
    <w:name w:val="Hyperlink"/>
    <w:basedOn w:val="9"/>
    <w:unhideWhenUsed/>
    <w:qFormat/>
    <w:uiPriority w:val="99"/>
    <w:rPr>
      <w:color w:val="333333"/>
      <w:u w:val="none"/>
    </w:rPr>
  </w:style>
  <w:style w:type="character" w:styleId="18">
    <w:name w:val="HTML Code"/>
    <w:basedOn w:val="9"/>
    <w:unhideWhenUsed/>
    <w:qFormat/>
    <w:uiPriority w:val="99"/>
    <w:rPr>
      <w:rFonts w:ascii="Courier New" w:hAnsi="Courier New"/>
      <w:sz w:val="20"/>
    </w:rPr>
  </w:style>
  <w:style w:type="character" w:styleId="19">
    <w:name w:val="HTML Cite"/>
    <w:basedOn w:val="9"/>
    <w:unhideWhenUsed/>
    <w:qFormat/>
    <w:uiPriority w:val="99"/>
  </w:style>
  <w:style w:type="character" w:customStyle="1" w:styleId="20">
    <w:name w:val="hj-easyread-speakerprocesser-position-action-icon"/>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9</Pages>
  <Words>3304</Words>
  <Characters>3806</Characters>
  <Lines>0</Lines>
  <Paragraphs>0</Paragraphs>
  <TotalTime>6</TotalTime>
  <ScaleCrop>false</ScaleCrop>
  <LinksUpToDate>false</LinksUpToDate>
  <CharactersWithSpaces>3806</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2016-08-17T01:21:00Z</dcterms:created>
  <dc:creator>微软用户</dc:creator>
  <cp:lastModifiedBy>钟斌</cp:lastModifiedBy>
  <cp:lastPrinted>2022-01-21T06:49:00Z</cp:lastPrinted>
  <dcterms:modified xsi:type="dcterms:W3CDTF">2026-01-25T21:40:11Z</dcterms:modified>
  <dc:title>科学技术部2012年部门预算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KSOSaveFontToCloudKey">
    <vt:lpwstr>362188443_cloud</vt:lpwstr>
  </property>
  <property fmtid="{D5CDD505-2E9C-101B-9397-08002B2CF9AE}" pid="4" name="ICV">
    <vt:lpwstr>EDB7D15DD0D14B70B811E98F0AFEAE0A_13</vt:lpwstr>
  </property>
  <property fmtid="{D5CDD505-2E9C-101B-9397-08002B2CF9AE}" pid="5" name="KSOTemplateDocerSaveRecord">
    <vt:lpwstr>eyJoZGlkIjoiOGQyOWU3ZmJlZGI4OGMxYWZmNzc1ODM1OWUwMzAxNTciLCJ1c2VySWQiOiIxNjQwNTUxMjk3In0=</vt:lpwstr>
  </property>
</Properties>
</file>