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w:t>
      </w:r>
      <w:r>
        <w:rPr>
          <w:rFonts w:hint="default" w:ascii="方正小标宋_GBK" w:hAnsi="方正小标宋_GBK" w:eastAsia="方正小标宋_GBK" w:cs="方正小标宋_GBK"/>
          <w:i w:val="0"/>
          <w:iCs w:val="0"/>
          <w:caps w:val="0"/>
          <w:color w:val="000000"/>
          <w:spacing w:val="0"/>
          <w:sz w:val="32"/>
          <w:szCs w:val="32"/>
          <w:shd w:val="clear" w:fill="FFFFFF"/>
          <w:lang w:eastAsia="zh-CN"/>
        </w:rPr>
        <w:t>2</w:t>
      </w:r>
    </w:p>
    <w:p>
      <w:pPr>
        <w:pStyle w:val="3"/>
        <w:bidi w:val="0"/>
        <w:jc w:val="center"/>
        <w:rPr>
          <w:sz w:val="56"/>
          <w:szCs w:val="56"/>
        </w:rPr>
      </w:pPr>
    </w:p>
    <w:p>
      <w:pPr>
        <w:pStyle w:val="3"/>
        <w:bidi w:val="0"/>
        <w:jc w:val="center"/>
        <w:rPr>
          <w:sz w:val="56"/>
          <w:szCs w:val="56"/>
        </w:rPr>
      </w:pPr>
    </w:p>
    <w:p>
      <w:pPr>
        <w:pStyle w:val="3"/>
        <w:bidi w:val="0"/>
        <w:jc w:val="center"/>
        <w:rPr>
          <w:rFonts w:hint="eastAsia"/>
          <w:sz w:val="56"/>
          <w:szCs w:val="56"/>
          <w:lang w:eastAsia="zh-CN"/>
        </w:rPr>
      </w:pPr>
      <w:r>
        <w:rPr>
          <w:sz w:val="56"/>
          <w:szCs w:val="56"/>
        </w:rPr>
        <w:t>202</w:t>
      </w:r>
      <w:r>
        <w:rPr>
          <w:rFonts w:hint="eastAsia"/>
          <w:sz w:val="56"/>
          <w:szCs w:val="56"/>
          <w:lang w:val="en-US" w:eastAsia="zh-CN"/>
        </w:rPr>
        <w:t>4</w:t>
      </w:r>
      <w:r>
        <w:rPr>
          <w:sz w:val="56"/>
          <w:szCs w:val="56"/>
        </w:rPr>
        <w:t>年度</w:t>
      </w:r>
      <w:r>
        <w:rPr>
          <w:rFonts w:hint="eastAsia"/>
          <w:sz w:val="56"/>
          <w:szCs w:val="56"/>
          <w:lang w:eastAsia="zh-CN"/>
        </w:rPr>
        <w:t>怀化市农机事务中心</w:t>
      </w:r>
    </w:p>
    <w:p>
      <w:pPr>
        <w:pStyle w:val="3"/>
        <w:bidi w:val="0"/>
        <w:jc w:val="center"/>
        <w:rPr>
          <w:sz w:val="56"/>
          <w:szCs w:val="56"/>
        </w:rPr>
      </w:pPr>
      <w:r>
        <w:rPr>
          <w:rFonts w:hint="eastAsia"/>
          <w:sz w:val="56"/>
          <w:szCs w:val="56"/>
          <w:lang w:eastAsia="zh-CN"/>
        </w:rPr>
        <w:t>部门</w:t>
      </w:r>
      <w:r>
        <w:rPr>
          <w:sz w:val="56"/>
          <w:szCs w:val="56"/>
        </w:rPr>
        <w:t>整体支出绩效自评报告</w:t>
      </w:r>
    </w:p>
    <w:p>
      <w:pPr>
        <w:shd w:val="clear" w:color="auto" w:fill="auto"/>
        <w:jc w:val="both"/>
        <w:rPr>
          <w:rFonts w:ascii="Times New Roman" w:hAnsi="Times New Roman" w:eastAsia="楷体_GB2312" w:cs="Times New Roman"/>
          <w:b/>
          <w:sz w:val="32"/>
          <w:szCs w:val="32"/>
          <w:highlight w:val="none"/>
        </w:rPr>
      </w:pPr>
    </w:p>
    <w:p>
      <w:pPr>
        <w:shd w:val="clear" w:color="auto" w:fill="auto"/>
        <w:jc w:val="center"/>
        <w:rPr>
          <w:rFonts w:ascii="Times New Roman" w:hAnsi="Times New Roman" w:eastAsia="黑体" w:cs="Times New Roman"/>
          <w:sz w:val="32"/>
          <w:szCs w:val="32"/>
          <w:highlight w:val="none"/>
        </w:rPr>
      </w:pPr>
    </w:p>
    <w:p>
      <w:pPr>
        <w:shd w:val="clear" w:color="auto" w:fill="auto"/>
        <w:jc w:val="center"/>
        <w:rPr>
          <w:rFonts w:ascii="Times New Roman" w:hAnsi="Times New Roman" w:eastAsia="黑体" w:cs="Times New Roman"/>
          <w:sz w:val="32"/>
          <w:szCs w:val="32"/>
          <w:highlight w:val="none"/>
        </w:rPr>
      </w:pPr>
    </w:p>
    <w:p>
      <w:pPr>
        <w:shd w:val="clear" w:color="auto" w:fill="auto"/>
        <w:jc w:val="center"/>
        <w:rPr>
          <w:rFonts w:ascii="Times New Roman" w:hAnsi="Times New Roman" w:eastAsia="黑体" w:cs="Times New Roman"/>
          <w:sz w:val="32"/>
          <w:szCs w:val="32"/>
          <w:highlight w:val="none"/>
        </w:rPr>
      </w:pPr>
    </w:p>
    <w:p>
      <w:pPr>
        <w:shd w:val="clear" w:color="auto" w:fill="auto"/>
        <w:jc w:val="center"/>
        <w:rPr>
          <w:rFonts w:ascii="Times New Roman" w:hAnsi="Times New Roman" w:eastAsia="黑体" w:cs="Times New Roman"/>
          <w:sz w:val="32"/>
          <w:szCs w:val="32"/>
          <w:highlight w:val="none"/>
        </w:rPr>
      </w:pPr>
    </w:p>
    <w:p>
      <w:pPr>
        <w:shd w:val="clear" w:color="auto" w:fill="auto"/>
        <w:jc w:val="center"/>
        <w:rPr>
          <w:rFonts w:ascii="Times New Roman" w:hAnsi="Times New Roman" w:eastAsia="黑体" w:cs="Times New Roman"/>
          <w:sz w:val="32"/>
          <w:szCs w:val="32"/>
          <w:highlight w:val="none"/>
        </w:rPr>
      </w:pPr>
    </w:p>
    <w:p>
      <w:pPr>
        <w:shd w:val="clear" w:color="auto" w:fill="auto"/>
        <w:jc w:val="center"/>
        <w:rPr>
          <w:rFonts w:ascii="Times New Roman" w:hAnsi="Times New Roman" w:eastAsia="黑体" w:cs="Times New Roman"/>
          <w:sz w:val="32"/>
          <w:szCs w:val="32"/>
          <w:highlight w:val="none"/>
        </w:rPr>
      </w:pPr>
    </w:p>
    <w:p>
      <w:pPr>
        <w:shd w:val="clear" w:color="auto" w:fill="auto"/>
        <w:jc w:val="both"/>
        <w:rPr>
          <w:rFonts w:ascii="Times New Roman" w:hAnsi="Times New Roman" w:eastAsia="黑体" w:cs="Times New Roman"/>
          <w:sz w:val="32"/>
          <w:szCs w:val="32"/>
          <w:highlight w:val="none"/>
        </w:rPr>
      </w:pPr>
    </w:p>
    <w:p>
      <w:pPr>
        <w:shd w:val="clear" w:color="auto" w:fill="auto"/>
        <w:jc w:val="center"/>
        <w:rPr>
          <w:rFonts w:ascii="Times New Roman" w:hAnsi="Times New Roman" w:eastAsia="黑体" w:cs="Times New Roman"/>
          <w:sz w:val="32"/>
          <w:szCs w:val="32"/>
          <w:highlight w:val="none"/>
        </w:rPr>
      </w:pPr>
    </w:p>
    <w:p>
      <w:pPr>
        <w:pStyle w:val="2"/>
        <w:rPr>
          <w:rFonts w:ascii="Times New Roman" w:hAnsi="Times New Roman" w:eastAsia="黑体" w:cs="Times New Roman"/>
          <w:sz w:val="32"/>
          <w:szCs w:val="32"/>
          <w:highlight w:val="none"/>
        </w:rPr>
      </w:pPr>
    </w:p>
    <w:p>
      <w:pPr>
        <w:pStyle w:val="2"/>
        <w:rPr>
          <w:rFonts w:ascii="Times New Roman" w:hAnsi="Times New Roman" w:eastAsia="黑体" w:cs="Times New Roman"/>
          <w:sz w:val="32"/>
          <w:szCs w:val="32"/>
          <w:highlight w:val="none"/>
        </w:rPr>
      </w:pPr>
    </w:p>
    <w:p>
      <w:pPr>
        <w:shd w:val="clear" w:color="auto" w:fill="auto"/>
        <w:spacing w:line="600" w:lineRule="exact"/>
        <w:jc w:val="center"/>
        <w:rPr>
          <w:rFonts w:ascii="Times New Roman" w:hAnsi="Times New Roman" w:eastAsia="仿宋_GB2312" w:cs="Times New Roman"/>
          <w:b/>
          <w:bCs/>
          <w:sz w:val="32"/>
          <w:szCs w:val="32"/>
          <w:highlight w:val="none"/>
          <w:u w:val="none"/>
        </w:rPr>
      </w:pPr>
      <w:r>
        <w:rPr>
          <w:rFonts w:ascii="Times New Roman" w:hAnsi="Times New Roman" w:eastAsia="仿宋_GB2312" w:cs="Times New Roman"/>
          <w:b/>
          <w:bCs/>
          <w:sz w:val="32"/>
          <w:szCs w:val="32"/>
          <w:highlight w:val="none"/>
        </w:rPr>
        <w:t>单位名称：</w:t>
      </w:r>
      <w:r>
        <w:rPr>
          <w:rFonts w:hint="eastAsia" w:ascii="Times New Roman" w:hAnsi="Times New Roman" w:eastAsia="仿宋_GB2312" w:cs="Times New Roman"/>
          <w:b/>
          <w:bCs/>
          <w:sz w:val="32"/>
          <w:szCs w:val="32"/>
          <w:highlight w:val="none"/>
          <w:u w:val="none"/>
          <w:lang w:eastAsia="zh-CN"/>
        </w:rPr>
        <w:t>怀化市农机事务中心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一、部门</w:t>
      </w:r>
      <w:r>
        <w:rPr>
          <w:rFonts w:hint="eastAsia" w:ascii="黑体" w:hAnsi="黑体" w:eastAsia="黑体" w:cs="黑体"/>
          <w:i w:val="0"/>
          <w:iCs w:val="0"/>
          <w:caps w:val="0"/>
          <w:color w:val="000000"/>
          <w:spacing w:val="0"/>
          <w:sz w:val="32"/>
          <w:szCs w:val="32"/>
          <w:shd w:val="clear" w:fill="FFFFFF"/>
          <w:lang w:eastAsia="zh-CN"/>
        </w:rPr>
        <w:t>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楷体_GB2312" w:eastAsia="楷体_GB2312" w:cs="楷体_GB2312"/>
          <w:i w:val="0"/>
          <w:iCs w:val="0"/>
          <w:caps w:val="0"/>
          <w:color w:val="000000"/>
          <w:spacing w:val="0"/>
          <w:sz w:val="32"/>
          <w:szCs w:val="32"/>
          <w:shd w:val="clear" w:fill="FFFFFF"/>
          <w:lang w:eastAsia="zh-CN"/>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lang w:eastAsia="zh-CN"/>
        </w:rPr>
        <w:t>部门（单位）基本情况</w:t>
      </w:r>
    </w:p>
    <w:p>
      <w:pPr>
        <w:keepNext w:val="0"/>
        <w:keepLines w:val="0"/>
        <w:pageBreakBefore w:val="0"/>
        <w:widowControl/>
        <w:shd w:val="clear" w:color="auto"/>
        <w:tabs>
          <w:tab w:val="left" w:pos="3450"/>
        </w:tabs>
        <w:kinsoku/>
        <w:wordWrap/>
        <w:overflowPunct/>
        <w:topLinePunct w:val="0"/>
        <w:autoSpaceDE/>
        <w:autoSpaceDN/>
        <w:bidi w:val="0"/>
        <w:adjustRightInd/>
        <w:snapToGrid/>
        <w:spacing w:afterAutospacing="0" w:line="560" w:lineRule="exact"/>
        <w:ind w:firstLine="640" w:firstLineChars="200"/>
        <w:jc w:val="left"/>
        <w:rPr>
          <w:rFonts w:hint="default"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rPr>
        <w:t>怀化市</w:t>
      </w:r>
      <w:r>
        <w:rPr>
          <w:rFonts w:hint="eastAsia" w:ascii="仿宋" w:hAnsi="仿宋" w:eastAsia="仿宋" w:cs="仿宋_GB2312"/>
          <w:kern w:val="0"/>
          <w:sz w:val="32"/>
          <w:szCs w:val="32"/>
          <w:highlight w:val="none"/>
          <w:lang w:eastAsia="zh-CN"/>
        </w:rPr>
        <w:t>农机事务中心</w:t>
      </w:r>
      <w:r>
        <w:rPr>
          <w:rFonts w:hint="eastAsia" w:ascii="Times New Roman" w:hAnsi="Times New Roman" w:eastAsia="仿宋_GB2312" w:cs="Times New Roman"/>
          <w:sz w:val="32"/>
          <w:szCs w:val="32"/>
          <w:highlight w:val="none"/>
          <w:lang w:val="en-US" w:eastAsia="zh-CN"/>
        </w:rPr>
        <w:t>为</w:t>
      </w:r>
      <w:r>
        <w:rPr>
          <w:rFonts w:hint="eastAsia" w:ascii="仿宋" w:hAnsi="仿宋" w:eastAsia="仿宋" w:cs="仿宋_GB2312"/>
          <w:kern w:val="0"/>
          <w:sz w:val="32"/>
          <w:szCs w:val="32"/>
          <w:highlight w:val="none"/>
          <w:lang w:val="en-US" w:eastAsia="zh-CN"/>
        </w:rPr>
        <w:t>市农业农村局管理的副处级行政类事业单位（参公）</w:t>
      </w:r>
      <w:r>
        <w:rPr>
          <w:rFonts w:hint="eastAsia" w:ascii="仿宋" w:hAnsi="仿宋" w:eastAsia="仿宋" w:cs="仿宋_GB2312"/>
          <w:kern w:val="0"/>
          <w:sz w:val="32"/>
          <w:szCs w:val="32"/>
          <w:highlight w:val="none"/>
          <w:lang w:eastAsia="zh-CN"/>
        </w:rPr>
        <w:t>，内设五个科室，包括：综合部、人事和财务部、产业发展部、生产服务部、安全监理部。</w:t>
      </w:r>
    </w:p>
    <w:p>
      <w:pPr>
        <w:keepNext w:val="0"/>
        <w:keepLines w:val="0"/>
        <w:pageBreakBefore w:val="0"/>
        <w:widowControl/>
        <w:shd w:val="clear" w:color="auto"/>
        <w:tabs>
          <w:tab w:val="left" w:pos="3450"/>
        </w:tabs>
        <w:kinsoku/>
        <w:wordWrap/>
        <w:overflowPunct/>
        <w:topLinePunct w:val="0"/>
        <w:autoSpaceDE/>
        <w:autoSpaceDN/>
        <w:bidi w:val="0"/>
        <w:adjustRightInd/>
        <w:snapToGrid/>
        <w:spacing w:afterAutospacing="0" w:line="560" w:lineRule="exact"/>
        <w:ind w:firstLine="640" w:firstLineChars="200"/>
        <w:jc w:val="left"/>
        <w:rPr>
          <w:rFonts w:hint="eastAsia" w:ascii="仿宋" w:hAnsi="仿宋" w:eastAsia="仿宋" w:cs="仿宋_GB2312"/>
          <w:kern w:val="0"/>
          <w:sz w:val="32"/>
          <w:szCs w:val="32"/>
          <w:highlight w:val="none"/>
          <w:lang w:val="en-US" w:eastAsia="zh-CN"/>
        </w:rPr>
      </w:pPr>
      <w:r>
        <w:rPr>
          <w:rFonts w:hint="eastAsia" w:ascii="仿宋" w:hAnsi="仿宋" w:eastAsia="仿宋" w:cs="仿宋_GB2312"/>
          <w:kern w:val="0"/>
          <w:sz w:val="32"/>
          <w:szCs w:val="32"/>
          <w:highlight w:val="none"/>
          <w:lang w:val="en-US" w:eastAsia="zh-CN"/>
        </w:rPr>
        <w:t>2024年末，我中心参照公务员法管理人员编制17名，实际在职干部职工15人（其中：机关工勤人员2人）。</w:t>
      </w:r>
    </w:p>
    <w:p>
      <w:pPr>
        <w:keepNext w:val="0"/>
        <w:keepLines w:val="0"/>
        <w:pageBreakBefore w:val="0"/>
        <w:widowControl/>
        <w:numPr>
          <w:ilvl w:val="0"/>
          <w:numId w:val="1"/>
        </w:numPr>
        <w:shd w:val="clear" w:color="auto"/>
        <w:tabs>
          <w:tab w:val="left" w:pos="3450"/>
        </w:tabs>
        <w:kinsoku/>
        <w:wordWrap/>
        <w:overflowPunct/>
        <w:topLinePunct w:val="0"/>
        <w:autoSpaceDE/>
        <w:autoSpaceDN/>
        <w:bidi w:val="0"/>
        <w:adjustRightInd/>
        <w:snapToGrid/>
        <w:spacing w:afterAutospacing="0" w:line="560" w:lineRule="exact"/>
        <w:ind w:firstLine="640" w:firstLineChars="200"/>
        <w:jc w:val="left"/>
        <w:rPr>
          <w:rFonts w:hint="eastAsia" w:ascii="楷体_GB2312" w:eastAsia="楷体_GB2312" w:cs="楷体_GB2312"/>
          <w:i w:val="0"/>
          <w:iCs w:val="0"/>
          <w:caps w:val="0"/>
          <w:color w:val="000000"/>
          <w:spacing w:val="0"/>
          <w:sz w:val="32"/>
          <w:szCs w:val="32"/>
          <w:shd w:val="clear" w:fill="FFFFFF"/>
          <w:lang w:eastAsia="zh-CN"/>
        </w:rPr>
      </w:pPr>
      <w:r>
        <w:rPr>
          <w:rFonts w:hint="eastAsia" w:ascii="楷体_GB2312" w:eastAsia="楷体_GB2312" w:cs="楷体_GB2312"/>
          <w:i w:val="0"/>
          <w:iCs w:val="0"/>
          <w:caps w:val="0"/>
          <w:color w:val="000000"/>
          <w:spacing w:val="0"/>
          <w:sz w:val="32"/>
          <w:szCs w:val="32"/>
          <w:shd w:val="clear" w:fill="FFFFFF"/>
          <w:lang w:eastAsia="zh-CN"/>
        </w:rPr>
        <w:t>部门（单位）整体支出规模、使用方向和主要内容、涉及范围等。</w:t>
      </w:r>
    </w:p>
    <w:p>
      <w:pPr>
        <w:keepNext w:val="0"/>
        <w:keepLines w:val="0"/>
        <w:pageBreakBefore w:val="0"/>
        <w:widowControl/>
        <w:numPr>
          <w:ilvl w:val="0"/>
          <w:numId w:val="0"/>
        </w:numPr>
        <w:shd w:val="clear" w:color="auto"/>
        <w:tabs>
          <w:tab w:val="left" w:pos="3450"/>
        </w:tabs>
        <w:kinsoku/>
        <w:wordWrap/>
        <w:overflowPunct/>
        <w:topLinePunct w:val="0"/>
        <w:autoSpaceDE/>
        <w:autoSpaceDN/>
        <w:bidi w:val="0"/>
        <w:adjustRightInd/>
        <w:snapToGrid/>
        <w:spacing w:afterAutospacing="0" w:line="560" w:lineRule="exact"/>
        <w:ind w:firstLine="640" w:firstLineChars="200"/>
        <w:jc w:val="left"/>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_GB2312"/>
          <w:kern w:val="0"/>
          <w:sz w:val="32"/>
          <w:szCs w:val="32"/>
          <w:highlight w:val="none"/>
          <w:lang w:val="en-US" w:eastAsia="zh-CN" w:bidi="ar-SA"/>
        </w:rPr>
        <w:t>2024年度部门整体支出</w:t>
      </w:r>
      <w:r>
        <w:rPr>
          <w:rFonts w:hint="eastAsia" w:ascii="仿宋" w:hAnsi="仿宋" w:eastAsia="仿宋" w:cs="仿宋_GB2312"/>
          <w:color w:val="auto"/>
          <w:kern w:val="0"/>
          <w:sz w:val="32"/>
          <w:szCs w:val="32"/>
          <w:highlight w:val="none"/>
          <w:lang w:val="en-US" w:eastAsia="zh-CN" w:bidi="ar-SA"/>
        </w:rPr>
        <w:t>342.23</w:t>
      </w:r>
      <w:r>
        <w:rPr>
          <w:rFonts w:hint="eastAsia" w:ascii="仿宋" w:hAnsi="仿宋" w:eastAsia="仿宋" w:cs="仿宋_GB2312"/>
          <w:kern w:val="0"/>
          <w:sz w:val="32"/>
          <w:szCs w:val="32"/>
          <w:highlight w:val="none"/>
          <w:lang w:val="en-US" w:eastAsia="zh-CN" w:bidi="ar-SA"/>
        </w:rPr>
        <w:t>万元，其中:基本支出304.4万元,项目支出37.84万元。基本支出主要用于保障单位机构正常运转、完成日常工作任务而发生的人员经费和日常公用经费支出，涉及范围为机关在职及退休人员。项目支出主要</w:t>
      </w:r>
      <w:r>
        <w:rPr>
          <w:rFonts w:hint="eastAsia" w:ascii="仿宋" w:hAnsi="仿宋" w:eastAsia="仿宋" w:cs="仿宋"/>
          <w:sz w:val="32"/>
          <w:szCs w:val="40"/>
          <w:lang w:val="en-US" w:eastAsia="zh-CN"/>
        </w:rPr>
        <w:t>内容为我中心完成特定行政工作任务或事业发展目标，在基本</w:t>
      </w:r>
      <w:r>
        <w:rPr>
          <w:rFonts w:hint="eastAsia" w:ascii="仿宋" w:hAnsi="仿宋" w:eastAsia="仿宋" w:cs="仿宋"/>
          <w:sz w:val="32"/>
          <w:szCs w:val="32"/>
          <w:lang w:val="en-US" w:eastAsia="zh-CN"/>
        </w:rPr>
        <w:t>的预算支出以外，财政预算安排的专业业务费支出。</w:t>
      </w:r>
      <w:r>
        <w:rPr>
          <w:rFonts w:hint="eastAsia" w:ascii="仿宋" w:hAnsi="仿宋" w:eastAsia="仿宋" w:cs="宋体"/>
          <w:color w:val="010101"/>
          <w:kern w:val="0"/>
          <w:sz w:val="32"/>
          <w:szCs w:val="32"/>
          <w:highlight w:val="none"/>
          <w:lang w:val="en-US" w:eastAsia="zh-CN"/>
        </w:rPr>
        <w:t xml:space="preserve"> </w:t>
      </w:r>
    </w:p>
    <w:p>
      <w:pPr>
        <w:keepNext w:val="0"/>
        <w:keepLines w:val="0"/>
        <w:pageBreakBefore w:val="0"/>
        <w:widowControl/>
        <w:shd w:val="clear" w:color="auto"/>
        <w:tabs>
          <w:tab w:val="left" w:pos="3450"/>
        </w:tabs>
        <w:kinsoku/>
        <w:wordWrap/>
        <w:overflowPunct/>
        <w:topLinePunct w:val="0"/>
        <w:autoSpaceDE/>
        <w:autoSpaceDN/>
        <w:bidi w:val="0"/>
        <w:adjustRightInd/>
        <w:snapToGrid/>
        <w:spacing w:afterAutospacing="0" w:line="560" w:lineRule="exact"/>
        <w:ind w:firstLine="640" w:firstLineChars="200"/>
        <w:jc w:val="lef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w:t>
      </w:r>
      <w:r>
        <w:rPr>
          <w:rFonts w:hint="eastAsia" w:ascii="楷体_GB2312" w:eastAsia="楷体_GB2312" w:cs="楷体_GB2312"/>
          <w:i w:val="0"/>
          <w:iCs w:val="0"/>
          <w:caps w:val="0"/>
          <w:color w:val="000000"/>
          <w:spacing w:val="0"/>
          <w:sz w:val="32"/>
          <w:szCs w:val="32"/>
          <w:shd w:val="clear" w:fill="FFFFFF"/>
          <w:lang w:eastAsia="zh-CN"/>
        </w:rPr>
        <w:t>内容有：</w:t>
      </w:r>
      <w:r>
        <w:rPr>
          <w:rFonts w:hint="eastAsia" w:ascii="仿宋" w:hAnsi="仿宋" w:eastAsia="仿宋" w:cs="仿宋_GB2312"/>
          <w:kern w:val="0"/>
          <w:sz w:val="32"/>
          <w:szCs w:val="32"/>
          <w:highlight w:val="none"/>
          <w:lang w:val="en-US" w:eastAsia="zh-CN" w:bidi="ar-SA"/>
        </w:rPr>
        <w:t>（1）贯彻执行党中央、国务院、省委、省政府、市委、市政府有关农业机械化工作的方针政策和法律法规，为我市农业机械化发展提供技术性支撑和公益性、事务性服务。（2）承担全市农业机械化事业发展规划和有关标准、技术规范的研究工作，调查研究农业机械社会化服务和产业化发展的经济、技术问题，开展相关评估论证，提出对策建议。（3）为全市农业机械化生产、农机社会化服务、农机维修、农机抗灾救灾、农机安全生产监管等相关工作提供技术支</w:t>
      </w:r>
      <w:r>
        <w:rPr>
          <w:rFonts w:hint="eastAsia" w:ascii="仿宋" w:hAnsi="仿宋" w:eastAsia="仿宋" w:cs="仿宋_GB2312"/>
          <w:kern w:val="0"/>
          <w:sz w:val="32"/>
          <w:szCs w:val="32"/>
          <w:highlight w:val="none"/>
          <w:lang w:eastAsia="zh-CN"/>
        </w:rPr>
        <w:t>持、服务保障和相关公益服务。承担农业机械从业人员教育培训和职业技能开发工作。（</w:t>
      </w:r>
      <w:r>
        <w:rPr>
          <w:rFonts w:hint="eastAsia" w:ascii="仿宋" w:hAnsi="仿宋" w:eastAsia="仿宋" w:cs="仿宋_GB2312"/>
          <w:kern w:val="0"/>
          <w:sz w:val="32"/>
          <w:szCs w:val="32"/>
          <w:highlight w:val="none"/>
          <w:lang w:val="en-US" w:eastAsia="zh-CN"/>
        </w:rPr>
        <w:t>4</w:t>
      </w:r>
      <w:r>
        <w:rPr>
          <w:rFonts w:hint="eastAsia" w:ascii="仿宋" w:hAnsi="仿宋" w:eastAsia="仿宋" w:cs="仿宋_GB2312"/>
          <w:kern w:val="0"/>
          <w:sz w:val="32"/>
          <w:szCs w:val="32"/>
          <w:highlight w:val="none"/>
          <w:lang w:eastAsia="zh-CN"/>
        </w:rPr>
        <w:t>）承担农业机械补贴政策实施相关事务性工作。（</w:t>
      </w:r>
      <w:r>
        <w:rPr>
          <w:rFonts w:hint="eastAsia" w:ascii="仿宋" w:hAnsi="仿宋" w:eastAsia="仿宋" w:cs="仿宋_GB2312"/>
          <w:kern w:val="0"/>
          <w:sz w:val="32"/>
          <w:szCs w:val="32"/>
          <w:highlight w:val="none"/>
          <w:lang w:val="en-US" w:eastAsia="zh-CN"/>
        </w:rPr>
        <w:t>5</w:t>
      </w:r>
      <w:r>
        <w:rPr>
          <w:rFonts w:hint="eastAsia" w:ascii="仿宋" w:hAnsi="仿宋" w:eastAsia="仿宋" w:cs="仿宋_GB2312"/>
          <w:kern w:val="0"/>
          <w:sz w:val="32"/>
          <w:szCs w:val="32"/>
          <w:highlight w:val="none"/>
          <w:lang w:eastAsia="zh-CN"/>
        </w:rPr>
        <w:t>）承担农业机械化信息网络建设运行、农业机械化生产信息统计工作。（</w:t>
      </w:r>
      <w:r>
        <w:rPr>
          <w:rFonts w:hint="eastAsia" w:ascii="仿宋" w:hAnsi="仿宋" w:eastAsia="仿宋" w:cs="仿宋_GB2312"/>
          <w:kern w:val="0"/>
          <w:sz w:val="32"/>
          <w:szCs w:val="32"/>
          <w:highlight w:val="none"/>
          <w:lang w:val="en-US" w:eastAsia="zh-CN"/>
        </w:rPr>
        <w:t>6</w:t>
      </w:r>
      <w:r>
        <w:rPr>
          <w:rFonts w:hint="eastAsia" w:ascii="仿宋" w:hAnsi="仿宋" w:eastAsia="仿宋" w:cs="仿宋_GB2312"/>
          <w:kern w:val="0"/>
          <w:sz w:val="32"/>
          <w:szCs w:val="32"/>
          <w:highlight w:val="none"/>
          <w:lang w:eastAsia="zh-CN"/>
        </w:rPr>
        <w:t>）承担农业机械化新机具、新技术的引进和示范推广等相关技术性、事务性工作。（</w:t>
      </w:r>
      <w:r>
        <w:rPr>
          <w:rFonts w:hint="eastAsia" w:ascii="仿宋" w:hAnsi="仿宋" w:eastAsia="仿宋" w:cs="仿宋_GB2312"/>
          <w:kern w:val="0"/>
          <w:sz w:val="32"/>
          <w:szCs w:val="32"/>
          <w:highlight w:val="none"/>
          <w:lang w:val="en-US" w:eastAsia="zh-CN"/>
        </w:rPr>
        <w:t>7</w:t>
      </w:r>
      <w:r>
        <w:rPr>
          <w:rFonts w:hint="eastAsia" w:ascii="仿宋" w:hAnsi="仿宋" w:eastAsia="仿宋" w:cs="仿宋_GB2312"/>
          <w:kern w:val="0"/>
          <w:sz w:val="32"/>
          <w:szCs w:val="32"/>
          <w:highlight w:val="none"/>
          <w:lang w:eastAsia="zh-CN"/>
        </w:rPr>
        <w:t>）对县市区农机事务中心进行业务和技术指导，联系市农机行业协会等社会组织。（</w:t>
      </w:r>
      <w:r>
        <w:rPr>
          <w:rFonts w:hint="eastAsia" w:ascii="仿宋" w:hAnsi="仿宋" w:eastAsia="仿宋" w:cs="仿宋_GB2312"/>
          <w:kern w:val="0"/>
          <w:sz w:val="32"/>
          <w:szCs w:val="32"/>
          <w:highlight w:val="none"/>
          <w:lang w:val="en-US" w:eastAsia="zh-CN"/>
        </w:rPr>
        <w:t>8</w:t>
      </w:r>
      <w:r>
        <w:rPr>
          <w:rFonts w:hint="eastAsia" w:ascii="仿宋" w:hAnsi="仿宋" w:eastAsia="仿宋" w:cs="仿宋_GB2312"/>
          <w:kern w:val="0"/>
          <w:sz w:val="32"/>
          <w:szCs w:val="32"/>
          <w:highlight w:val="none"/>
          <w:lang w:eastAsia="zh-CN"/>
        </w:rPr>
        <w:t>）承担市农业农村局交办的其他事项。</w:t>
      </w:r>
    </w:p>
    <w:p>
      <w:pPr>
        <w:keepNext w:val="0"/>
        <w:keepLines w:val="0"/>
        <w:pageBreakBefore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二、一般公共预算支出情况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lang w:eastAsia="zh-CN"/>
        </w:rPr>
        <w:t>基本支出</w:t>
      </w:r>
      <w:r>
        <w:rPr>
          <w:rFonts w:hint="eastAsia" w:ascii="楷体_GB2312" w:eastAsia="楷体_GB2312" w:cs="楷体_GB2312"/>
          <w:i w:val="0"/>
          <w:iCs w:val="0"/>
          <w:caps w:val="0"/>
          <w:color w:val="000000"/>
          <w:spacing w:val="0"/>
          <w:sz w:val="32"/>
          <w:szCs w:val="32"/>
          <w:shd w:val="clear" w:fill="FFFFFF"/>
        </w:rPr>
        <w:t>。</w:t>
      </w:r>
    </w:p>
    <w:p>
      <w:pPr>
        <w:keepNext w:val="0"/>
        <w:keepLines w:val="0"/>
        <w:pageBreakBefore w:val="0"/>
        <w:widowControl/>
        <w:shd w:val="clear" w:color="auto" w:fill="auto"/>
        <w:kinsoku/>
        <w:wordWrap/>
        <w:overflowPunct/>
        <w:topLinePunct w:val="0"/>
        <w:autoSpaceDE/>
        <w:autoSpaceDN/>
        <w:bidi w:val="0"/>
        <w:adjustRightInd/>
        <w:snapToGrid/>
        <w:spacing w:afterAutospacing="0" w:line="560" w:lineRule="exact"/>
        <w:ind w:firstLine="640" w:firstLineChars="200"/>
        <w:jc w:val="left"/>
        <w:rPr>
          <w:rFonts w:hint="eastAsia" w:ascii="楷体_GB2312" w:eastAsia="楷体_GB2312" w:cs="楷体_GB2312"/>
          <w:i w:val="0"/>
          <w:iCs w:val="0"/>
          <w:caps w:val="0"/>
          <w:color w:val="000000"/>
          <w:spacing w:val="0"/>
          <w:sz w:val="32"/>
          <w:szCs w:val="32"/>
          <w:shd w:val="clear" w:fill="FFFFFF"/>
        </w:rPr>
      </w:pPr>
      <w:r>
        <w:rPr>
          <w:rFonts w:hint="eastAsia" w:ascii="仿宋" w:hAnsi="仿宋" w:eastAsia="仿宋" w:cs="仿宋_GB2312"/>
          <w:kern w:val="0"/>
          <w:sz w:val="32"/>
          <w:szCs w:val="32"/>
          <w:highlight w:val="none"/>
          <w:lang w:val="en-US" w:eastAsia="zh-CN"/>
        </w:rPr>
        <w:t>1.基本支出情况</w:t>
      </w:r>
    </w:p>
    <w:p>
      <w:pPr>
        <w:keepNext w:val="0"/>
        <w:keepLines w:val="0"/>
        <w:pageBreakBefore w:val="0"/>
        <w:widowControl/>
        <w:shd w:val="clear" w:color="auto" w:fill="auto"/>
        <w:kinsoku/>
        <w:wordWrap/>
        <w:overflowPunct/>
        <w:topLinePunct w:val="0"/>
        <w:autoSpaceDE/>
        <w:autoSpaceDN/>
        <w:bidi w:val="0"/>
        <w:adjustRightInd/>
        <w:snapToGrid/>
        <w:spacing w:afterAutospacing="0" w:line="560" w:lineRule="exact"/>
        <w:ind w:firstLine="640" w:firstLineChars="200"/>
        <w:jc w:val="left"/>
        <w:rPr>
          <w:rFonts w:ascii="仿宋" w:hAnsi="仿宋" w:eastAsia="仿宋" w:cs="宋体"/>
          <w:color w:val="010101"/>
          <w:kern w:val="0"/>
          <w:sz w:val="32"/>
          <w:szCs w:val="32"/>
          <w:highlight w:val="none"/>
        </w:rPr>
      </w:pPr>
      <w:r>
        <w:rPr>
          <w:rFonts w:hint="eastAsia" w:ascii="仿宋" w:hAnsi="仿宋" w:eastAsia="仿宋" w:cs="仿宋_GB2312"/>
          <w:kern w:val="0"/>
          <w:sz w:val="32"/>
          <w:szCs w:val="32"/>
          <w:highlight w:val="none"/>
        </w:rPr>
        <w:t>基本支出是指单位为保障机构正常运转和完成日常工作任务而发生的各项支出。在支出管理方面，</w:t>
      </w:r>
      <w:r>
        <w:rPr>
          <w:rFonts w:ascii="仿宋" w:hAnsi="仿宋" w:eastAsia="仿宋" w:cs="宋体"/>
          <w:color w:val="010101"/>
          <w:kern w:val="0"/>
          <w:sz w:val="32"/>
          <w:szCs w:val="32"/>
          <w:highlight w:val="none"/>
        </w:rPr>
        <w:t>我</w:t>
      </w:r>
      <w:r>
        <w:rPr>
          <w:rFonts w:hint="eastAsia" w:ascii="仿宋" w:hAnsi="仿宋" w:eastAsia="仿宋" w:cs="宋体"/>
          <w:color w:val="010101"/>
          <w:kern w:val="0"/>
          <w:sz w:val="32"/>
          <w:szCs w:val="32"/>
          <w:highlight w:val="none"/>
          <w:lang w:eastAsia="zh-CN"/>
        </w:rPr>
        <w:t>中心</w:t>
      </w:r>
      <w:r>
        <w:rPr>
          <w:rFonts w:ascii="仿宋" w:hAnsi="仿宋" w:eastAsia="仿宋" w:cs="宋体"/>
          <w:color w:val="010101"/>
          <w:kern w:val="0"/>
          <w:sz w:val="32"/>
          <w:szCs w:val="32"/>
          <w:highlight w:val="none"/>
        </w:rPr>
        <w:t>制定了</w:t>
      </w:r>
      <w:r>
        <w:rPr>
          <w:rFonts w:hint="eastAsia" w:ascii="仿宋" w:hAnsi="仿宋" w:eastAsia="仿宋" w:cs="宋体"/>
          <w:color w:val="010101"/>
          <w:kern w:val="0"/>
          <w:sz w:val="32"/>
          <w:szCs w:val="32"/>
          <w:highlight w:val="none"/>
          <w:lang w:val="en-US" w:eastAsia="zh-CN"/>
        </w:rPr>
        <w:t>各项</w:t>
      </w:r>
      <w:r>
        <w:rPr>
          <w:rFonts w:ascii="仿宋" w:hAnsi="仿宋" w:eastAsia="仿宋" w:cs="宋体"/>
          <w:color w:val="010101"/>
          <w:kern w:val="0"/>
          <w:sz w:val="32"/>
          <w:szCs w:val="32"/>
          <w:highlight w:val="none"/>
        </w:rPr>
        <w:t>财务管理制度相关制度</w:t>
      </w:r>
      <w:r>
        <w:rPr>
          <w:rFonts w:hint="eastAsia" w:ascii="仿宋" w:hAnsi="仿宋" w:eastAsia="仿宋" w:cs="宋体"/>
          <w:color w:val="010101"/>
          <w:kern w:val="0"/>
          <w:sz w:val="32"/>
          <w:szCs w:val="32"/>
          <w:highlight w:val="none"/>
          <w:lang w:eastAsia="zh-CN"/>
        </w:rPr>
        <w:t>，</w:t>
      </w:r>
      <w:r>
        <w:rPr>
          <w:rFonts w:ascii="仿宋" w:hAnsi="仿宋" w:eastAsia="仿宋" w:cs="宋体"/>
          <w:color w:val="010101"/>
          <w:kern w:val="0"/>
          <w:sz w:val="32"/>
          <w:szCs w:val="32"/>
          <w:highlight w:val="none"/>
        </w:rPr>
        <w:t>加强部门资金的使用管理，坚持勤俭节约，反对奢侈浪费，按制度办事，确保每一分钱都落到实处，每一环节按程序进行，部门财务管理工作做到细、严、实。</w:t>
      </w:r>
    </w:p>
    <w:p>
      <w:pPr>
        <w:keepNext w:val="0"/>
        <w:keepLines w:val="0"/>
        <w:pageBreakBefore w:val="0"/>
        <w:widowControl/>
        <w:shd w:val="clear" w:color="auto" w:fill="auto"/>
        <w:kinsoku/>
        <w:wordWrap/>
        <w:overflowPunct/>
        <w:topLinePunct w:val="0"/>
        <w:autoSpaceDE/>
        <w:autoSpaceDN/>
        <w:bidi w:val="0"/>
        <w:adjustRightInd/>
        <w:snapToGrid/>
        <w:spacing w:afterAutospacing="0" w:line="560" w:lineRule="exact"/>
        <w:ind w:firstLine="640" w:firstLineChars="200"/>
        <w:jc w:val="left"/>
        <w:rPr>
          <w:rFonts w:hint="eastAsia" w:ascii="仿宋" w:hAnsi="仿宋" w:eastAsia="仿宋" w:cs="仿宋_GB2312"/>
          <w:kern w:val="0"/>
          <w:sz w:val="32"/>
          <w:szCs w:val="32"/>
          <w:highlight w:val="none"/>
          <w:lang w:val="en-US" w:eastAsia="zh-CN"/>
        </w:rPr>
      </w:pPr>
      <w:r>
        <w:rPr>
          <w:rFonts w:hint="eastAsia" w:ascii="仿宋" w:hAnsi="仿宋" w:eastAsia="仿宋" w:cs="仿宋_GB2312"/>
          <w:kern w:val="0"/>
          <w:sz w:val="32"/>
          <w:szCs w:val="32"/>
          <w:highlight w:val="none"/>
        </w:rPr>
        <w:t>202</w:t>
      </w:r>
      <w:r>
        <w:rPr>
          <w:rFonts w:hint="eastAsia" w:ascii="仿宋" w:hAnsi="仿宋" w:eastAsia="仿宋" w:cs="仿宋_GB2312"/>
          <w:kern w:val="0"/>
          <w:sz w:val="32"/>
          <w:szCs w:val="32"/>
          <w:highlight w:val="none"/>
          <w:lang w:val="en-US" w:eastAsia="zh-CN"/>
        </w:rPr>
        <w:t>4</w:t>
      </w:r>
      <w:r>
        <w:rPr>
          <w:rFonts w:hint="eastAsia" w:ascii="仿宋" w:hAnsi="仿宋" w:eastAsia="仿宋" w:cs="仿宋_GB2312"/>
          <w:kern w:val="0"/>
          <w:sz w:val="32"/>
          <w:szCs w:val="32"/>
          <w:highlight w:val="none"/>
        </w:rPr>
        <w:t>年度</w:t>
      </w:r>
      <w:r>
        <w:rPr>
          <w:rFonts w:hint="eastAsia" w:ascii="仿宋" w:hAnsi="仿宋" w:eastAsia="仿宋" w:cs="仿宋_GB2312"/>
          <w:kern w:val="0"/>
          <w:sz w:val="32"/>
          <w:szCs w:val="32"/>
          <w:highlight w:val="none"/>
          <w:lang w:val="en-US" w:eastAsia="zh-CN"/>
        </w:rPr>
        <w:t>基本</w:t>
      </w:r>
      <w:r>
        <w:rPr>
          <w:rFonts w:hint="eastAsia" w:ascii="仿宋" w:hAnsi="仿宋" w:eastAsia="仿宋" w:cs="仿宋_GB2312"/>
          <w:kern w:val="0"/>
          <w:sz w:val="32"/>
          <w:szCs w:val="32"/>
          <w:highlight w:val="none"/>
        </w:rPr>
        <w:t>支出为</w:t>
      </w:r>
      <w:r>
        <w:rPr>
          <w:rFonts w:hint="eastAsia" w:ascii="仿宋" w:hAnsi="仿宋" w:eastAsia="仿宋" w:cs="仿宋_GB2312"/>
          <w:kern w:val="0"/>
          <w:sz w:val="32"/>
          <w:szCs w:val="32"/>
          <w:highlight w:val="none"/>
          <w:lang w:val="en-US" w:eastAsia="zh-CN"/>
        </w:rPr>
        <w:t>304.4</w:t>
      </w:r>
      <w:r>
        <w:rPr>
          <w:rFonts w:hint="eastAsia" w:ascii="仿宋" w:hAnsi="仿宋" w:eastAsia="仿宋" w:cs="仿宋_GB2312"/>
          <w:kern w:val="0"/>
          <w:sz w:val="32"/>
          <w:szCs w:val="32"/>
          <w:highlight w:val="none"/>
        </w:rPr>
        <w:t>万元。其中：人员经费支出</w:t>
      </w:r>
      <w:r>
        <w:rPr>
          <w:rFonts w:hint="eastAsia" w:ascii="仿宋" w:hAnsi="仿宋" w:eastAsia="仿宋" w:cs="仿宋_GB2312"/>
          <w:kern w:val="0"/>
          <w:sz w:val="32"/>
          <w:szCs w:val="32"/>
          <w:highlight w:val="none"/>
          <w:lang w:val="en-US" w:eastAsia="zh-CN"/>
        </w:rPr>
        <w:t>268.71</w:t>
      </w:r>
      <w:r>
        <w:rPr>
          <w:rFonts w:hint="eastAsia" w:ascii="仿宋" w:hAnsi="仿宋" w:eastAsia="仿宋" w:cs="仿宋_GB2312"/>
          <w:kern w:val="0"/>
          <w:sz w:val="32"/>
          <w:szCs w:val="32"/>
          <w:highlight w:val="none"/>
        </w:rPr>
        <w:t>万元，公用经费支出</w:t>
      </w:r>
      <w:r>
        <w:rPr>
          <w:rFonts w:hint="eastAsia" w:ascii="仿宋" w:hAnsi="仿宋" w:eastAsia="仿宋" w:cs="仿宋_GB2312"/>
          <w:kern w:val="0"/>
          <w:sz w:val="32"/>
          <w:szCs w:val="32"/>
          <w:highlight w:val="none"/>
          <w:lang w:val="en-US" w:eastAsia="zh-CN"/>
        </w:rPr>
        <w:t>35.68</w:t>
      </w:r>
      <w:r>
        <w:rPr>
          <w:rFonts w:hint="eastAsia" w:ascii="仿宋" w:hAnsi="仿宋" w:eastAsia="仿宋" w:cs="仿宋_GB2312"/>
          <w:kern w:val="0"/>
          <w:sz w:val="32"/>
          <w:szCs w:val="32"/>
          <w:highlight w:val="none"/>
        </w:rPr>
        <w:t>万元。</w:t>
      </w:r>
      <w:r>
        <w:rPr>
          <w:rFonts w:hint="eastAsia" w:ascii="仿宋" w:hAnsi="仿宋" w:eastAsia="仿宋" w:cs="仿宋_GB2312"/>
          <w:kern w:val="0"/>
          <w:sz w:val="32"/>
          <w:szCs w:val="32"/>
          <w:highlight w:val="none"/>
          <w:lang w:val="en-US" w:eastAsia="zh-CN"/>
        </w:rPr>
        <w:t>人员经费包括工资和福利支出215.83元，具体支出为：</w:t>
      </w:r>
      <w:r>
        <w:rPr>
          <w:rFonts w:hint="default" w:ascii="仿宋" w:hAnsi="仿宋" w:eastAsia="仿宋" w:cs="Times New Roman"/>
          <w:spacing w:val="-2"/>
          <w:kern w:val="2"/>
          <w:sz w:val="32"/>
          <w:szCs w:val="32"/>
          <w:highlight w:val="none"/>
          <w:lang w:val="en-US" w:eastAsia="zh-CN" w:bidi="ar-SA"/>
        </w:rPr>
        <w:t>基本工资、津贴补贴、奖金、机关事业单位基本养老保险缴费、</w:t>
      </w:r>
      <w:r>
        <w:rPr>
          <w:rFonts w:hint="eastAsia" w:ascii="仿宋" w:hAnsi="仿宋" w:eastAsia="仿宋" w:cs="Times New Roman"/>
          <w:spacing w:val="-2"/>
          <w:kern w:val="2"/>
          <w:sz w:val="32"/>
          <w:szCs w:val="32"/>
          <w:highlight w:val="none"/>
          <w:lang w:val="en-US" w:eastAsia="zh-CN" w:bidi="ar-SA"/>
        </w:rPr>
        <w:t>职工基本医疗保险缴费、</w:t>
      </w:r>
      <w:r>
        <w:rPr>
          <w:rFonts w:hint="default" w:ascii="仿宋" w:hAnsi="仿宋" w:eastAsia="仿宋" w:cs="Times New Roman"/>
          <w:spacing w:val="-2"/>
          <w:kern w:val="2"/>
          <w:sz w:val="32"/>
          <w:szCs w:val="32"/>
          <w:highlight w:val="none"/>
          <w:lang w:val="en-US" w:eastAsia="zh-CN" w:bidi="ar-SA"/>
        </w:rPr>
        <w:t>其他</w:t>
      </w:r>
      <w:r>
        <w:rPr>
          <w:rFonts w:hint="eastAsia" w:ascii="仿宋" w:hAnsi="仿宋" w:eastAsia="仿宋" w:cs="Times New Roman"/>
          <w:spacing w:val="-2"/>
          <w:kern w:val="2"/>
          <w:sz w:val="32"/>
          <w:szCs w:val="32"/>
          <w:highlight w:val="none"/>
          <w:lang w:val="en-US" w:eastAsia="zh-CN" w:bidi="ar-SA"/>
        </w:rPr>
        <w:t>社会保障缴费</w:t>
      </w:r>
      <w:r>
        <w:rPr>
          <w:rFonts w:hint="default" w:ascii="仿宋" w:hAnsi="仿宋" w:eastAsia="仿宋" w:cs="Times New Roman"/>
          <w:spacing w:val="-2"/>
          <w:kern w:val="2"/>
          <w:sz w:val="32"/>
          <w:szCs w:val="32"/>
          <w:highlight w:val="none"/>
          <w:lang w:val="en-US" w:eastAsia="zh-CN" w:bidi="ar-SA"/>
        </w:rPr>
        <w:t>、</w:t>
      </w:r>
      <w:r>
        <w:rPr>
          <w:rFonts w:hint="eastAsia" w:ascii="仿宋" w:hAnsi="仿宋" w:eastAsia="仿宋" w:cs="Times New Roman"/>
          <w:spacing w:val="-2"/>
          <w:kern w:val="2"/>
          <w:sz w:val="32"/>
          <w:szCs w:val="32"/>
          <w:highlight w:val="none"/>
          <w:lang w:val="en-US" w:eastAsia="zh-CN" w:bidi="ar-SA"/>
        </w:rPr>
        <w:t>其他工资福利支出；对个人和家庭的补助52.88万元，具体支出为：生活补助</w:t>
      </w:r>
      <w:r>
        <w:rPr>
          <w:rFonts w:hint="default" w:ascii="仿宋" w:hAnsi="仿宋" w:eastAsia="仿宋" w:cs="Times New Roman"/>
          <w:spacing w:val="-2"/>
          <w:kern w:val="2"/>
          <w:sz w:val="32"/>
          <w:szCs w:val="32"/>
          <w:highlight w:val="none"/>
          <w:lang w:val="en-US" w:eastAsia="zh-CN" w:bidi="ar-SA"/>
        </w:rPr>
        <w:t>、</w:t>
      </w:r>
      <w:r>
        <w:rPr>
          <w:rFonts w:hint="eastAsia" w:ascii="仿宋" w:hAnsi="仿宋" w:eastAsia="仿宋" w:cs="Times New Roman"/>
          <w:spacing w:val="-2"/>
          <w:kern w:val="2"/>
          <w:sz w:val="32"/>
          <w:szCs w:val="32"/>
          <w:highlight w:val="none"/>
          <w:lang w:val="en-US" w:eastAsia="zh-CN" w:bidi="ar-SA"/>
        </w:rPr>
        <w:t>奖励金、</w:t>
      </w:r>
      <w:r>
        <w:rPr>
          <w:rFonts w:hint="default" w:ascii="仿宋" w:hAnsi="仿宋" w:eastAsia="仿宋" w:cs="Times New Roman"/>
          <w:spacing w:val="-2"/>
          <w:kern w:val="2"/>
          <w:sz w:val="32"/>
          <w:szCs w:val="32"/>
          <w:highlight w:val="none"/>
          <w:lang w:val="en-US" w:eastAsia="zh-CN" w:bidi="ar-SA"/>
        </w:rPr>
        <w:t>其他对个人和家庭的补助</w:t>
      </w:r>
      <w:r>
        <w:rPr>
          <w:rFonts w:hint="eastAsia" w:ascii="仿宋" w:hAnsi="仿宋" w:eastAsia="仿宋" w:cs="Times New Roman"/>
          <w:spacing w:val="-2"/>
          <w:kern w:val="2"/>
          <w:sz w:val="32"/>
          <w:szCs w:val="32"/>
          <w:highlight w:val="none"/>
          <w:lang w:val="en-US" w:eastAsia="zh-CN" w:bidi="ar-SA"/>
        </w:rPr>
        <w:t>。</w:t>
      </w:r>
      <w:r>
        <w:rPr>
          <w:rFonts w:hint="eastAsia" w:ascii="仿宋" w:hAnsi="仿宋" w:eastAsia="仿宋" w:cs="仿宋_GB2312"/>
          <w:kern w:val="0"/>
          <w:sz w:val="32"/>
          <w:szCs w:val="32"/>
          <w:highlight w:val="none"/>
        </w:rPr>
        <w:t>公用经费</w:t>
      </w:r>
      <w:r>
        <w:rPr>
          <w:rFonts w:hint="eastAsia" w:ascii="仿宋" w:hAnsi="仿宋" w:eastAsia="仿宋" w:cs="仿宋_GB2312"/>
          <w:kern w:val="0"/>
          <w:sz w:val="32"/>
          <w:szCs w:val="32"/>
          <w:highlight w:val="none"/>
          <w:lang w:val="en-US" w:eastAsia="zh-CN"/>
        </w:rPr>
        <w:t>包括商品和服务支出35.68万元，具体支出为：办公费、咨询费、邮电费、差旅费、维修费、公务接待费、劳务费、工会经费、福利费、其他交通费用及其他商品服务支出等。基本支出较上年增加7.65%（21.62万元），主要为单位人员经费增加。</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afterAutospacing="0" w:line="560" w:lineRule="exact"/>
        <w:ind w:firstLine="640" w:firstLineChars="200"/>
        <w:jc w:val="left"/>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333333"/>
          <w:kern w:val="0"/>
          <w:sz w:val="32"/>
          <w:szCs w:val="32"/>
          <w:highlight w:val="none"/>
          <w:lang w:val="en-US" w:eastAsia="zh-CN"/>
        </w:rPr>
        <w:t>2.三公经费情况</w:t>
      </w:r>
    </w:p>
    <w:p>
      <w:pPr>
        <w:keepNext w:val="0"/>
        <w:keepLines w:val="0"/>
        <w:pageBreakBefore w:val="0"/>
        <w:widowControl/>
        <w:shd w:val="clear" w:color="auto" w:fill="auto"/>
        <w:kinsoku/>
        <w:wordWrap/>
        <w:overflowPunct/>
        <w:topLinePunct w:val="0"/>
        <w:autoSpaceDE/>
        <w:autoSpaceDN/>
        <w:bidi w:val="0"/>
        <w:adjustRightInd/>
        <w:spacing w:line="560" w:lineRule="exact"/>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宋体"/>
          <w:color w:val="010101"/>
          <w:kern w:val="0"/>
          <w:sz w:val="32"/>
          <w:szCs w:val="32"/>
          <w:highlight w:val="none"/>
          <w:lang w:val="en-US" w:eastAsia="zh-CN"/>
        </w:rPr>
        <w:t>2024年度</w:t>
      </w:r>
      <w:r>
        <w:rPr>
          <w:rFonts w:ascii="仿宋" w:hAnsi="仿宋" w:eastAsia="仿宋" w:cs="宋体"/>
          <w:color w:val="010101"/>
          <w:kern w:val="0"/>
          <w:sz w:val="32"/>
          <w:szCs w:val="32"/>
          <w:highlight w:val="none"/>
        </w:rPr>
        <w:t>“三公</w:t>
      </w:r>
      <w:r>
        <w:rPr>
          <w:rFonts w:hint="eastAsia" w:ascii="仿宋" w:hAnsi="仿宋" w:eastAsia="仿宋" w:cs="宋体"/>
          <w:color w:val="010101"/>
          <w:kern w:val="0"/>
          <w:sz w:val="32"/>
          <w:szCs w:val="32"/>
          <w:highlight w:val="none"/>
          <w:lang w:eastAsia="zh-CN"/>
        </w:rPr>
        <w:t>”</w:t>
      </w:r>
      <w:r>
        <w:rPr>
          <w:rFonts w:ascii="仿宋" w:hAnsi="仿宋" w:eastAsia="仿宋" w:cs="宋体"/>
          <w:color w:val="010101"/>
          <w:kern w:val="0"/>
          <w:sz w:val="32"/>
          <w:szCs w:val="32"/>
          <w:highlight w:val="none"/>
        </w:rPr>
        <w:t>经费</w:t>
      </w:r>
      <w:r>
        <w:rPr>
          <w:rFonts w:hint="eastAsia" w:ascii="仿宋" w:hAnsi="仿宋" w:eastAsia="仿宋" w:cs="宋体"/>
          <w:color w:val="010101"/>
          <w:kern w:val="0"/>
          <w:sz w:val="32"/>
          <w:szCs w:val="32"/>
          <w:highlight w:val="none"/>
          <w:lang w:val="en-US" w:eastAsia="zh-CN"/>
        </w:rPr>
        <w:t>预算控制数为5万元，</w:t>
      </w:r>
      <w:r>
        <w:rPr>
          <w:rFonts w:ascii="仿宋" w:hAnsi="仿宋" w:eastAsia="仿宋" w:cs="宋体"/>
          <w:color w:val="010101"/>
          <w:kern w:val="0"/>
          <w:sz w:val="32"/>
          <w:szCs w:val="32"/>
          <w:highlight w:val="none"/>
        </w:rPr>
        <w:t>其中</w:t>
      </w:r>
      <w:r>
        <w:rPr>
          <w:rFonts w:hint="eastAsia" w:ascii="仿宋" w:hAnsi="仿宋" w:eastAsia="仿宋" w:cs="宋体"/>
          <w:color w:val="010101"/>
          <w:kern w:val="0"/>
          <w:sz w:val="32"/>
          <w:szCs w:val="32"/>
          <w:highlight w:val="none"/>
        </w:rPr>
        <w:t>：</w:t>
      </w:r>
      <w:r>
        <w:rPr>
          <w:rFonts w:ascii="仿宋" w:hAnsi="仿宋" w:eastAsia="仿宋" w:cs="宋体"/>
          <w:color w:val="010101"/>
          <w:kern w:val="0"/>
          <w:sz w:val="32"/>
          <w:szCs w:val="32"/>
          <w:highlight w:val="none"/>
        </w:rPr>
        <w:t>因公出国0万元</w:t>
      </w:r>
      <w:r>
        <w:rPr>
          <w:rFonts w:hint="eastAsia" w:ascii="仿宋" w:hAnsi="仿宋" w:eastAsia="仿宋" w:cs="宋体"/>
          <w:color w:val="010101"/>
          <w:kern w:val="0"/>
          <w:sz w:val="32"/>
          <w:szCs w:val="32"/>
          <w:highlight w:val="none"/>
        </w:rPr>
        <w:t>，</w:t>
      </w:r>
      <w:r>
        <w:rPr>
          <w:rFonts w:ascii="仿宋" w:hAnsi="仿宋" w:eastAsia="仿宋" w:cs="宋体"/>
          <w:color w:val="010101"/>
          <w:kern w:val="0"/>
          <w:sz w:val="32"/>
          <w:szCs w:val="32"/>
          <w:highlight w:val="none"/>
        </w:rPr>
        <w:t>公务接待费</w:t>
      </w:r>
      <w:r>
        <w:rPr>
          <w:rFonts w:hint="eastAsia" w:ascii="仿宋" w:hAnsi="仿宋" w:eastAsia="仿宋" w:cs="宋体"/>
          <w:color w:val="010101"/>
          <w:kern w:val="0"/>
          <w:sz w:val="32"/>
          <w:szCs w:val="32"/>
          <w:highlight w:val="none"/>
          <w:lang w:val="en-US" w:eastAsia="zh-CN"/>
        </w:rPr>
        <w:t>1.4</w:t>
      </w:r>
      <w:r>
        <w:rPr>
          <w:rFonts w:ascii="仿宋" w:hAnsi="仿宋" w:eastAsia="仿宋" w:cs="宋体"/>
          <w:color w:val="010101"/>
          <w:kern w:val="0"/>
          <w:sz w:val="32"/>
          <w:szCs w:val="32"/>
          <w:highlight w:val="none"/>
        </w:rPr>
        <w:t>万元</w:t>
      </w:r>
      <w:r>
        <w:rPr>
          <w:rFonts w:hint="eastAsia" w:ascii="仿宋" w:hAnsi="仿宋" w:eastAsia="仿宋" w:cs="宋体"/>
          <w:color w:val="010101"/>
          <w:kern w:val="0"/>
          <w:sz w:val="32"/>
          <w:szCs w:val="32"/>
          <w:highlight w:val="none"/>
        </w:rPr>
        <w:t>，</w:t>
      </w:r>
      <w:r>
        <w:rPr>
          <w:rFonts w:ascii="仿宋" w:hAnsi="仿宋" w:eastAsia="仿宋" w:cs="宋体"/>
          <w:color w:val="010101"/>
          <w:kern w:val="0"/>
          <w:sz w:val="32"/>
          <w:szCs w:val="32"/>
          <w:highlight w:val="none"/>
        </w:rPr>
        <w:t>公务用车</w:t>
      </w:r>
      <w:r>
        <w:rPr>
          <w:rFonts w:hint="eastAsia" w:ascii="仿宋" w:hAnsi="仿宋" w:eastAsia="仿宋" w:cs="宋体"/>
          <w:color w:val="010101"/>
          <w:kern w:val="0"/>
          <w:sz w:val="32"/>
          <w:szCs w:val="32"/>
          <w:highlight w:val="none"/>
          <w:lang w:val="en-US" w:eastAsia="zh-CN"/>
        </w:rPr>
        <w:t>运行维护</w:t>
      </w:r>
      <w:r>
        <w:rPr>
          <w:rFonts w:ascii="仿宋" w:hAnsi="仿宋" w:eastAsia="仿宋" w:cs="宋体"/>
          <w:color w:val="010101"/>
          <w:kern w:val="0"/>
          <w:sz w:val="32"/>
          <w:szCs w:val="32"/>
          <w:highlight w:val="none"/>
        </w:rPr>
        <w:t>费</w:t>
      </w:r>
      <w:r>
        <w:rPr>
          <w:rFonts w:hint="eastAsia" w:ascii="仿宋" w:hAnsi="仿宋" w:eastAsia="仿宋" w:cs="宋体"/>
          <w:color w:val="010101"/>
          <w:kern w:val="0"/>
          <w:sz w:val="32"/>
          <w:szCs w:val="32"/>
          <w:highlight w:val="none"/>
          <w:lang w:val="en-US" w:eastAsia="zh-CN"/>
        </w:rPr>
        <w:t>3.6</w:t>
      </w:r>
      <w:r>
        <w:rPr>
          <w:rFonts w:ascii="仿宋" w:hAnsi="仿宋" w:eastAsia="仿宋" w:cs="宋体"/>
          <w:color w:val="010101"/>
          <w:kern w:val="0"/>
          <w:sz w:val="32"/>
          <w:szCs w:val="32"/>
          <w:highlight w:val="none"/>
        </w:rPr>
        <w:t>万元。</w:t>
      </w:r>
      <w:r>
        <w:rPr>
          <w:rFonts w:hint="eastAsia" w:ascii="仿宋" w:hAnsi="仿宋" w:eastAsia="仿宋" w:cs="宋体"/>
          <w:color w:val="010101"/>
          <w:kern w:val="0"/>
          <w:sz w:val="32"/>
          <w:szCs w:val="32"/>
          <w:highlight w:val="none"/>
          <w:lang w:val="en-US" w:eastAsia="zh-CN"/>
        </w:rPr>
        <w:t>本年度共</w:t>
      </w:r>
      <w:r>
        <w:rPr>
          <w:rFonts w:ascii="仿宋" w:hAnsi="仿宋" w:eastAsia="仿宋" w:cs="宋体"/>
          <w:color w:val="010101"/>
          <w:kern w:val="0"/>
          <w:sz w:val="32"/>
          <w:szCs w:val="32"/>
          <w:highlight w:val="none"/>
        </w:rPr>
        <w:t>开支</w:t>
      </w:r>
      <w:r>
        <w:rPr>
          <w:rFonts w:hint="eastAsia" w:ascii="仿宋" w:hAnsi="仿宋" w:eastAsia="仿宋" w:cs="宋体"/>
          <w:color w:val="010101"/>
          <w:kern w:val="0"/>
          <w:sz w:val="32"/>
          <w:szCs w:val="32"/>
          <w:highlight w:val="none"/>
          <w:lang w:val="en-US" w:eastAsia="zh-CN"/>
        </w:rPr>
        <w:t>4.81</w:t>
      </w:r>
      <w:r>
        <w:rPr>
          <w:rFonts w:ascii="仿宋" w:hAnsi="仿宋" w:eastAsia="仿宋" w:cs="宋体"/>
          <w:color w:val="010101"/>
          <w:kern w:val="0"/>
          <w:sz w:val="32"/>
          <w:szCs w:val="32"/>
          <w:highlight w:val="none"/>
        </w:rPr>
        <w:t>万元，其中</w:t>
      </w:r>
      <w:r>
        <w:rPr>
          <w:rFonts w:hint="eastAsia" w:ascii="仿宋" w:hAnsi="仿宋" w:eastAsia="仿宋" w:cs="宋体"/>
          <w:color w:val="010101"/>
          <w:kern w:val="0"/>
          <w:sz w:val="32"/>
          <w:szCs w:val="32"/>
          <w:highlight w:val="none"/>
        </w:rPr>
        <w:t>：</w:t>
      </w:r>
      <w:r>
        <w:rPr>
          <w:rFonts w:ascii="仿宋" w:hAnsi="仿宋" w:eastAsia="仿宋" w:cs="宋体"/>
          <w:color w:val="010101"/>
          <w:kern w:val="0"/>
          <w:sz w:val="32"/>
          <w:szCs w:val="32"/>
          <w:highlight w:val="none"/>
        </w:rPr>
        <w:t>因公出国0万元</w:t>
      </w:r>
      <w:r>
        <w:rPr>
          <w:rFonts w:hint="eastAsia" w:ascii="仿宋" w:hAnsi="仿宋" w:eastAsia="仿宋" w:cs="宋体"/>
          <w:color w:val="010101"/>
          <w:kern w:val="0"/>
          <w:sz w:val="32"/>
          <w:szCs w:val="32"/>
          <w:highlight w:val="none"/>
        </w:rPr>
        <w:t>，</w:t>
      </w:r>
      <w:r>
        <w:rPr>
          <w:rFonts w:ascii="仿宋" w:hAnsi="仿宋" w:eastAsia="仿宋" w:cs="宋体"/>
          <w:color w:val="010101"/>
          <w:kern w:val="0"/>
          <w:sz w:val="32"/>
          <w:szCs w:val="32"/>
          <w:highlight w:val="none"/>
        </w:rPr>
        <w:t>公务接待费</w:t>
      </w:r>
      <w:r>
        <w:rPr>
          <w:rFonts w:hint="eastAsia" w:ascii="仿宋" w:hAnsi="仿宋" w:eastAsia="仿宋" w:cs="宋体"/>
          <w:color w:val="010101"/>
          <w:kern w:val="0"/>
          <w:sz w:val="32"/>
          <w:szCs w:val="32"/>
          <w:highlight w:val="none"/>
          <w:lang w:val="en-US" w:eastAsia="zh-CN"/>
        </w:rPr>
        <w:t>1.21</w:t>
      </w:r>
      <w:r>
        <w:rPr>
          <w:rFonts w:ascii="仿宋" w:hAnsi="仿宋" w:eastAsia="仿宋" w:cs="宋体"/>
          <w:color w:val="010101"/>
          <w:kern w:val="0"/>
          <w:sz w:val="32"/>
          <w:szCs w:val="32"/>
          <w:highlight w:val="none"/>
        </w:rPr>
        <w:t>万元</w:t>
      </w:r>
      <w:r>
        <w:rPr>
          <w:rFonts w:hint="eastAsia" w:ascii="仿宋" w:hAnsi="仿宋" w:eastAsia="仿宋" w:cs="宋体"/>
          <w:color w:val="010101"/>
          <w:kern w:val="0"/>
          <w:sz w:val="32"/>
          <w:szCs w:val="32"/>
          <w:highlight w:val="none"/>
        </w:rPr>
        <w:t>，</w:t>
      </w:r>
      <w:r>
        <w:rPr>
          <w:rFonts w:ascii="仿宋" w:hAnsi="仿宋" w:eastAsia="仿宋" w:cs="宋体"/>
          <w:color w:val="010101"/>
          <w:kern w:val="0"/>
          <w:sz w:val="32"/>
          <w:szCs w:val="32"/>
          <w:highlight w:val="none"/>
        </w:rPr>
        <w:t>公务用车</w:t>
      </w:r>
      <w:r>
        <w:rPr>
          <w:rFonts w:hint="eastAsia" w:ascii="仿宋" w:hAnsi="仿宋" w:eastAsia="仿宋" w:cs="宋体"/>
          <w:color w:val="010101"/>
          <w:kern w:val="0"/>
          <w:sz w:val="32"/>
          <w:szCs w:val="32"/>
          <w:highlight w:val="none"/>
          <w:lang w:val="en-US" w:eastAsia="zh-CN"/>
        </w:rPr>
        <w:t>运行维护</w:t>
      </w:r>
      <w:r>
        <w:rPr>
          <w:rFonts w:ascii="仿宋" w:hAnsi="仿宋" w:eastAsia="仿宋" w:cs="宋体"/>
          <w:color w:val="010101"/>
          <w:kern w:val="0"/>
          <w:sz w:val="32"/>
          <w:szCs w:val="32"/>
          <w:highlight w:val="none"/>
        </w:rPr>
        <w:t>费</w:t>
      </w:r>
      <w:r>
        <w:rPr>
          <w:rFonts w:hint="eastAsia" w:ascii="仿宋" w:hAnsi="仿宋" w:eastAsia="仿宋" w:cs="宋体"/>
          <w:color w:val="010101"/>
          <w:kern w:val="0"/>
          <w:sz w:val="32"/>
          <w:szCs w:val="32"/>
          <w:highlight w:val="none"/>
          <w:lang w:val="en-US" w:eastAsia="zh-CN"/>
        </w:rPr>
        <w:t>3.6</w:t>
      </w:r>
      <w:r>
        <w:rPr>
          <w:rFonts w:ascii="仿宋" w:hAnsi="仿宋" w:eastAsia="仿宋" w:cs="宋体"/>
          <w:color w:val="010101"/>
          <w:kern w:val="0"/>
          <w:sz w:val="32"/>
          <w:szCs w:val="32"/>
          <w:highlight w:val="none"/>
        </w:rPr>
        <w:t>万元。“三公经费”开支严格控制在年初预算范围内</w:t>
      </w:r>
      <w:r>
        <w:rPr>
          <w:rFonts w:hint="eastAsia" w:ascii="仿宋" w:hAnsi="仿宋" w:eastAsia="仿宋" w:cs="宋体"/>
          <w:color w:val="010101"/>
          <w:kern w:val="0"/>
          <w:sz w:val="32"/>
          <w:szCs w:val="32"/>
          <w:highlight w:val="none"/>
        </w:rPr>
        <w:t>。</w:t>
      </w:r>
      <w:r>
        <w:rPr>
          <w:rFonts w:hint="eastAsia" w:ascii="仿宋" w:hAnsi="仿宋" w:eastAsia="仿宋" w:cs="Times New Roman"/>
          <w:spacing w:val="-2"/>
          <w:kern w:val="2"/>
          <w:sz w:val="32"/>
          <w:szCs w:val="32"/>
          <w:highlight w:val="none"/>
          <w:lang w:val="en-US" w:eastAsia="zh-CN" w:bidi="ar-SA"/>
        </w:rPr>
        <w:t>“三公”经费总支出较上年4.98万元减少0.17万元，减少3.41%。主要是厉行节约，减少不必要的公务开支。</w:t>
      </w:r>
    </w:p>
    <w:p>
      <w:pPr>
        <w:keepNext w:val="0"/>
        <w:keepLines w:val="0"/>
        <w:pageBreakBefore w:val="0"/>
        <w:widowControl/>
        <w:shd w:val="clear" w:color="auto" w:fill="auto"/>
        <w:kinsoku/>
        <w:wordWrap/>
        <w:overflowPunct/>
        <w:topLinePunct w:val="0"/>
        <w:autoSpaceDE/>
        <w:autoSpaceDN/>
        <w:bidi w:val="0"/>
        <w:adjustRightInd/>
        <w:snapToGrid/>
        <w:spacing w:afterAutospacing="0" w:line="560" w:lineRule="exact"/>
        <w:ind w:firstLine="640" w:firstLineChars="200"/>
        <w:jc w:val="left"/>
        <w:rPr>
          <w:rFonts w:hint="default" w:ascii="仿宋" w:hAnsi="仿宋" w:eastAsia="仿宋" w:cs="仿宋_GB2312"/>
          <w:kern w:val="0"/>
          <w:sz w:val="32"/>
          <w:szCs w:val="32"/>
          <w:highlight w:val="none"/>
          <w:lang w:val="en-US" w:eastAsia="zh-CN"/>
        </w:rPr>
      </w:pPr>
      <w:r>
        <w:rPr>
          <w:rFonts w:hint="eastAsia" w:ascii="仿宋" w:hAnsi="仿宋" w:eastAsia="仿宋" w:cs="仿宋_GB2312"/>
          <w:kern w:val="0"/>
          <w:sz w:val="32"/>
          <w:szCs w:val="32"/>
          <w:highlight w:val="none"/>
          <w:lang w:val="en-US" w:eastAsia="zh-CN"/>
        </w:rPr>
        <w:t xml:space="preserve">（二）项目支出 </w:t>
      </w:r>
    </w:p>
    <w:p>
      <w:pPr>
        <w:keepNext w:val="0"/>
        <w:keepLines w:val="0"/>
        <w:pageBreakBefore w:val="0"/>
        <w:widowControl/>
        <w:shd w:val="clear" w:color="auto" w:fill="auto"/>
        <w:kinsoku/>
        <w:wordWrap/>
        <w:overflowPunct/>
        <w:topLinePunct w:val="0"/>
        <w:autoSpaceDE/>
        <w:autoSpaceDN/>
        <w:bidi w:val="0"/>
        <w:adjustRightInd/>
        <w:spacing w:line="560" w:lineRule="exact"/>
        <w:ind w:firstLine="632" w:firstLineChars="200"/>
        <w:rPr>
          <w:rFonts w:ascii="仿宋" w:hAnsi="仿宋" w:eastAsia="仿宋"/>
          <w:spacing w:val="-2"/>
          <w:sz w:val="32"/>
          <w:szCs w:val="32"/>
          <w:highlight w:val="none"/>
        </w:rPr>
      </w:pPr>
      <w:r>
        <w:rPr>
          <w:rFonts w:ascii="仿宋" w:hAnsi="仿宋" w:eastAsia="仿宋"/>
          <w:spacing w:val="-2"/>
          <w:sz w:val="32"/>
          <w:szCs w:val="32"/>
          <w:highlight w:val="none"/>
        </w:rPr>
        <w:t>1、</w:t>
      </w:r>
      <w:r>
        <w:rPr>
          <w:rFonts w:hint="eastAsia" w:ascii="仿宋" w:hAnsi="仿宋" w:eastAsia="仿宋"/>
          <w:spacing w:val="-2"/>
          <w:sz w:val="32"/>
          <w:szCs w:val="32"/>
          <w:highlight w:val="none"/>
          <w:lang w:eastAsia="zh-CN"/>
        </w:rPr>
        <w:t>项目</w:t>
      </w:r>
      <w:r>
        <w:rPr>
          <w:rFonts w:ascii="仿宋" w:hAnsi="仿宋" w:eastAsia="仿宋"/>
          <w:spacing w:val="-2"/>
          <w:sz w:val="32"/>
          <w:szCs w:val="32"/>
          <w:highlight w:val="none"/>
        </w:rPr>
        <w:t>资金（包括财政资金、自筹资金等）安排落实、总投入等情况分析。</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rightChars="0" w:firstLine="632" w:firstLineChars="200"/>
        <w:textAlignment w:val="auto"/>
        <w:rPr>
          <w:rFonts w:hint="default"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rPr>
        <w:t>202</w:t>
      </w:r>
      <w:r>
        <w:rPr>
          <w:rFonts w:hint="eastAsia" w:ascii="仿宋" w:hAnsi="仿宋" w:eastAsia="仿宋" w:cs="Times New Roman"/>
          <w:spacing w:val="-2"/>
          <w:sz w:val="32"/>
          <w:szCs w:val="32"/>
          <w:highlight w:val="none"/>
          <w:lang w:val="en-US" w:eastAsia="zh-CN"/>
        </w:rPr>
        <w:t>4</w:t>
      </w:r>
      <w:r>
        <w:rPr>
          <w:rFonts w:hint="eastAsia" w:ascii="仿宋" w:hAnsi="仿宋" w:eastAsia="仿宋" w:cs="Times New Roman"/>
          <w:spacing w:val="-2"/>
          <w:sz w:val="32"/>
          <w:szCs w:val="32"/>
          <w:highlight w:val="none"/>
        </w:rPr>
        <w:t>年</w:t>
      </w:r>
      <w:r>
        <w:rPr>
          <w:rFonts w:hint="eastAsia" w:ascii="仿宋" w:hAnsi="仿宋" w:eastAsia="仿宋" w:cs="Times New Roman"/>
          <w:spacing w:val="-2"/>
          <w:sz w:val="32"/>
          <w:szCs w:val="32"/>
          <w:highlight w:val="none"/>
          <w:lang w:val="en-US" w:eastAsia="zh-CN"/>
        </w:rPr>
        <w:t>我单位项目资金共38.02万元，其中专项业务工作经费36万元，主要</w:t>
      </w:r>
      <w:r>
        <w:rPr>
          <w:rFonts w:hint="eastAsia" w:ascii="仿宋" w:hAnsi="仿宋" w:eastAsia="仿宋" w:cs="Times New Roman"/>
          <w:spacing w:val="-2"/>
          <w:sz w:val="32"/>
          <w:szCs w:val="32"/>
          <w:highlight w:val="none"/>
        </w:rPr>
        <w:t>用于</w:t>
      </w:r>
      <w:r>
        <w:rPr>
          <w:rFonts w:hint="eastAsia" w:ascii="仿宋" w:hAnsi="仿宋" w:eastAsia="仿宋" w:cs="Times New Roman"/>
          <w:spacing w:val="-2"/>
          <w:sz w:val="32"/>
          <w:szCs w:val="32"/>
          <w:highlight w:val="none"/>
          <w:lang w:eastAsia="zh-CN"/>
        </w:rPr>
        <w:t>单位</w:t>
      </w:r>
      <w:r>
        <w:rPr>
          <w:rFonts w:hint="eastAsia" w:ascii="仿宋" w:hAnsi="仿宋" w:eastAsia="仿宋" w:cs="Times New Roman"/>
          <w:spacing w:val="-2"/>
          <w:sz w:val="32"/>
          <w:szCs w:val="32"/>
          <w:highlight w:val="none"/>
          <w:lang w:val="en-US" w:eastAsia="zh-CN"/>
        </w:rPr>
        <w:t>完成</w:t>
      </w:r>
      <w:r>
        <w:rPr>
          <w:rFonts w:hint="default" w:ascii="仿宋" w:hAnsi="仿宋" w:eastAsia="仿宋" w:cs="Times New Roman"/>
          <w:spacing w:val="-2"/>
          <w:sz w:val="32"/>
          <w:szCs w:val="32"/>
          <w:highlight w:val="none"/>
          <w:lang w:val="en-US" w:eastAsia="zh-CN"/>
        </w:rPr>
        <w:t>农机化各项工作</w:t>
      </w:r>
      <w:r>
        <w:rPr>
          <w:rFonts w:hint="eastAsia" w:ascii="仿宋" w:hAnsi="仿宋" w:eastAsia="仿宋" w:cs="Times New Roman"/>
          <w:spacing w:val="-2"/>
          <w:sz w:val="32"/>
          <w:szCs w:val="32"/>
          <w:highlight w:val="none"/>
          <w:lang w:val="en-US" w:eastAsia="zh-CN"/>
        </w:rPr>
        <w:t>目标发生的支出；人员类项目经费2.02万元，主要是单位公益性岗位补贴和建国初期参加工作人员医疗补助费用。</w:t>
      </w:r>
    </w:p>
    <w:p>
      <w:pPr>
        <w:keepNext w:val="0"/>
        <w:keepLines w:val="0"/>
        <w:pageBreakBefore w:val="0"/>
        <w:widowControl/>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cs="Times New Roman"/>
          <w:spacing w:val="-2"/>
          <w:sz w:val="32"/>
          <w:szCs w:val="32"/>
          <w:highlight w:val="none"/>
          <w:lang w:val="en-US" w:eastAsia="zh-CN"/>
        </w:rPr>
      </w:pPr>
      <w:r>
        <w:rPr>
          <w:rFonts w:hint="default" w:ascii="仿宋" w:hAnsi="仿宋" w:eastAsia="仿宋" w:cs="Times New Roman"/>
          <w:spacing w:val="-2"/>
          <w:sz w:val="32"/>
          <w:szCs w:val="32"/>
          <w:highlight w:val="none"/>
          <w:lang w:val="en-US" w:eastAsia="zh-CN"/>
        </w:rPr>
        <w:t>202</w:t>
      </w:r>
      <w:r>
        <w:rPr>
          <w:rFonts w:hint="eastAsia" w:ascii="仿宋" w:hAnsi="仿宋" w:eastAsia="仿宋" w:cs="Times New Roman"/>
          <w:spacing w:val="-2"/>
          <w:sz w:val="32"/>
          <w:szCs w:val="32"/>
          <w:highlight w:val="none"/>
          <w:lang w:val="en-US" w:eastAsia="zh-CN"/>
        </w:rPr>
        <w:t>4</w:t>
      </w:r>
      <w:r>
        <w:rPr>
          <w:rFonts w:hint="default" w:ascii="仿宋" w:hAnsi="仿宋" w:eastAsia="仿宋" w:cs="Times New Roman"/>
          <w:spacing w:val="-2"/>
          <w:sz w:val="32"/>
          <w:szCs w:val="32"/>
          <w:highlight w:val="none"/>
          <w:lang w:val="en-US" w:eastAsia="zh-CN"/>
        </w:rPr>
        <w:t>年年初</w:t>
      </w:r>
      <w:r>
        <w:rPr>
          <w:rFonts w:hint="eastAsia" w:ascii="仿宋" w:hAnsi="仿宋" w:eastAsia="仿宋" w:cs="Times New Roman"/>
          <w:spacing w:val="-2"/>
          <w:sz w:val="32"/>
          <w:szCs w:val="32"/>
          <w:highlight w:val="none"/>
          <w:lang w:val="en-US" w:eastAsia="zh-CN"/>
        </w:rPr>
        <w:t>项目支出</w:t>
      </w:r>
      <w:r>
        <w:rPr>
          <w:rFonts w:hint="default" w:ascii="仿宋" w:hAnsi="仿宋" w:eastAsia="仿宋" w:cs="Times New Roman"/>
          <w:spacing w:val="-2"/>
          <w:sz w:val="32"/>
          <w:szCs w:val="32"/>
          <w:highlight w:val="none"/>
          <w:lang w:val="en-US" w:eastAsia="zh-CN"/>
        </w:rPr>
        <w:t>预算数为</w:t>
      </w:r>
      <w:r>
        <w:rPr>
          <w:rFonts w:hint="eastAsia" w:ascii="仿宋" w:hAnsi="仿宋" w:eastAsia="仿宋" w:cs="Times New Roman"/>
          <w:spacing w:val="-2"/>
          <w:sz w:val="32"/>
          <w:szCs w:val="32"/>
          <w:highlight w:val="none"/>
          <w:lang w:val="en-US" w:eastAsia="zh-CN"/>
        </w:rPr>
        <w:t>23</w:t>
      </w:r>
      <w:r>
        <w:rPr>
          <w:rFonts w:hint="default" w:ascii="仿宋" w:hAnsi="仿宋" w:eastAsia="仿宋" w:cs="Times New Roman"/>
          <w:spacing w:val="-2"/>
          <w:sz w:val="32"/>
          <w:szCs w:val="32"/>
          <w:highlight w:val="none"/>
          <w:lang w:val="en-US" w:eastAsia="zh-CN"/>
        </w:rPr>
        <w:t>万元</w:t>
      </w:r>
      <w:r>
        <w:rPr>
          <w:rFonts w:hint="eastAsia" w:ascii="仿宋" w:hAnsi="仿宋" w:eastAsia="仿宋" w:cs="Times New Roman"/>
          <w:spacing w:val="-2"/>
          <w:sz w:val="32"/>
          <w:szCs w:val="32"/>
          <w:highlight w:val="none"/>
        </w:rPr>
        <w:t>，</w:t>
      </w:r>
      <w:r>
        <w:rPr>
          <w:rFonts w:hint="eastAsia" w:ascii="仿宋" w:hAnsi="仿宋" w:eastAsia="仿宋" w:cs="Times New Roman"/>
          <w:spacing w:val="-2"/>
          <w:sz w:val="32"/>
          <w:szCs w:val="32"/>
          <w:highlight w:val="none"/>
          <w:lang w:eastAsia="zh-CN"/>
        </w:rPr>
        <w:t>年中追加</w:t>
      </w:r>
      <w:r>
        <w:rPr>
          <w:rFonts w:hint="eastAsia" w:ascii="仿宋" w:hAnsi="仿宋" w:eastAsia="仿宋" w:cs="Times New Roman"/>
          <w:spacing w:val="-2"/>
          <w:sz w:val="32"/>
          <w:szCs w:val="32"/>
          <w:highlight w:val="none"/>
          <w:lang w:val="en-US" w:eastAsia="zh-CN"/>
        </w:rPr>
        <w:t>15.02万元。其中:农机购置补贴工作经费10.5万元，执法监管工作经费5万元，农机推广工作经费5万元，智慧智能农机工作经费2.5万元；农机安全生产、变型拖拉机淘汰报废工作经费支出10万元；水稻机插抛育秧现场培训会及农机技推广工作经费支出3万元。本年度市财政安排专项业务工作经费共36万元，人员类项目经费2.02万元，预算资金全部拨付到位。</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leftChars="0" w:firstLine="632" w:firstLineChars="200"/>
        <w:rPr>
          <w:rFonts w:ascii="仿宋" w:hAnsi="仿宋" w:eastAsia="仿宋"/>
          <w:spacing w:val="-2"/>
          <w:sz w:val="32"/>
          <w:szCs w:val="32"/>
          <w:highlight w:val="none"/>
        </w:rPr>
      </w:pPr>
      <w:r>
        <w:rPr>
          <w:rFonts w:hint="eastAsia" w:ascii="仿宋" w:hAnsi="仿宋" w:eastAsia="仿宋"/>
          <w:spacing w:val="-2"/>
          <w:sz w:val="32"/>
          <w:szCs w:val="32"/>
          <w:highlight w:val="none"/>
          <w:lang w:val="en-US" w:eastAsia="zh-CN"/>
        </w:rPr>
        <w:t>2、项目</w:t>
      </w:r>
      <w:r>
        <w:rPr>
          <w:rFonts w:ascii="仿宋" w:hAnsi="仿宋" w:eastAsia="仿宋"/>
          <w:spacing w:val="-2"/>
          <w:sz w:val="32"/>
          <w:szCs w:val="32"/>
          <w:highlight w:val="none"/>
        </w:rPr>
        <w:t>资金（主要指财政资金）实际使用情况分析。</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leftChars="0" w:firstLine="632" w:firstLineChars="200"/>
        <w:rPr>
          <w:rFonts w:hint="default"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rPr>
        <w:t>202</w:t>
      </w:r>
      <w:r>
        <w:rPr>
          <w:rFonts w:hint="eastAsia" w:ascii="仿宋" w:hAnsi="仿宋" w:eastAsia="仿宋" w:cs="Times New Roman"/>
          <w:spacing w:val="-2"/>
          <w:sz w:val="32"/>
          <w:szCs w:val="32"/>
          <w:highlight w:val="none"/>
          <w:lang w:val="en-US" w:eastAsia="zh-CN"/>
        </w:rPr>
        <w:t>4</w:t>
      </w:r>
      <w:r>
        <w:rPr>
          <w:rFonts w:hint="eastAsia" w:ascii="仿宋" w:hAnsi="仿宋" w:eastAsia="仿宋" w:cs="Times New Roman"/>
          <w:spacing w:val="-2"/>
          <w:sz w:val="32"/>
          <w:szCs w:val="32"/>
          <w:highlight w:val="none"/>
        </w:rPr>
        <w:t>年项目实际支出</w:t>
      </w:r>
      <w:r>
        <w:rPr>
          <w:rFonts w:hint="eastAsia" w:ascii="仿宋" w:hAnsi="仿宋" w:eastAsia="仿宋" w:cs="Times New Roman"/>
          <w:spacing w:val="-2"/>
          <w:sz w:val="32"/>
          <w:szCs w:val="32"/>
          <w:highlight w:val="none"/>
          <w:lang w:val="en-US" w:eastAsia="zh-CN"/>
        </w:rPr>
        <w:t>37.84</w:t>
      </w:r>
      <w:r>
        <w:rPr>
          <w:rFonts w:hint="eastAsia" w:ascii="仿宋" w:hAnsi="仿宋" w:eastAsia="仿宋" w:cs="Times New Roman"/>
          <w:spacing w:val="-2"/>
          <w:sz w:val="32"/>
          <w:szCs w:val="32"/>
          <w:highlight w:val="none"/>
        </w:rPr>
        <w:t>万元，资金使用率99.</w:t>
      </w:r>
      <w:r>
        <w:rPr>
          <w:rFonts w:hint="eastAsia" w:ascii="仿宋" w:hAnsi="仿宋" w:eastAsia="仿宋" w:cs="Times New Roman"/>
          <w:spacing w:val="-2"/>
          <w:sz w:val="32"/>
          <w:szCs w:val="32"/>
          <w:highlight w:val="none"/>
          <w:lang w:val="en-US" w:eastAsia="zh-CN"/>
        </w:rPr>
        <w:t>4</w:t>
      </w:r>
      <w:r>
        <w:rPr>
          <w:rFonts w:hint="eastAsia" w:ascii="仿宋" w:hAnsi="仿宋" w:eastAsia="仿宋" w:cs="Times New Roman"/>
          <w:spacing w:val="-2"/>
          <w:sz w:val="32"/>
          <w:szCs w:val="32"/>
          <w:highlight w:val="none"/>
        </w:rPr>
        <w:t>7%。其中：农机购置补贴工作经费支出</w:t>
      </w:r>
      <w:r>
        <w:rPr>
          <w:rFonts w:hint="eastAsia" w:ascii="仿宋" w:hAnsi="仿宋" w:eastAsia="仿宋" w:cs="Times New Roman"/>
          <w:spacing w:val="-2"/>
          <w:sz w:val="32"/>
          <w:szCs w:val="32"/>
          <w:highlight w:val="none"/>
          <w:lang w:val="en-US" w:eastAsia="zh-CN"/>
        </w:rPr>
        <w:t>10.31</w:t>
      </w:r>
      <w:r>
        <w:rPr>
          <w:rFonts w:hint="eastAsia" w:ascii="仿宋" w:hAnsi="仿宋" w:eastAsia="仿宋" w:cs="Times New Roman"/>
          <w:spacing w:val="-2"/>
          <w:sz w:val="32"/>
          <w:szCs w:val="32"/>
          <w:highlight w:val="none"/>
        </w:rPr>
        <w:t>万元，主要用于农机购置补贴政策的实施及购置补贴实施情况的督查核查、新进补贴机具的演示工作所需的日常经费开支；执法监管工作经费支出</w:t>
      </w:r>
      <w:r>
        <w:rPr>
          <w:rFonts w:hint="eastAsia" w:ascii="仿宋" w:hAnsi="仿宋" w:eastAsia="仿宋" w:cs="Times New Roman"/>
          <w:spacing w:val="-2"/>
          <w:sz w:val="32"/>
          <w:szCs w:val="32"/>
          <w:highlight w:val="none"/>
          <w:lang w:val="en-US" w:eastAsia="zh-CN"/>
        </w:rPr>
        <w:t>5</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val="en-US" w:eastAsia="zh-CN"/>
        </w:rPr>
        <w:t>主要用于农机安全生产工作的检查和指导工作所需的日常经费开支；农机推广工作经费支出5万元，主要用于新机具、新技术的推广及应用工作所需的日常经费开支；智慧智能农机工作经费支出2.5万元，主要用于补齐农机短板所需日常经费开支；农机安全生产、变型拖拉机淘汰报废工作经费支出10万元，主要用于整治全市农机安全生产，变型拖拉机淘汰报废工作的日常开支；水稻机插抛育秧现场培训会及农机技推广工作经费支出3万元，主要用于市县区涉及农机推广方面培训所需的开支；公益性岗位补贴资金1.22万元；建国初期参加工作人员医疗补助0.8万元。</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leftChars="0" w:firstLine="632" w:firstLineChars="200"/>
        <w:rPr>
          <w:rFonts w:ascii="仿宋" w:hAnsi="仿宋" w:eastAsia="仿宋"/>
          <w:spacing w:val="-2"/>
          <w:sz w:val="32"/>
          <w:szCs w:val="32"/>
          <w:highlight w:val="none"/>
        </w:rPr>
      </w:pPr>
      <w:r>
        <w:rPr>
          <w:rFonts w:hint="eastAsia" w:ascii="仿宋" w:hAnsi="仿宋" w:eastAsia="仿宋"/>
          <w:spacing w:val="-2"/>
          <w:sz w:val="32"/>
          <w:szCs w:val="32"/>
          <w:highlight w:val="none"/>
          <w:lang w:val="en-US" w:eastAsia="zh-CN"/>
        </w:rPr>
        <w:t>3、</w:t>
      </w:r>
      <w:r>
        <w:rPr>
          <w:rFonts w:ascii="仿宋" w:hAnsi="仿宋" w:eastAsia="仿宋"/>
          <w:spacing w:val="-2"/>
          <w:sz w:val="32"/>
          <w:szCs w:val="32"/>
          <w:highlight w:val="none"/>
        </w:rPr>
        <w:t>专项资金管理情况分析，主要包括管理制度、办法的制订及执行情况。</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default" w:ascii="仿宋" w:hAnsi="仿宋" w:eastAsia="仿宋" w:cs="Times New Roman"/>
          <w:spacing w:val="-2"/>
          <w:sz w:val="32"/>
          <w:szCs w:val="32"/>
          <w:highlight w:val="none"/>
          <w:lang w:val="en-US" w:eastAsia="zh-CN"/>
        </w:rPr>
      </w:pPr>
      <w:r>
        <w:rPr>
          <w:rFonts w:hint="eastAsia" w:ascii="仿宋" w:hAnsi="仿宋" w:eastAsia="仿宋"/>
          <w:spacing w:val="-2"/>
          <w:sz w:val="32"/>
          <w:szCs w:val="32"/>
          <w:highlight w:val="none"/>
          <w:lang w:val="en-US" w:eastAsia="zh-CN"/>
        </w:rPr>
        <w:t>我中心</w:t>
      </w:r>
      <w:r>
        <w:rPr>
          <w:rFonts w:ascii="仿宋" w:hAnsi="仿宋" w:eastAsia="仿宋" w:cs="宋体"/>
          <w:color w:val="010101"/>
          <w:kern w:val="0"/>
          <w:sz w:val="32"/>
          <w:szCs w:val="32"/>
          <w:highlight w:val="none"/>
        </w:rPr>
        <w:t>制定了</w:t>
      </w:r>
      <w:r>
        <w:rPr>
          <w:rFonts w:hint="eastAsia" w:ascii="仿宋" w:hAnsi="仿宋" w:eastAsia="仿宋" w:cs="宋体"/>
          <w:color w:val="010101"/>
          <w:kern w:val="0"/>
          <w:sz w:val="32"/>
          <w:szCs w:val="32"/>
          <w:highlight w:val="none"/>
          <w:lang w:eastAsia="zh-CN"/>
        </w:rPr>
        <w:t>《</w:t>
      </w:r>
      <w:r>
        <w:rPr>
          <w:rFonts w:hint="eastAsia" w:ascii="仿宋" w:hAnsi="仿宋" w:eastAsia="仿宋" w:cs="宋体"/>
          <w:color w:val="010101"/>
          <w:kern w:val="0"/>
          <w:sz w:val="32"/>
          <w:szCs w:val="32"/>
          <w:highlight w:val="none"/>
          <w:lang w:val="en-US" w:eastAsia="zh-CN"/>
        </w:rPr>
        <w:t>预算资金管理制度</w:t>
      </w:r>
      <w:r>
        <w:rPr>
          <w:rFonts w:hint="eastAsia" w:ascii="仿宋" w:hAnsi="仿宋" w:eastAsia="仿宋" w:cs="宋体"/>
          <w:color w:val="010101"/>
          <w:kern w:val="0"/>
          <w:sz w:val="32"/>
          <w:szCs w:val="32"/>
          <w:highlight w:val="none"/>
          <w:lang w:eastAsia="zh-CN"/>
        </w:rPr>
        <w:t>》《</w:t>
      </w:r>
      <w:r>
        <w:rPr>
          <w:rFonts w:hint="eastAsia" w:ascii="仿宋" w:hAnsi="仿宋" w:eastAsia="仿宋" w:cs="宋体"/>
          <w:color w:val="010101"/>
          <w:kern w:val="0"/>
          <w:sz w:val="32"/>
          <w:szCs w:val="32"/>
          <w:highlight w:val="none"/>
          <w:lang w:val="en-US" w:eastAsia="zh-CN"/>
        </w:rPr>
        <w:t>项</w:t>
      </w:r>
      <w:r>
        <w:rPr>
          <w:rFonts w:hint="eastAsia" w:ascii="仿宋" w:hAnsi="仿宋" w:eastAsia="仿宋" w:cs="宋体"/>
          <w:color w:val="010101"/>
          <w:kern w:val="0"/>
          <w:sz w:val="32"/>
          <w:szCs w:val="32"/>
          <w:highlight w:val="none"/>
        </w:rPr>
        <w:t>目资金管理制度</w:t>
      </w:r>
      <w:r>
        <w:rPr>
          <w:rFonts w:hint="eastAsia" w:ascii="仿宋" w:hAnsi="仿宋" w:eastAsia="仿宋" w:cs="宋体"/>
          <w:color w:val="010101"/>
          <w:kern w:val="0"/>
          <w:sz w:val="32"/>
          <w:szCs w:val="32"/>
          <w:highlight w:val="none"/>
          <w:lang w:eastAsia="zh-CN"/>
        </w:rPr>
        <w:t>》</w:t>
      </w:r>
      <w:r>
        <w:rPr>
          <w:rFonts w:hint="eastAsia" w:ascii="仿宋" w:hAnsi="仿宋" w:eastAsia="仿宋" w:cs="宋体"/>
          <w:color w:val="010101"/>
          <w:kern w:val="0"/>
          <w:sz w:val="32"/>
          <w:szCs w:val="32"/>
          <w:highlight w:val="none"/>
          <w:lang w:val="en-US" w:eastAsia="zh-CN"/>
        </w:rPr>
        <w:t>等财务管理制度，严格按照财政相关要求及内部管理制度执行，对项目资金实行专款专用，不存在截留、挤占、挪用、虚列支出等情况。</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项目组织实施情况</w:t>
      </w:r>
    </w:p>
    <w:p>
      <w:pPr>
        <w:keepNext w:val="0"/>
        <w:keepLines w:val="0"/>
        <w:pageBreakBefore w:val="0"/>
        <w:widowControl/>
        <w:numPr>
          <w:ilvl w:val="0"/>
          <w:numId w:val="3"/>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eastAsia="zh-CN"/>
        </w:rPr>
      </w:pPr>
      <w:r>
        <w:rPr>
          <w:rFonts w:hint="eastAsia" w:ascii="仿宋" w:hAnsi="仿宋" w:eastAsia="仿宋"/>
          <w:spacing w:val="-2"/>
          <w:sz w:val="32"/>
          <w:szCs w:val="32"/>
          <w:highlight w:val="none"/>
          <w:lang w:eastAsia="zh-CN"/>
        </w:rPr>
        <w:t>项目组织情况分析</w:t>
      </w:r>
    </w:p>
    <w:p>
      <w:pPr>
        <w:keepNext w:val="0"/>
        <w:keepLines w:val="0"/>
        <w:pageBreakBefore w:val="0"/>
        <w:widowControl/>
        <w:shd w:val="clear" w:color="auto" w:fill="auto"/>
        <w:kinsoku/>
        <w:wordWrap/>
        <w:overflowPunct/>
        <w:topLinePunct w:val="0"/>
        <w:autoSpaceDE/>
        <w:autoSpaceDN/>
        <w:bidi w:val="0"/>
        <w:adjustRightInd/>
        <w:spacing w:line="560" w:lineRule="exact"/>
        <w:ind w:firstLine="632" w:firstLineChars="200"/>
        <w:rPr>
          <w:rFonts w:hint="eastAsia"/>
          <w:lang w:eastAsia="zh-CN"/>
        </w:rPr>
      </w:pPr>
      <w:r>
        <w:rPr>
          <w:rFonts w:hint="eastAsia" w:ascii="仿宋" w:hAnsi="仿宋" w:eastAsia="仿宋"/>
          <w:spacing w:val="-2"/>
          <w:sz w:val="32"/>
          <w:szCs w:val="32"/>
          <w:highlight w:val="none"/>
          <w:lang w:eastAsia="zh-CN"/>
        </w:rPr>
        <w:t>我单位没有需要招标标、调整、竣工验收等情况的项目建设。各业务部室</w:t>
      </w:r>
      <w:r>
        <w:rPr>
          <w:rFonts w:ascii="仿宋" w:hAnsi="仿宋" w:eastAsia="仿宋"/>
          <w:spacing w:val="-2"/>
          <w:sz w:val="32"/>
          <w:szCs w:val="32"/>
          <w:highlight w:val="none"/>
        </w:rPr>
        <w:t>负责项目的执行管理工作，</w:t>
      </w:r>
      <w:r>
        <w:rPr>
          <w:rFonts w:hint="eastAsia" w:ascii="仿宋" w:hAnsi="仿宋" w:eastAsia="仿宋"/>
          <w:spacing w:val="-2"/>
          <w:sz w:val="32"/>
          <w:szCs w:val="32"/>
          <w:highlight w:val="none"/>
          <w:lang w:eastAsia="zh-CN"/>
        </w:rPr>
        <w:t>引导监督县市区完成项目指标。</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620" w:firstLineChars="200"/>
        <w:rPr>
          <w:rFonts w:hint="eastAsia"/>
          <w:lang w:eastAsia="zh-CN"/>
        </w:rPr>
      </w:pPr>
      <w:r>
        <w:rPr>
          <w:rFonts w:hint="eastAsia"/>
          <w:lang w:eastAsia="zh-CN"/>
        </w:rPr>
        <w:t>（二）项目管理情况分析</w:t>
      </w:r>
    </w:p>
    <w:p>
      <w:pPr>
        <w:keepNext w:val="0"/>
        <w:keepLines w:val="0"/>
        <w:pageBreakBefore w:val="0"/>
        <w:widowControl/>
        <w:shd w:val="clear" w:color="auto" w:fill="auto"/>
        <w:kinsoku/>
        <w:wordWrap/>
        <w:overflowPunct/>
        <w:topLinePunct w:val="0"/>
        <w:autoSpaceDE/>
        <w:autoSpaceDN/>
        <w:bidi w:val="0"/>
        <w:adjustRightInd/>
        <w:spacing w:line="560" w:lineRule="exact"/>
        <w:ind w:firstLine="632" w:firstLineChars="200"/>
        <w:rPr>
          <w:rFonts w:hint="eastAsia" w:ascii="黑体" w:hAnsi="黑体" w:eastAsia="黑体" w:cs="黑体"/>
          <w:i w:val="0"/>
          <w:iCs w:val="0"/>
          <w:caps w:val="0"/>
          <w:color w:val="000000"/>
          <w:spacing w:val="0"/>
          <w:sz w:val="32"/>
          <w:szCs w:val="32"/>
          <w:shd w:val="clear" w:fill="FFFFFF"/>
        </w:rPr>
      </w:pPr>
      <w:r>
        <w:rPr>
          <w:rFonts w:ascii="仿宋" w:hAnsi="仿宋" w:eastAsia="仿宋"/>
          <w:spacing w:val="-2"/>
          <w:sz w:val="32"/>
          <w:szCs w:val="32"/>
          <w:highlight w:val="none"/>
        </w:rPr>
        <w:t>我单位</w:t>
      </w:r>
      <w:r>
        <w:rPr>
          <w:rFonts w:hint="eastAsia" w:ascii="仿宋" w:hAnsi="仿宋" w:eastAsia="仿宋"/>
          <w:spacing w:val="-2"/>
          <w:sz w:val="32"/>
          <w:szCs w:val="32"/>
          <w:highlight w:val="none"/>
          <w:lang w:eastAsia="zh-CN"/>
        </w:rPr>
        <w:t>人事和</w:t>
      </w:r>
      <w:r>
        <w:rPr>
          <w:rFonts w:ascii="仿宋" w:hAnsi="仿宋" w:eastAsia="仿宋"/>
          <w:spacing w:val="-2"/>
          <w:sz w:val="32"/>
          <w:szCs w:val="32"/>
          <w:highlight w:val="none"/>
        </w:rPr>
        <w:t>财务部负责项目的资金管理，资金收付业务及会计核算工作，并负责向领导及职能部门反馈收支进度情况。相关职能部门负责项目的执行管理工作，即项目的申报、项目的实施、项目资金使用情况的监督、评价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四、资产管理情况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Chars="0" w:right="0" w:rightChars="0" w:firstLine="632"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Times New Roman"/>
          <w:spacing w:val="-2"/>
          <w:sz w:val="32"/>
          <w:szCs w:val="32"/>
          <w:highlight w:val="none"/>
          <w:lang w:val="en-US" w:eastAsia="zh-CN"/>
        </w:rPr>
        <w:t>我中心制定了固定</w:t>
      </w:r>
      <w:r>
        <w:rPr>
          <w:rFonts w:ascii="仿宋" w:hAnsi="仿宋" w:eastAsia="仿宋" w:cs="Times New Roman"/>
          <w:spacing w:val="-2"/>
          <w:sz w:val="32"/>
          <w:szCs w:val="32"/>
          <w:highlight w:val="none"/>
        </w:rPr>
        <w:t>资产管理</w:t>
      </w:r>
      <w:r>
        <w:rPr>
          <w:rFonts w:hint="eastAsia" w:ascii="仿宋" w:hAnsi="仿宋" w:eastAsia="仿宋" w:cs="Times New Roman"/>
          <w:spacing w:val="-2"/>
          <w:sz w:val="32"/>
          <w:szCs w:val="32"/>
          <w:highlight w:val="none"/>
          <w:lang w:val="en-US" w:eastAsia="zh-CN"/>
        </w:rPr>
        <w:t>制度</w:t>
      </w:r>
      <w:r>
        <w:rPr>
          <w:rFonts w:ascii="仿宋" w:hAnsi="仿宋" w:eastAsia="仿宋" w:cs="Times New Roman"/>
          <w:spacing w:val="-2"/>
          <w:sz w:val="32"/>
          <w:szCs w:val="32"/>
          <w:highlight w:val="none"/>
        </w:rPr>
        <w:t>，</w:t>
      </w:r>
      <w:r>
        <w:rPr>
          <w:rFonts w:hint="eastAsia" w:ascii="仿宋" w:hAnsi="仿宋" w:eastAsia="仿宋" w:cs="Times New Roman"/>
          <w:spacing w:val="-2"/>
          <w:sz w:val="32"/>
          <w:szCs w:val="32"/>
          <w:highlight w:val="none"/>
          <w:lang w:val="en-US" w:eastAsia="zh-CN"/>
        </w:rPr>
        <w:t>资产的</w:t>
      </w:r>
      <w:r>
        <w:rPr>
          <w:rFonts w:ascii="仿宋" w:hAnsi="仿宋" w:eastAsia="仿宋"/>
          <w:spacing w:val="-2"/>
          <w:sz w:val="32"/>
          <w:szCs w:val="32"/>
          <w:highlight w:val="none"/>
        </w:rPr>
        <w:t>配置、管理、处置</w:t>
      </w:r>
      <w:r>
        <w:rPr>
          <w:rFonts w:hint="eastAsia" w:ascii="仿宋" w:hAnsi="仿宋" w:eastAsia="仿宋" w:cs="Times New Roman"/>
          <w:spacing w:val="-2"/>
          <w:sz w:val="32"/>
          <w:szCs w:val="32"/>
          <w:highlight w:val="none"/>
          <w:lang w:val="en-US" w:eastAsia="zh-CN"/>
        </w:rPr>
        <w:t>严格遵循资产管理要求</w:t>
      </w:r>
      <w:r>
        <w:rPr>
          <w:rFonts w:ascii="仿宋" w:hAnsi="仿宋" w:eastAsia="仿宋" w:cs="Times New Roman"/>
          <w:spacing w:val="-2"/>
          <w:sz w:val="32"/>
          <w:szCs w:val="32"/>
          <w:highlight w:val="none"/>
        </w:rPr>
        <w:t>，做到资产统一采购、专人管理、定期盘点</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lang w:val="en-US" w:eastAsia="zh-CN"/>
        </w:rPr>
        <w:t>集中处置，</w:t>
      </w:r>
      <w:r>
        <w:rPr>
          <w:rFonts w:ascii="仿宋" w:hAnsi="仿宋" w:eastAsia="仿宋" w:cs="Times New Roman"/>
          <w:spacing w:val="-2"/>
          <w:sz w:val="32"/>
          <w:szCs w:val="32"/>
          <w:highlight w:val="none"/>
        </w:rPr>
        <w:t>确保资产账账相符、账实相符。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五、</w:t>
      </w:r>
      <w:r>
        <w:rPr>
          <w:rFonts w:hint="eastAsia" w:ascii="黑体" w:hAnsi="黑体" w:eastAsia="黑体" w:cs="黑体"/>
          <w:i w:val="0"/>
          <w:iCs w:val="0"/>
          <w:caps w:val="0"/>
          <w:color w:val="000000"/>
          <w:spacing w:val="0"/>
          <w:sz w:val="32"/>
          <w:szCs w:val="32"/>
          <w:shd w:val="clear" w:fill="FFFFFF"/>
        </w:rPr>
        <w:t>政府性基金预算支出情况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eastAsia="zh-CN"/>
        </w:rPr>
        <w:t>本单位</w:t>
      </w:r>
      <w:r>
        <w:rPr>
          <w:rFonts w:hint="eastAsia" w:ascii="仿宋" w:hAnsi="仿宋" w:eastAsia="仿宋" w:cs="仿宋"/>
          <w:b w:val="0"/>
          <w:bCs w:val="0"/>
          <w:i w:val="0"/>
          <w:iCs w:val="0"/>
          <w:caps w:val="0"/>
          <w:color w:val="000000"/>
          <w:spacing w:val="0"/>
          <w:sz w:val="32"/>
          <w:szCs w:val="32"/>
          <w:shd w:val="clear" w:fill="FFFFFF"/>
          <w:lang w:val="en-US" w:eastAsia="zh-CN"/>
        </w:rPr>
        <w:t>2024年度无政府性基金预算支出。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六、</w:t>
      </w:r>
      <w:r>
        <w:rPr>
          <w:rFonts w:hint="eastAsia" w:ascii="黑体" w:hAnsi="黑体" w:eastAsia="黑体" w:cs="黑体"/>
          <w:i w:val="0"/>
          <w:iCs w:val="0"/>
          <w:caps w:val="0"/>
          <w:color w:val="000000"/>
          <w:spacing w:val="0"/>
          <w:sz w:val="32"/>
          <w:szCs w:val="32"/>
          <w:shd w:val="clear" w:fill="FFFFFF"/>
        </w:rPr>
        <w:t>国有资本经营预算支出情况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eastAsia="zh-CN"/>
        </w:rPr>
        <w:t>本单位</w:t>
      </w:r>
      <w:r>
        <w:rPr>
          <w:rFonts w:hint="eastAsia" w:ascii="仿宋" w:hAnsi="仿宋" w:eastAsia="仿宋" w:cs="仿宋"/>
          <w:b w:val="0"/>
          <w:bCs w:val="0"/>
          <w:i w:val="0"/>
          <w:iCs w:val="0"/>
          <w:caps w:val="0"/>
          <w:color w:val="000000"/>
          <w:spacing w:val="0"/>
          <w:sz w:val="32"/>
          <w:szCs w:val="32"/>
          <w:shd w:val="clear" w:fill="FFFFFF"/>
          <w:lang w:val="en-US" w:eastAsia="zh-CN"/>
        </w:rPr>
        <w:t>2024年无国有资本经营预算支出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七、</w:t>
      </w:r>
      <w:r>
        <w:rPr>
          <w:rFonts w:hint="eastAsia" w:ascii="黑体" w:hAnsi="黑体" w:eastAsia="黑体" w:cs="黑体"/>
          <w:i w:val="0"/>
          <w:iCs w:val="0"/>
          <w:caps w:val="0"/>
          <w:color w:val="000000"/>
          <w:spacing w:val="0"/>
          <w:sz w:val="32"/>
          <w:szCs w:val="32"/>
          <w:shd w:val="clear" w:fill="FFFFFF"/>
        </w:rPr>
        <w:t>社会保险基金预算支出情况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本单位</w:t>
      </w:r>
      <w:r>
        <w:rPr>
          <w:rFonts w:hint="eastAsia" w:ascii="仿宋" w:hAnsi="仿宋" w:eastAsia="仿宋" w:cs="仿宋"/>
          <w:i w:val="0"/>
          <w:iCs w:val="0"/>
          <w:caps w:val="0"/>
          <w:color w:val="000000"/>
          <w:spacing w:val="0"/>
          <w:sz w:val="32"/>
          <w:szCs w:val="32"/>
          <w:shd w:val="clear" w:fill="FFFFFF"/>
          <w:lang w:val="en-US" w:eastAsia="zh-CN"/>
        </w:rPr>
        <w:t xml:space="preserve">2024年度无社会保险基金预算支出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、部门整体支出绩效情况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_GB2312"/>
          <w:kern w:val="0"/>
          <w:sz w:val="32"/>
          <w:szCs w:val="32"/>
          <w:highlight w:val="none"/>
          <w:lang w:val="en-US" w:eastAsia="zh-CN" w:bidi="ar-SA"/>
        </w:rPr>
      </w:pPr>
      <w:r>
        <w:rPr>
          <w:rFonts w:hint="eastAsia" w:ascii="仿宋" w:hAnsi="仿宋" w:eastAsia="仿宋" w:cs="仿宋_GB2312"/>
          <w:kern w:val="0"/>
          <w:sz w:val="32"/>
          <w:szCs w:val="32"/>
          <w:highlight w:val="none"/>
          <w:lang w:val="en-US" w:eastAsia="zh-CN" w:bidi="ar-SA"/>
        </w:rPr>
        <w:t>2024年度我中心严格按照绩效目标要求对本单位进行绩效评价，较好地完成了年度计划，自评得分94.96分，等级优。</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ascii="仿宋" w:hAnsi="仿宋" w:eastAsia="仿宋" w:cs="Times New Roman"/>
          <w:spacing w:val="-2"/>
          <w:sz w:val="32"/>
          <w:szCs w:val="32"/>
          <w:highlight w:val="none"/>
        </w:rPr>
      </w:pPr>
      <w:r>
        <w:rPr>
          <w:rFonts w:ascii="仿宋" w:hAnsi="仿宋" w:eastAsia="仿宋"/>
          <w:spacing w:val="-2"/>
          <w:sz w:val="32"/>
          <w:szCs w:val="32"/>
          <w:highlight w:val="none"/>
        </w:rPr>
        <w:t>经济性</w:t>
      </w:r>
      <w:r>
        <w:rPr>
          <w:rFonts w:hint="eastAsia" w:ascii="仿宋" w:hAnsi="仿宋" w:eastAsia="仿宋"/>
          <w:spacing w:val="-2"/>
          <w:sz w:val="32"/>
          <w:szCs w:val="32"/>
          <w:highlight w:val="none"/>
          <w:lang w:val="en-US" w:eastAsia="zh-CN"/>
        </w:rPr>
        <w:t>分析：</w:t>
      </w:r>
    </w:p>
    <w:p>
      <w:pPr>
        <w:keepNext w:val="0"/>
        <w:keepLines w:val="0"/>
        <w:pageBreakBefore w:val="0"/>
        <w:widowControl/>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cs="Times New Roman"/>
          <w:spacing w:val="-2"/>
          <w:sz w:val="32"/>
          <w:szCs w:val="32"/>
          <w:highlight w:val="none"/>
          <w:lang w:val="en-US" w:eastAsia="zh-CN"/>
        </w:rPr>
      </w:pPr>
      <w:r>
        <w:rPr>
          <w:rFonts w:ascii="仿宋" w:hAnsi="仿宋" w:eastAsia="仿宋" w:cs="Times New Roman"/>
          <w:spacing w:val="-2"/>
          <w:sz w:val="32"/>
          <w:szCs w:val="32"/>
          <w:highlight w:val="none"/>
        </w:rPr>
        <w:t>1.</w:t>
      </w:r>
      <w:r>
        <w:rPr>
          <w:rFonts w:hint="eastAsia" w:ascii="仿宋" w:hAnsi="仿宋" w:eastAsia="仿宋" w:cs="Times New Roman"/>
          <w:spacing w:val="-2"/>
          <w:sz w:val="32"/>
          <w:szCs w:val="32"/>
          <w:highlight w:val="none"/>
          <w:lang w:val="en-US" w:eastAsia="zh-CN"/>
        </w:rPr>
        <w:t>人员</w:t>
      </w:r>
      <w:r>
        <w:rPr>
          <w:rFonts w:ascii="仿宋" w:hAnsi="仿宋" w:eastAsia="仿宋" w:cs="Times New Roman"/>
          <w:spacing w:val="-2"/>
          <w:sz w:val="32"/>
          <w:szCs w:val="32"/>
          <w:highlight w:val="none"/>
        </w:rPr>
        <w:t>配置控制较好。财政供养人员控制在预算编制以内，编制内在职人员控制率</w:t>
      </w:r>
      <w:r>
        <w:rPr>
          <w:rFonts w:hint="eastAsia" w:ascii="仿宋" w:hAnsi="仿宋" w:eastAsia="仿宋" w:cs="Times New Roman"/>
          <w:spacing w:val="-2"/>
          <w:sz w:val="32"/>
          <w:szCs w:val="32"/>
          <w:highlight w:val="none"/>
          <w:lang w:val="en-US" w:eastAsia="zh-CN"/>
        </w:rPr>
        <w:t>88.24%</w:t>
      </w:r>
      <w:r>
        <w:rPr>
          <w:rFonts w:ascii="仿宋" w:hAnsi="仿宋" w:eastAsia="仿宋" w:cs="Times New Roman"/>
          <w:spacing w:val="-2"/>
          <w:sz w:val="32"/>
          <w:szCs w:val="32"/>
          <w:highlight w:val="none"/>
        </w:rPr>
        <w:t>，未超过控制标准</w:t>
      </w:r>
      <w:r>
        <w:rPr>
          <w:rFonts w:hint="eastAsia" w:ascii="仿宋" w:hAnsi="仿宋" w:eastAsia="仿宋" w:cs="Times New Roman"/>
          <w:spacing w:val="-2"/>
          <w:sz w:val="32"/>
          <w:szCs w:val="32"/>
          <w:highlight w:val="none"/>
          <w:lang w:eastAsia="zh-CN"/>
        </w:rPr>
        <w:t>。</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default"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2.预算完成率较好。2024年年末结转结余0万元，预算完成率100%，预算完成好。</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3.公用经费总体控制在内。2024年实际支出公用经费总额35.68万元，预算安排公用经费总额32万元，增加了3.68万元，超出预算11.5%，主要原因是市总工会通过预算拨付的拨缴经费列在公用经费当中。</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default" w:ascii="仿宋" w:hAnsi="仿宋" w:eastAsia="仿宋"/>
          <w:spacing w:val="-2"/>
          <w:sz w:val="32"/>
          <w:szCs w:val="32"/>
          <w:highlight w:val="none"/>
          <w:lang w:val="en-US"/>
        </w:rPr>
      </w:pPr>
      <w:r>
        <w:rPr>
          <w:rFonts w:hint="eastAsia" w:ascii="仿宋" w:hAnsi="仿宋" w:eastAsia="仿宋"/>
          <w:spacing w:val="-2"/>
          <w:sz w:val="32"/>
          <w:szCs w:val="32"/>
          <w:highlight w:val="none"/>
          <w:lang w:val="en-US" w:eastAsia="zh-CN"/>
        </w:rPr>
        <w:t>4.“三公”经费控制较好。2024年“三公”经费实际支出数为4.81万元，预算安排5万元，“三公”经费控制率为96.2%，“三公”经费未超预算。</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eastAsia="zh-CN"/>
        </w:rPr>
        <w:t>（三）</w:t>
      </w:r>
      <w:r>
        <w:rPr>
          <w:rFonts w:ascii="仿宋" w:hAnsi="仿宋" w:eastAsia="仿宋"/>
          <w:spacing w:val="-2"/>
          <w:sz w:val="32"/>
          <w:szCs w:val="32"/>
          <w:highlight w:val="none"/>
        </w:rPr>
        <w:t>效率性</w:t>
      </w:r>
      <w:r>
        <w:rPr>
          <w:rFonts w:hint="eastAsia" w:ascii="仿宋" w:hAnsi="仿宋" w:eastAsia="仿宋"/>
          <w:spacing w:val="-2"/>
          <w:sz w:val="32"/>
          <w:szCs w:val="32"/>
          <w:highlight w:val="none"/>
          <w:lang w:val="en-US" w:eastAsia="zh-CN"/>
        </w:rPr>
        <w:t>和有效性分析：</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1.稻油全程机械化生产水平稳步提升。</w:t>
      </w:r>
      <w:r>
        <w:rPr>
          <w:rFonts w:hint="default" w:ascii="仿宋" w:hAnsi="仿宋" w:eastAsia="仿宋"/>
          <w:spacing w:val="-2"/>
          <w:sz w:val="32"/>
          <w:szCs w:val="32"/>
          <w:highlight w:val="none"/>
          <w:lang w:val="en-US" w:eastAsia="zh-CN"/>
        </w:rPr>
        <w:t>2024</w:t>
      </w:r>
      <w:r>
        <w:rPr>
          <w:rFonts w:hint="eastAsia" w:ascii="仿宋" w:hAnsi="仿宋" w:eastAsia="仿宋"/>
          <w:spacing w:val="-2"/>
          <w:sz w:val="32"/>
          <w:szCs w:val="32"/>
          <w:highlight w:val="none"/>
          <w:lang w:val="en-US" w:eastAsia="zh-CN"/>
        </w:rPr>
        <w:t>年我市水稻</w:t>
      </w:r>
      <w:r>
        <w:rPr>
          <w:rFonts w:hint="default" w:ascii="仿宋" w:hAnsi="仿宋" w:eastAsia="仿宋"/>
          <w:spacing w:val="-2"/>
          <w:sz w:val="32"/>
          <w:szCs w:val="32"/>
          <w:highlight w:val="none"/>
          <w:lang w:val="en-US" w:eastAsia="zh-CN"/>
        </w:rPr>
        <w:t>播种面积318.</w:t>
      </w:r>
      <w:r>
        <w:rPr>
          <w:rFonts w:hint="eastAsia" w:ascii="仿宋" w:hAnsi="仿宋" w:eastAsia="仿宋"/>
          <w:spacing w:val="-2"/>
          <w:sz w:val="32"/>
          <w:szCs w:val="32"/>
          <w:highlight w:val="none"/>
          <w:lang w:val="en-US" w:eastAsia="zh-CN"/>
        </w:rPr>
        <w:t>2</w:t>
      </w:r>
      <w:r>
        <w:rPr>
          <w:rFonts w:hint="default" w:ascii="仿宋" w:hAnsi="仿宋" w:eastAsia="仿宋"/>
          <w:spacing w:val="-2"/>
          <w:sz w:val="32"/>
          <w:szCs w:val="32"/>
          <w:highlight w:val="none"/>
          <w:lang w:val="en-US" w:eastAsia="zh-CN"/>
        </w:rPr>
        <w:t>27万亩，</w:t>
      </w:r>
      <w:r>
        <w:rPr>
          <w:rFonts w:hint="eastAsia" w:ascii="仿宋" w:hAnsi="仿宋" w:eastAsia="仿宋"/>
          <w:spacing w:val="-2"/>
          <w:sz w:val="32"/>
          <w:szCs w:val="32"/>
          <w:highlight w:val="none"/>
          <w:lang w:val="en-US" w:eastAsia="zh-CN"/>
        </w:rPr>
        <w:t>水稻</w:t>
      </w:r>
      <w:r>
        <w:rPr>
          <w:rFonts w:hint="default" w:ascii="仿宋" w:hAnsi="仿宋" w:eastAsia="仿宋"/>
          <w:spacing w:val="-2"/>
          <w:sz w:val="32"/>
          <w:szCs w:val="32"/>
          <w:highlight w:val="none"/>
          <w:lang w:val="en-US" w:eastAsia="zh-CN"/>
        </w:rPr>
        <w:t>机耕面积308.691万亩</w:t>
      </w:r>
      <w:r>
        <w:rPr>
          <w:rFonts w:hint="eastAsia" w:ascii="仿宋" w:hAnsi="仿宋" w:eastAsia="仿宋"/>
          <w:spacing w:val="-2"/>
          <w:sz w:val="32"/>
          <w:szCs w:val="32"/>
          <w:highlight w:val="none"/>
          <w:lang w:val="en-US" w:eastAsia="zh-CN"/>
        </w:rPr>
        <w:t>，水稻</w:t>
      </w:r>
      <w:r>
        <w:rPr>
          <w:rFonts w:hint="default" w:ascii="仿宋" w:hAnsi="仿宋" w:eastAsia="仿宋"/>
          <w:spacing w:val="-2"/>
          <w:sz w:val="32"/>
          <w:szCs w:val="32"/>
          <w:highlight w:val="none"/>
          <w:lang w:val="en-US" w:eastAsia="zh-CN"/>
        </w:rPr>
        <w:t>机插面积1</w:t>
      </w:r>
      <w:r>
        <w:rPr>
          <w:rFonts w:hint="eastAsia" w:ascii="仿宋" w:hAnsi="仿宋" w:eastAsia="仿宋"/>
          <w:spacing w:val="-2"/>
          <w:sz w:val="32"/>
          <w:szCs w:val="32"/>
          <w:highlight w:val="none"/>
          <w:lang w:val="en-US" w:eastAsia="zh-CN"/>
        </w:rPr>
        <w:t>5</w:t>
      </w:r>
      <w:r>
        <w:rPr>
          <w:rFonts w:hint="default" w:ascii="仿宋" w:hAnsi="仿宋" w:eastAsia="仿宋"/>
          <w:spacing w:val="-2"/>
          <w:sz w:val="32"/>
          <w:szCs w:val="32"/>
          <w:highlight w:val="none"/>
          <w:lang w:val="en-US" w:eastAsia="zh-CN"/>
        </w:rPr>
        <w:t>6.114万亩</w:t>
      </w:r>
      <w:r>
        <w:rPr>
          <w:rFonts w:hint="eastAsia" w:ascii="仿宋" w:hAnsi="仿宋" w:eastAsia="仿宋"/>
          <w:spacing w:val="-2"/>
          <w:sz w:val="32"/>
          <w:szCs w:val="32"/>
          <w:highlight w:val="none"/>
          <w:lang w:val="en-US" w:eastAsia="zh-CN"/>
        </w:rPr>
        <w:t>，水稻</w:t>
      </w:r>
      <w:r>
        <w:rPr>
          <w:rFonts w:hint="default" w:ascii="仿宋" w:hAnsi="仿宋" w:eastAsia="仿宋"/>
          <w:spacing w:val="-2"/>
          <w:sz w:val="32"/>
          <w:szCs w:val="32"/>
          <w:highlight w:val="none"/>
          <w:lang w:val="en-US" w:eastAsia="zh-CN"/>
        </w:rPr>
        <w:t>机收面积26</w:t>
      </w:r>
      <w:r>
        <w:rPr>
          <w:rFonts w:hint="eastAsia" w:ascii="仿宋" w:hAnsi="仿宋" w:eastAsia="仿宋"/>
          <w:spacing w:val="-2"/>
          <w:sz w:val="32"/>
          <w:szCs w:val="32"/>
          <w:highlight w:val="none"/>
          <w:lang w:val="en-US" w:eastAsia="zh-CN"/>
        </w:rPr>
        <w:t>1.</w:t>
      </w:r>
      <w:r>
        <w:rPr>
          <w:rFonts w:hint="default" w:ascii="仿宋" w:hAnsi="仿宋" w:eastAsia="仿宋"/>
          <w:spacing w:val="-2"/>
          <w:sz w:val="32"/>
          <w:szCs w:val="32"/>
          <w:highlight w:val="none"/>
          <w:lang w:val="en-US" w:eastAsia="zh-CN"/>
        </w:rPr>
        <w:t>63万亩</w:t>
      </w:r>
      <w:r>
        <w:rPr>
          <w:rFonts w:hint="eastAsia" w:ascii="仿宋" w:hAnsi="仿宋" w:eastAsia="仿宋"/>
          <w:spacing w:val="-2"/>
          <w:sz w:val="32"/>
          <w:szCs w:val="32"/>
          <w:highlight w:val="none"/>
          <w:lang w:val="en-US" w:eastAsia="zh-CN"/>
        </w:rPr>
        <w:t>；水稻耕种收综合机械化率</w:t>
      </w:r>
      <w:r>
        <w:rPr>
          <w:rFonts w:hint="default" w:ascii="仿宋" w:hAnsi="仿宋" w:eastAsia="仿宋"/>
          <w:spacing w:val="-2"/>
          <w:sz w:val="32"/>
          <w:szCs w:val="32"/>
          <w:highlight w:val="none"/>
          <w:lang w:val="en-US" w:eastAsia="zh-CN"/>
        </w:rPr>
        <w:t>78.1</w:t>
      </w:r>
      <w:r>
        <w:rPr>
          <w:rFonts w:hint="eastAsia" w:ascii="仿宋" w:hAnsi="仿宋" w:eastAsia="仿宋"/>
          <w:spacing w:val="-2"/>
          <w:sz w:val="32"/>
          <w:szCs w:val="32"/>
          <w:highlight w:val="none"/>
          <w:lang w:val="en-US" w:eastAsia="zh-CN"/>
        </w:rPr>
        <w:t>8</w:t>
      </w:r>
      <w:r>
        <w:rPr>
          <w:rFonts w:hint="default" w:ascii="仿宋" w:hAnsi="仿宋" w:eastAsia="仿宋"/>
          <w:spacing w:val="-2"/>
          <w:sz w:val="32"/>
          <w:szCs w:val="32"/>
          <w:highlight w:val="none"/>
          <w:lang w:val="en-US" w:eastAsia="zh-CN"/>
        </w:rPr>
        <w:t>%</w:t>
      </w:r>
      <w:r>
        <w:rPr>
          <w:rFonts w:hint="eastAsia" w:ascii="仿宋" w:hAnsi="仿宋" w:eastAsia="仿宋"/>
          <w:spacing w:val="-2"/>
          <w:sz w:val="32"/>
          <w:szCs w:val="32"/>
          <w:highlight w:val="none"/>
          <w:lang w:val="en-US" w:eastAsia="zh-CN"/>
        </w:rPr>
        <w:t>，较上年增长2.</w:t>
      </w:r>
      <w:r>
        <w:rPr>
          <w:rFonts w:hint="default" w:ascii="仿宋" w:hAnsi="仿宋" w:eastAsia="仿宋"/>
          <w:spacing w:val="-2"/>
          <w:sz w:val="32"/>
          <w:szCs w:val="32"/>
          <w:highlight w:val="none"/>
          <w:lang w:val="en-US" w:eastAsia="zh-CN"/>
        </w:rPr>
        <w:t>5%</w:t>
      </w:r>
      <w:r>
        <w:rPr>
          <w:rFonts w:hint="eastAsia" w:ascii="仿宋" w:hAnsi="仿宋" w:eastAsia="仿宋"/>
          <w:spacing w:val="-2"/>
          <w:sz w:val="32"/>
          <w:szCs w:val="32"/>
          <w:highlight w:val="none"/>
          <w:lang w:val="en-US" w:eastAsia="zh-CN"/>
        </w:rPr>
        <w:t>。一是加强水稻机插机抛作业任务推进落实。二是加强动员部署。三是推动政策支持。四是搞好培训示范。五是加强机具推广。六是大力开展稻油机收减损技术培训指导。七是全力做好服务保障工作。</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2.农机购置与应用补贴及“两新”工作政策落实规范高效。农机购置补贴与应用补贴方面：2024年分配补贴资金6393万元。在湖南省农业农村厅办公室通报的2021-2023年各县市区农机购置与应用补贴资金兑付情况中，全市资金兑付率排名第六，其中洪江市资金兑付比例排名全省第四。一是健全工作机制。二是加强补贴信息宣传、及时公开补贴信息。三是加大农机购置补贴督导。农机“两新”（报废更新、以旧换新）补贴方面：一是加强政策宣传。二是支持农机报废企业申报。全市农机报废企业在原有14家的基础上，根据各县申报继续增加了10家，极大推动了老旧农业机械报废更新工作。三是严格规范程序办理。严格按照拆解过程全程录像、严格执行监销制度、规范档案资料管理、落实属地监管责任的要求来落实。</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3.新型农机服务组织建设高质推进。目前，全市农机合作社数量</w:t>
      </w:r>
      <w:r>
        <w:rPr>
          <w:rFonts w:hint="default" w:ascii="仿宋" w:hAnsi="仿宋" w:eastAsia="仿宋"/>
          <w:spacing w:val="-2"/>
          <w:sz w:val="32"/>
          <w:szCs w:val="32"/>
          <w:highlight w:val="none"/>
          <w:lang w:val="en-US" w:eastAsia="zh-CN"/>
        </w:rPr>
        <w:t>2</w:t>
      </w:r>
      <w:r>
        <w:rPr>
          <w:rFonts w:hint="eastAsia" w:ascii="仿宋" w:hAnsi="仿宋" w:eastAsia="仿宋"/>
          <w:spacing w:val="-2"/>
          <w:sz w:val="32"/>
          <w:szCs w:val="32"/>
          <w:highlight w:val="none"/>
          <w:lang w:val="en-US" w:eastAsia="zh-CN"/>
        </w:rPr>
        <w:t>82家，同比增加119家，其中辰溪县农机合作社</w:t>
      </w:r>
      <w:r>
        <w:rPr>
          <w:rFonts w:hint="default" w:ascii="仿宋" w:hAnsi="仿宋" w:eastAsia="仿宋"/>
          <w:spacing w:val="-2"/>
          <w:sz w:val="32"/>
          <w:szCs w:val="32"/>
          <w:highlight w:val="none"/>
          <w:lang w:val="en-US" w:eastAsia="zh-CN"/>
        </w:rPr>
        <w:t>31</w:t>
      </w:r>
      <w:r>
        <w:rPr>
          <w:rFonts w:hint="eastAsia" w:ascii="仿宋" w:hAnsi="仿宋" w:eastAsia="仿宋"/>
          <w:spacing w:val="-2"/>
          <w:sz w:val="32"/>
          <w:szCs w:val="32"/>
          <w:highlight w:val="none"/>
          <w:lang w:val="en-US" w:eastAsia="zh-CN"/>
        </w:rPr>
        <w:t>家、鹤城区农机合作社</w:t>
      </w:r>
      <w:r>
        <w:rPr>
          <w:rFonts w:hint="default" w:ascii="仿宋" w:hAnsi="仿宋" w:eastAsia="仿宋"/>
          <w:spacing w:val="-2"/>
          <w:sz w:val="32"/>
          <w:szCs w:val="32"/>
          <w:highlight w:val="none"/>
          <w:lang w:val="en-US" w:eastAsia="zh-CN"/>
        </w:rPr>
        <w:t>7</w:t>
      </w:r>
      <w:r>
        <w:rPr>
          <w:rFonts w:hint="eastAsia" w:ascii="仿宋" w:hAnsi="仿宋" w:eastAsia="仿宋"/>
          <w:spacing w:val="-2"/>
          <w:sz w:val="32"/>
          <w:szCs w:val="32"/>
          <w:highlight w:val="none"/>
          <w:lang w:val="en-US" w:eastAsia="zh-CN"/>
        </w:rPr>
        <w:t>家、会同县农机合作社</w:t>
      </w:r>
      <w:r>
        <w:rPr>
          <w:rFonts w:hint="default" w:ascii="仿宋" w:hAnsi="仿宋" w:eastAsia="仿宋"/>
          <w:spacing w:val="-2"/>
          <w:sz w:val="32"/>
          <w:szCs w:val="32"/>
          <w:highlight w:val="none"/>
          <w:lang w:val="en-US" w:eastAsia="zh-CN"/>
        </w:rPr>
        <w:t>26</w:t>
      </w:r>
      <w:r>
        <w:rPr>
          <w:rFonts w:hint="eastAsia" w:ascii="仿宋" w:hAnsi="仿宋" w:eastAsia="仿宋"/>
          <w:spacing w:val="-2"/>
          <w:sz w:val="32"/>
          <w:szCs w:val="32"/>
          <w:highlight w:val="none"/>
          <w:lang w:val="en-US" w:eastAsia="zh-CN"/>
        </w:rPr>
        <w:t>家、靖州县农机合作社 3</w:t>
      </w:r>
      <w:r>
        <w:rPr>
          <w:rFonts w:hint="default" w:ascii="仿宋" w:hAnsi="仿宋" w:eastAsia="仿宋"/>
          <w:spacing w:val="-2"/>
          <w:sz w:val="32"/>
          <w:szCs w:val="32"/>
          <w:highlight w:val="none"/>
          <w:lang w:val="en-US" w:eastAsia="zh-CN"/>
        </w:rPr>
        <w:t>9</w:t>
      </w:r>
      <w:r>
        <w:rPr>
          <w:rFonts w:hint="eastAsia" w:ascii="仿宋" w:hAnsi="仿宋" w:eastAsia="仿宋"/>
          <w:spacing w:val="-2"/>
          <w:sz w:val="32"/>
          <w:szCs w:val="32"/>
          <w:highlight w:val="none"/>
          <w:lang w:val="en-US" w:eastAsia="zh-CN"/>
        </w:rPr>
        <w:t>家、麻阳县农机合作社1</w:t>
      </w:r>
      <w:r>
        <w:rPr>
          <w:rFonts w:hint="default" w:ascii="仿宋" w:hAnsi="仿宋" w:eastAsia="仿宋"/>
          <w:spacing w:val="-2"/>
          <w:sz w:val="32"/>
          <w:szCs w:val="32"/>
          <w:highlight w:val="none"/>
          <w:lang w:val="en-US" w:eastAsia="zh-CN"/>
        </w:rPr>
        <w:t>8</w:t>
      </w:r>
      <w:r>
        <w:rPr>
          <w:rFonts w:hint="eastAsia" w:ascii="仿宋" w:hAnsi="仿宋" w:eastAsia="仿宋"/>
          <w:spacing w:val="-2"/>
          <w:sz w:val="32"/>
          <w:szCs w:val="32"/>
          <w:highlight w:val="none"/>
          <w:lang w:val="en-US" w:eastAsia="zh-CN"/>
        </w:rPr>
        <w:t>家、沅陵县农机合作社</w:t>
      </w:r>
      <w:r>
        <w:rPr>
          <w:rFonts w:hint="default" w:ascii="仿宋" w:hAnsi="仿宋" w:eastAsia="仿宋"/>
          <w:spacing w:val="-2"/>
          <w:sz w:val="32"/>
          <w:szCs w:val="32"/>
          <w:highlight w:val="none"/>
          <w:lang w:val="en-US" w:eastAsia="zh-CN"/>
        </w:rPr>
        <w:t>21</w:t>
      </w:r>
      <w:r>
        <w:rPr>
          <w:rFonts w:hint="eastAsia" w:ascii="仿宋" w:hAnsi="仿宋" w:eastAsia="仿宋"/>
          <w:spacing w:val="-2"/>
          <w:sz w:val="32"/>
          <w:szCs w:val="32"/>
          <w:highlight w:val="none"/>
          <w:lang w:val="en-US" w:eastAsia="zh-CN"/>
        </w:rPr>
        <w:t>家、溆浦县农机合作社32家、通道县农机合作社</w:t>
      </w:r>
      <w:r>
        <w:rPr>
          <w:rFonts w:hint="default" w:ascii="仿宋" w:hAnsi="仿宋" w:eastAsia="仿宋"/>
          <w:spacing w:val="-2"/>
          <w:sz w:val="32"/>
          <w:szCs w:val="32"/>
          <w:highlight w:val="none"/>
          <w:lang w:val="en-US" w:eastAsia="zh-CN"/>
        </w:rPr>
        <w:t>1</w:t>
      </w:r>
      <w:r>
        <w:rPr>
          <w:rFonts w:hint="eastAsia" w:ascii="仿宋" w:hAnsi="仿宋" w:eastAsia="仿宋"/>
          <w:spacing w:val="-2"/>
          <w:sz w:val="32"/>
          <w:szCs w:val="32"/>
          <w:highlight w:val="none"/>
          <w:lang w:val="en-US" w:eastAsia="zh-CN"/>
        </w:rPr>
        <w:t>6家、洪江市农机合作社</w:t>
      </w:r>
      <w:r>
        <w:rPr>
          <w:rFonts w:hint="default" w:ascii="仿宋" w:hAnsi="仿宋" w:eastAsia="仿宋"/>
          <w:spacing w:val="-2"/>
          <w:sz w:val="32"/>
          <w:szCs w:val="32"/>
          <w:highlight w:val="none"/>
          <w:lang w:val="en-US" w:eastAsia="zh-CN"/>
        </w:rPr>
        <w:t>40</w:t>
      </w:r>
      <w:r>
        <w:rPr>
          <w:rFonts w:hint="eastAsia" w:ascii="仿宋" w:hAnsi="仿宋" w:eastAsia="仿宋"/>
          <w:spacing w:val="-2"/>
          <w:sz w:val="32"/>
          <w:szCs w:val="32"/>
          <w:highlight w:val="none"/>
          <w:lang w:val="en-US" w:eastAsia="zh-CN"/>
        </w:rPr>
        <w:t>家、新晃县农机合作社1</w:t>
      </w:r>
      <w:r>
        <w:rPr>
          <w:rFonts w:hint="default" w:ascii="仿宋" w:hAnsi="仿宋" w:eastAsia="仿宋"/>
          <w:spacing w:val="-2"/>
          <w:sz w:val="32"/>
          <w:szCs w:val="32"/>
          <w:highlight w:val="none"/>
          <w:lang w:val="en-US" w:eastAsia="zh-CN"/>
        </w:rPr>
        <w:t>3</w:t>
      </w:r>
      <w:r>
        <w:rPr>
          <w:rFonts w:hint="eastAsia" w:ascii="仿宋" w:hAnsi="仿宋" w:eastAsia="仿宋"/>
          <w:spacing w:val="-2"/>
          <w:sz w:val="32"/>
          <w:szCs w:val="32"/>
          <w:highlight w:val="none"/>
          <w:lang w:val="en-US" w:eastAsia="zh-CN"/>
        </w:rPr>
        <w:t>家、芷江县农机合作社</w:t>
      </w:r>
      <w:r>
        <w:rPr>
          <w:rFonts w:hint="default" w:ascii="仿宋" w:hAnsi="仿宋" w:eastAsia="仿宋"/>
          <w:spacing w:val="-2"/>
          <w:sz w:val="32"/>
          <w:szCs w:val="32"/>
          <w:highlight w:val="none"/>
          <w:lang w:val="en-US" w:eastAsia="zh-CN"/>
        </w:rPr>
        <w:t>2</w:t>
      </w:r>
      <w:r>
        <w:rPr>
          <w:rFonts w:hint="eastAsia" w:ascii="仿宋" w:hAnsi="仿宋" w:eastAsia="仿宋"/>
          <w:spacing w:val="-2"/>
          <w:sz w:val="32"/>
          <w:szCs w:val="32"/>
          <w:highlight w:val="none"/>
          <w:lang w:val="en-US" w:eastAsia="zh-CN"/>
        </w:rPr>
        <w:t>7家、中方县农机合作社</w:t>
      </w:r>
      <w:r>
        <w:rPr>
          <w:rFonts w:hint="default" w:ascii="仿宋" w:hAnsi="仿宋" w:eastAsia="仿宋"/>
          <w:spacing w:val="-2"/>
          <w:sz w:val="32"/>
          <w:szCs w:val="32"/>
          <w:highlight w:val="none"/>
          <w:lang w:val="en-US" w:eastAsia="zh-CN"/>
        </w:rPr>
        <w:t>1</w:t>
      </w:r>
      <w:r>
        <w:rPr>
          <w:rFonts w:hint="eastAsia" w:ascii="仿宋" w:hAnsi="仿宋" w:eastAsia="仿宋"/>
          <w:spacing w:val="-2"/>
          <w:sz w:val="32"/>
          <w:szCs w:val="32"/>
          <w:highlight w:val="none"/>
          <w:lang w:val="en-US" w:eastAsia="zh-CN"/>
        </w:rPr>
        <w:t>7家。通过省级评测的省级现代社有106家、省级示范社18家、全程机械化综合农事服务中心1家。一是抓实农机合作社“空白乡镇清零”工作。制定《怀化市农机专业合作社空白乡镇清零及提质增效实施方案》。二是抓实</w:t>
      </w:r>
      <w:r>
        <w:rPr>
          <w:rFonts w:hint="default" w:ascii="仿宋" w:hAnsi="仿宋" w:eastAsia="仿宋"/>
          <w:spacing w:val="-2"/>
          <w:sz w:val="32"/>
          <w:szCs w:val="32"/>
          <w:highlight w:val="none"/>
          <w:lang w:val="en-US" w:eastAsia="zh-CN"/>
        </w:rPr>
        <w:t>区域农机服务中心</w:t>
      </w:r>
      <w:r>
        <w:rPr>
          <w:rFonts w:hint="eastAsia" w:ascii="仿宋" w:hAnsi="仿宋" w:eastAsia="仿宋"/>
          <w:spacing w:val="-2"/>
          <w:sz w:val="32"/>
          <w:szCs w:val="32"/>
          <w:highlight w:val="none"/>
          <w:lang w:val="en-US" w:eastAsia="zh-CN"/>
        </w:rPr>
        <w:t>、</w:t>
      </w:r>
      <w:r>
        <w:rPr>
          <w:rFonts w:hint="default" w:ascii="仿宋" w:hAnsi="仿宋" w:eastAsia="仿宋"/>
          <w:spacing w:val="-2"/>
          <w:sz w:val="32"/>
          <w:szCs w:val="32"/>
          <w:highlight w:val="none"/>
          <w:lang w:val="en-US" w:eastAsia="zh-CN"/>
        </w:rPr>
        <w:t>维修中心</w:t>
      </w:r>
      <w:r>
        <w:rPr>
          <w:rFonts w:hint="eastAsia" w:ascii="仿宋" w:hAnsi="仿宋" w:eastAsia="仿宋"/>
          <w:spacing w:val="-2"/>
          <w:sz w:val="32"/>
          <w:szCs w:val="32"/>
          <w:highlight w:val="none"/>
          <w:lang w:val="en-US" w:eastAsia="zh-CN"/>
        </w:rPr>
        <w:t>建设。</w:t>
      </w:r>
      <w:r>
        <w:rPr>
          <w:rFonts w:hint="default" w:ascii="仿宋" w:hAnsi="仿宋" w:eastAsia="仿宋"/>
          <w:spacing w:val="-2"/>
          <w:sz w:val="32"/>
          <w:szCs w:val="32"/>
          <w:highlight w:val="none"/>
          <w:lang w:val="en-US" w:eastAsia="zh-CN"/>
        </w:rPr>
        <w:t>争取到全省区域性农机服务中心项目（沅陵县龙飞农机合作社）、全省区域性农机维修中心项目（靖州县西南农机维修中心），分别获100万、50万奖补资金。</w:t>
      </w:r>
      <w:r>
        <w:rPr>
          <w:rFonts w:hint="eastAsia" w:ascii="仿宋" w:hAnsi="仿宋" w:eastAsia="仿宋"/>
          <w:spacing w:val="-2"/>
          <w:sz w:val="32"/>
          <w:szCs w:val="32"/>
          <w:highlight w:val="none"/>
          <w:lang w:val="en-US" w:eastAsia="zh-CN"/>
        </w:rPr>
        <w:t>三是搞好宣传引导。广泛宣传农机合作社发展的好政策、好做法、好典型，营造推动农机合作社可持续、高质量发展的良好氛围。四是加强服务指导。积极为农机合作社注册登记，发展壮大，</w:t>
      </w:r>
      <w:r>
        <w:rPr>
          <w:rFonts w:hint="default" w:ascii="仿宋" w:hAnsi="仿宋" w:eastAsia="仿宋"/>
          <w:spacing w:val="-2"/>
          <w:sz w:val="32"/>
          <w:szCs w:val="32"/>
          <w:highlight w:val="none"/>
          <w:lang w:val="en-US" w:eastAsia="zh-CN"/>
        </w:rPr>
        <w:t>财务、安全等系列管理制度</w:t>
      </w:r>
      <w:r>
        <w:rPr>
          <w:rFonts w:hint="eastAsia" w:ascii="仿宋" w:hAnsi="仿宋" w:eastAsia="仿宋"/>
          <w:spacing w:val="-2"/>
          <w:sz w:val="32"/>
          <w:szCs w:val="32"/>
          <w:highlight w:val="none"/>
          <w:lang w:val="en-US" w:eastAsia="zh-CN"/>
        </w:rPr>
        <w:t>提供指导，做到成熟一个、注册一个、规范一个。</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4.农机化推广培训活动扎实开展。按照“科教兴农、人才强农、新型职业农民固农”的战略要求，</w:t>
      </w:r>
      <w:r>
        <w:rPr>
          <w:rFonts w:hint="default" w:ascii="仿宋" w:hAnsi="仿宋" w:eastAsia="仿宋"/>
          <w:spacing w:val="-2"/>
          <w:sz w:val="32"/>
          <w:szCs w:val="32"/>
          <w:highlight w:val="none"/>
          <w:lang w:val="en-US" w:eastAsia="zh-CN"/>
        </w:rPr>
        <w:t>建立以农机推广机构为主导，农机科技推广示范户、农机大户为基础，农机科研、推广和生产企业广泛参与的多元化农机化技术推广体系。狠抓水稻机插机抛育秧、油菜机播、高效植保和设施农业技术等重点推广工作</w:t>
      </w:r>
      <w:r>
        <w:rPr>
          <w:rFonts w:hint="eastAsia" w:ascii="仿宋" w:hAnsi="仿宋" w:eastAsia="仿宋"/>
          <w:spacing w:val="-2"/>
          <w:sz w:val="32"/>
          <w:szCs w:val="32"/>
          <w:highlight w:val="none"/>
          <w:lang w:val="en-US" w:eastAsia="zh-CN"/>
        </w:rPr>
        <w:t>。一是加强培训推广服务指导。积极参加指导县市区主办的各类农机化技术培训，2024年各县市区共组织农机化技术培训班106余次，培训人数8720余人。二是组织开展各类实操培训。3月25日至3月26日，根据省农机事务中心《关于开展2024年全省水稻机插机抛育秧技术培训“送训下乡”的通知》培训安排表，第十三期培训在我市芷江县举办，本次培训采取全实操方式进行，水稻机插机抛工厂化育秧设备及育秧关键技术、浸种、催芽及育秧后期秧苗管理技术、水稻育秧基质技术分享、北斗作业终端管理平台操作及终端使用保养维护指南、机械化育秧流水线等，参会人数160余人，此次培训获得圆满成功。7月1日至7月6日，配合省农机事务中心在中方县举办2024年全省植保无人驾驶航空器操作技术培训班，本次培训采取理论、实操与考核的方式进行，参加人数130余人，此次培训90%的学员取得了大疆公司的慧飞证。三是加强“良机”推广。重点保障粮食安全生产，持续推进育秧设备、育秧播种流水线、插秧机、抛秧机、植保无人驾驶航空器等新机具的推广运用。四是加强新技术推广运用。通道县积极争取到全省水稻机械有序精量穴播作业任务，松兴家庭农场承接作业面积563亩，取得了很好的效果，进一步丰富了全市水稻机械化栽植手段。五是积极支持本土农机装备企业发展壮大。</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32" w:firstLineChars="200"/>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5.农机安全生产监管工作形势稳定。建立了农机安全基础监管网络，全市202个乡镇和2573个行政村实现农机安全两员（乡镇农机管理员、村级农机安全员）配备全覆盖；全市连续16年未发生一起较大以上农机安全生产事故。一是加强源头管理。扎实开展监理业务技能培训，切实提高全市监理岗位人员业务技能，增加队伍服务能力。严把拖拉机上牌上户关。从2023年1月1日起，严格落实终止手扶拖拉机运输机组上户规定，全面停止了上道路运输型拖拉机的上牌上户，对于纯农田作业机械严格执行三见三相符要求，杜绝异地违规上户、超范围超标准上户、上空户等违法行为。优化办证模式，通道县严格按照农业机械相关法律规定办理农机驾驶员办证和农机具上户工作，实施“一站式”业务办理制度、上门服务等，为群众提供优质快捷的办证服务，新晃县结合秋收实际，技术人员深入田间地头检查指导收割现场作业，并为群众提供收割机现场实操考试，办理操作证。认真开展农机年检年审工作，从源头杜绝农机安全生产事故。二是深入开展拖拉机安全顽瘴痼疾专项整治工作。落实变型拖拉机报废补贴政策及积极引导拖拉机实体报废，规范牌证管理登记，县市区联合开展隐患排查和“打非治违”，取得了良好成果。三是开展安全生产培训。通过发放资料、张贴标语、悬挂横幅、广播电视、巡回宣传车等方式，结合年检、考试、教育培训、现场会、合作社建设等活动。积极开展农机安全生产宣传，组织监理人员在重要时段深入田间地头、农机场院，对农机手和从业人员开展地毯式宣传教育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、存在的问题及原因分析</w:t>
      </w:r>
    </w:p>
    <w:p>
      <w:pPr>
        <w:keepNext w:val="0"/>
        <w:keepLines w:val="0"/>
        <w:pageBreakBefore w:val="0"/>
        <w:widowControl/>
        <w:numPr>
          <w:ilvl w:val="0"/>
          <w:numId w:val="0"/>
        </w:numPr>
        <w:shd w:val="clear" w:color="auto" w:fill="auto"/>
        <w:kinsoku/>
        <w:wordWrap/>
        <w:overflowPunct/>
        <w:topLinePunct w:val="0"/>
        <w:autoSpaceDE/>
        <w:autoSpaceDN/>
        <w:bidi w:val="0"/>
        <w:adjustRightInd/>
        <w:spacing w:line="560" w:lineRule="exact"/>
        <w:ind w:firstLine="640" w:firstLineChars="200"/>
        <w:jc w:val="left"/>
        <w:rPr>
          <w:rFonts w:hint="default" w:ascii="仿宋_GB2312" w:eastAsia="仿宋_GB2312" w:cs="仿宋_GB2312"/>
          <w:i w:val="0"/>
          <w:iCs w:val="0"/>
          <w:caps w:val="0"/>
          <w:color w:val="000000"/>
          <w:spacing w:val="0"/>
          <w:sz w:val="32"/>
          <w:szCs w:val="32"/>
          <w:shd w:val="clear" w:fill="FFFFFF"/>
        </w:rPr>
      </w:pPr>
      <w:r>
        <w:rPr>
          <w:rFonts w:ascii="仿宋" w:hAnsi="仿宋" w:eastAsia="仿宋" w:cs="仿宋_GB2312"/>
          <w:kern w:val="0"/>
          <w:sz w:val="32"/>
          <w:szCs w:val="32"/>
          <w:highlight w:val="none"/>
        </w:rPr>
        <w:t>预算资金紧张，行政负担重，日常公用经费不足，特别是必要的人员支出社保费</w:t>
      </w:r>
      <w:r>
        <w:rPr>
          <w:rFonts w:hint="eastAsia" w:ascii="仿宋" w:hAnsi="仿宋" w:eastAsia="仿宋" w:cs="仿宋_GB2312"/>
          <w:kern w:val="0"/>
          <w:sz w:val="32"/>
          <w:szCs w:val="32"/>
          <w:highlight w:val="none"/>
          <w:lang w:val="en-US" w:eastAsia="zh-CN"/>
        </w:rPr>
        <w:t>如</w:t>
      </w:r>
      <w:r>
        <w:rPr>
          <w:rFonts w:ascii="仿宋" w:hAnsi="仿宋" w:eastAsia="仿宋" w:cs="仿宋_GB2312"/>
          <w:kern w:val="0"/>
          <w:sz w:val="32"/>
          <w:szCs w:val="32"/>
          <w:highlight w:val="none"/>
        </w:rPr>
        <w:t>生育保险、大病互助、工伤保险、残保金、</w:t>
      </w:r>
      <w:r>
        <w:rPr>
          <w:rFonts w:hint="eastAsia" w:ascii="仿宋" w:hAnsi="仿宋" w:eastAsia="仿宋" w:cs="仿宋_GB2312"/>
          <w:kern w:val="0"/>
          <w:sz w:val="32"/>
          <w:szCs w:val="32"/>
          <w:highlight w:val="none"/>
          <w:lang w:val="en-US" w:eastAsia="zh-CN"/>
        </w:rPr>
        <w:t>退休人员经费</w:t>
      </w:r>
      <w:r>
        <w:rPr>
          <w:rFonts w:ascii="仿宋" w:hAnsi="仿宋" w:eastAsia="仿宋" w:cs="仿宋_GB2312"/>
          <w:kern w:val="0"/>
          <w:sz w:val="32"/>
          <w:szCs w:val="32"/>
          <w:highlight w:val="none"/>
        </w:rPr>
        <w:t>等均由单位保障，挤占</w:t>
      </w:r>
      <w:r>
        <w:rPr>
          <w:rFonts w:hint="eastAsia" w:ascii="仿宋" w:hAnsi="仿宋" w:eastAsia="仿宋" w:cs="仿宋_GB2312"/>
          <w:kern w:val="0"/>
          <w:sz w:val="32"/>
          <w:szCs w:val="32"/>
          <w:highlight w:val="none"/>
          <w:lang w:eastAsia="zh-CN"/>
        </w:rPr>
        <w:t>行政</w:t>
      </w:r>
      <w:r>
        <w:rPr>
          <w:rFonts w:ascii="仿宋" w:hAnsi="仿宋" w:eastAsia="仿宋" w:cs="仿宋_GB2312"/>
          <w:kern w:val="0"/>
          <w:sz w:val="32"/>
          <w:szCs w:val="32"/>
          <w:highlight w:val="none"/>
        </w:rPr>
        <w:t>经费</w:t>
      </w:r>
      <w:r>
        <w:rPr>
          <w:rFonts w:hint="eastAsia" w:ascii="仿宋" w:hAnsi="仿宋" w:eastAsia="仿宋" w:cs="仿宋_GB2312"/>
          <w:kern w:val="0"/>
          <w:sz w:val="32"/>
          <w:szCs w:val="32"/>
          <w:highlight w:val="none"/>
          <w:lang w:eastAsia="zh-CN"/>
        </w:rPr>
        <w:t>；</w:t>
      </w:r>
      <w:r>
        <w:rPr>
          <w:rFonts w:ascii="仿宋" w:hAnsi="仿宋" w:eastAsia="仿宋" w:cs="仿宋_GB2312"/>
          <w:kern w:val="0"/>
          <w:sz w:val="32"/>
          <w:szCs w:val="32"/>
          <w:highlight w:val="none"/>
        </w:rPr>
        <w:t>在部门整体支出的资金安排和使用上有不可预见性，在科学设置预算绩效指标上还需进一步加强，使之更加贴合</w:t>
      </w:r>
      <w:r>
        <w:rPr>
          <w:rFonts w:hint="eastAsia" w:ascii="仿宋" w:hAnsi="仿宋" w:eastAsia="仿宋" w:cs="仿宋_GB2312"/>
          <w:kern w:val="0"/>
          <w:sz w:val="32"/>
          <w:szCs w:val="32"/>
          <w:highlight w:val="none"/>
        </w:rPr>
        <w:t>农机</w:t>
      </w:r>
      <w:r>
        <w:rPr>
          <w:rFonts w:ascii="仿宋" w:hAnsi="仿宋" w:eastAsia="仿宋" w:cs="仿宋_GB2312"/>
          <w:kern w:val="0"/>
          <w:sz w:val="32"/>
          <w:szCs w:val="32"/>
          <w:highlight w:val="none"/>
        </w:rPr>
        <w:t>工作的实</w:t>
      </w:r>
      <w:r>
        <w:rPr>
          <w:rFonts w:hint="eastAsia" w:ascii="仿宋" w:hAnsi="仿宋" w:eastAsia="仿宋" w:cs="仿宋_GB2312"/>
          <w:kern w:val="0"/>
          <w:sz w:val="32"/>
          <w:szCs w:val="32"/>
          <w:highlight w:val="none"/>
        </w:rPr>
        <w:t>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十、</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pageBreakBefore w:val="0"/>
        <w:widowControl/>
        <w:shd w:val="clear" w:color="auto" w:fill="auto"/>
        <w:kinsoku/>
        <w:wordWrap/>
        <w:overflowPunct/>
        <w:topLinePunct w:val="0"/>
        <w:autoSpaceDE/>
        <w:autoSpaceDN/>
        <w:bidi w:val="0"/>
        <w:adjustRightInd/>
        <w:snapToGrid/>
        <w:spacing w:afterAutospacing="0" w:line="560" w:lineRule="exact"/>
        <w:ind w:firstLine="640" w:firstLineChars="200"/>
        <w:jc w:val="left"/>
        <w:rPr>
          <w:rFonts w:ascii="仿宋" w:hAnsi="仿宋" w:eastAsia="仿宋" w:cs="仿宋_GB2312"/>
          <w:kern w:val="0"/>
          <w:sz w:val="32"/>
          <w:szCs w:val="32"/>
          <w:highlight w:val="none"/>
        </w:rPr>
      </w:pPr>
      <w:r>
        <w:rPr>
          <w:rFonts w:ascii="仿宋" w:hAnsi="仿宋" w:eastAsia="仿宋" w:cs="仿宋_GB2312"/>
          <w:kern w:val="0"/>
          <w:sz w:val="32"/>
          <w:szCs w:val="32"/>
          <w:highlight w:val="none"/>
        </w:rPr>
        <w:t>部门整体绩效评价工作是一项长期性的工作，专业性强，工作量大，建议财政有关部门进一步加强</w:t>
      </w:r>
      <w:r>
        <w:rPr>
          <w:rFonts w:hint="eastAsia" w:ascii="仿宋" w:hAnsi="仿宋" w:eastAsia="仿宋" w:cs="仿宋_GB2312"/>
          <w:kern w:val="0"/>
          <w:sz w:val="32"/>
          <w:szCs w:val="32"/>
          <w:highlight w:val="none"/>
          <w:lang w:eastAsia="zh-CN"/>
        </w:rPr>
        <w:t>对各单位资金规范管理和使用的指导，更多地</w:t>
      </w:r>
      <w:r>
        <w:rPr>
          <w:rFonts w:ascii="仿宋" w:hAnsi="仿宋" w:eastAsia="仿宋" w:cs="仿宋_GB2312"/>
          <w:kern w:val="0"/>
          <w:sz w:val="32"/>
          <w:szCs w:val="32"/>
          <w:highlight w:val="none"/>
        </w:rPr>
        <w:t>开展相关的业务工作培训，组织开展部门之间、单位之间的经验交流，切实推进绩效评价工作的开展。</w:t>
      </w:r>
    </w:p>
    <w:p>
      <w:pPr>
        <w:pStyle w:val="2"/>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绩效自评结果拟应用和公开情况</w:t>
      </w:r>
    </w:p>
    <w:p>
      <w:pPr>
        <w:pStyle w:val="2"/>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（一）进一步加强预算绩效管理</w:t>
      </w:r>
    </w:p>
    <w:p>
      <w:pPr>
        <w:pStyle w:val="2"/>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进一步加强各项目的预算资金管理，加大对预算编制与执行的监督管理力度，提高预算资金使用效率。</w:t>
      </w:r>
    </w:p>
    <w:p>
      <w:pPr>
        <w:pStyle w:val="2"/>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（二）进一步优化绩效目标</w:t>
      </w:r>
    </w:p>
    <w:p>
      <w:pPr>
        <w:pStyle w:val="2"/>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绩效指标设立要更加科学、合理、可衡量。在设立指标时候要充分考虑指标设定的可实施性，可考核性，要尽可能的量化、细化。</w:t>
      </w:r>
    </w:p>
    <w:p>
      <w:pPr>
        <w:pStyle w:val="2"/>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（三）结果运用</w:t>
      </w:r>
    </w:p>
    <w:p>
      <w:pPr>
        <w:pStyle w:val="2"/>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default"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要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十二、</w:t>
      </w:r>
      <w:r>
        <w:rPr>
          <w:rFonts w:hint="eastAsia" w:ascii="黑体" w:hAnsi="黑体" w:eastAsia="黑体" w:cs="黑体"/>
          <w:i w:val="0"/>
          <w:iCs w:val="0"/>
          <w:caps w:val="0"/>
          <w:color w:val="000000"/>
          <w:spacing w:val="0"/>
          <w:sz w:val="32"/>
          <w:szCs w:val="32"/>
          <w:shd w:val="clear" w:fill="FFFFFF"/>
        </w:rPr>
        <w:t>其他需要说明的情况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pPr>
      <w:r>
        <w:rPr>
          <w:rFonts w:hint="eastAsia" w:ascii="仿宋" w:hAnsi="仿宋" w:eastAsia="仿宋" w:cs="仿宋_GB2312"/>
          <w:kern w:val="0"/>
          <w:sz w:val="32"/>
          <w:szCs w:val="32"/>
          <w:highlight w:val="none"/>
          <w:lang w:val="en-US" w:eastAsia="zh-CN" w:bidi="ar-SA"/>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453A7"/>
    <w:multiLevelType w:val="singleLevel"/>
    <w:tmpl w:val="C24453A7"/>
    <w:lvl w:ilvl="0" w:tentative="0">
      <w:start w:val="11"/>
      <w:numFmt w:val="chineseCounting"/>
      <w:suff w:val="nothing"/>
      <w:lvlText w:val="%1、"/>
      <w:lvlJc w:val="left"/>
      <w:rPr>
        <w:rFonts w:hint="eastAsia"/>
      </w:rPr>
    </w:lvl>
  </w:abstractNum>
  <w:abstractNum w:abstractNumId="1">
    <w:nsid w:val="CC0F2AB5"/>
    <w:multiLevelType w:val="singleLevel"/>
    <w:tmpl w:val="CC0F2AB5"/>
    <w:lvl w:ilvl="0" w:tentative="0">
      <w:start w:val="2"/>
      <w:numFmt w:val="chineseCounting"/>
      <w:suff w:val="nothing"/>
      <w:lvlText w:val="（%1）"/>
      <w:lvlJc w:val="left"/>
      <w:rPr>
        <w:rFonts w:hint="eastAsia"/>
      </w:rPr>
    </w:lvl>
  </w:abstractNum>
  <w:abstractNum w:abstractNumId="2">
    <w:nsid w:val="D7D9D29E"/>
    <w:multiLevelType w:val="singleLevel"/>
    <w:tmpl w:val="D7D9D29E"/>
    <w:lvl w:ilvl="0" w:tentative="0">
      <w:start w:val="2"/>
      <w:numFmt w:val="chineseCounting"/>
      <w:suff w:val="nothing"/>
      <w:lvlText w:val="（%1）"/>
      <w:lvlJc w:val="left"/>
      <w:rPr>
        <w:rFonts w:hint="eastAsia"/>
      </w:rPr>
    </w:lvl>
  </w:abstractNum>
  <w:abstractNum w:abstractNumId="3">
    <w:nsid w:val="2D1FEB4E"/>
    <w:multiLevelType w:val="singleLevel"/>
    <w:tmpl w:val="2D1FEB4E"/>
    <w:lvl w:ilvl="0" w:tentative="0">
      <w:start w:val="1"/>
      <w:numFmt w:val="chineseCounting"/>
      <w:suff w:val="nothing"/>
      <w:lvlText w:val="（%1）"/>
      <w:lvlJc w:val="left"/>
      <w:rPr>
        <w:rFonts w:hint="eastAsia"/>
      </w:rPr>
    </w:lvl>
  </w:abstractNum>
  <w:abstractNum w:abstractNumId="4">
    <w:nsid w:val="61C5E28B"/>
    <w:multiLevelType w:val="singleLevel"/>
    <w:tmpl w:val="61C5E28B"/>
    <w:lvl w:ilvl="0" w:tentative="0">
      <w:start w:val="3"/>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DMwYzM5N2IyOGI3NzY4YzgzMmMwYTFlYWU1ODkifQ=="/>
  </w:docVars>
  <w:rsids>
    <w:rsidRoot w:val="00000000"/>
    <w:rsid w:val="001C66E0"/>
    <w:rsid w:val="00CB77BE"/>
    <w:rsid w:val="010D427B"/>
    <w:rsid w:val="016814B1"/>
    <w:rsid w:val="02C848FD"/>
    <w:rsid w:val="03697A39"/>
    <w:rsid w:val="0482288A"/>
    <w:rsid w:val="06A905A2"/>
    <w:rsid w:val="07830DF3"/>
    <w:rsid w:val="096504C4"/>
    <w:rsid w:val="09694018"/>
    <w:rsid w:val="0B237943"/>
    <w:rsid w:val="0BD87233"/>
    <w:rsid w:val="12130FC5"/>
    <w:rsid w:val="12485112"/>
    <w:rsid w:val="13983E78"/>
    <w:rsid w:val="14D62EA9"/>
    <w:rsid w:val="14E07884"/>
    <w:rsid w:val="156C1118"/>
    <w:rsid w:val="16AE5760"/>
    <w:rsid w:val="16DE4297"/>
    <w:rsid w:val="17310542"/>
    <w:rsid w:val="18C95D11"/>
    <w:rsid w:val="194F4FD8"/>
    <w:rsid w:val="19AA66B3"/>
    <w:rsid w:val="19C5529B"/>
    <w:rsid w:val="1B0C5787"/>
    <w:rsid w:val="1B3501FE"/>
    <w:rsid w:val="1BE35EAC"/>
    <w:rsid w:val="1C2D0A3D"/>
    <w:rsid w:val="1CF163A7"/>
    <w:rsid w:val="1D3F4B25"/>
    <w:rsid w:val="1DBE272D"/>
    <w:rsid w:val="1E8A0861"/>
    <w:rsid w:val="1F3F3065"/>
    <w:rsid w:val="1FA827AF"/>
    <w:rsid w:val="1FD516E8"/>
    <w:rsid w:val="1FD65EA2"/>
    <w:rsid w:val="205058CB"/>
    <w:rsid w:val="20E74DDD"/>
    <w:rsid w:val="22484CBB"/>
    <w:rsid w:val="2270048D"/>
    <w:rsid w:val="24C85C3F"/>
    <w:rsid w:val="250A6279"/>
    <w:rsid w:val="2572277A"/>
    <w:rsid w:val="25F018F1"/>
    <w:rsid w:val="268250B1"/>
    <w:rsid w:val="27090EBD"/>
    <w:rsid w:val="28416434"/>
    <w:rsid w:val="293E4722"/>
    <w:rsid w:val="296A19BB"/>
    <w:rsid w:val="2A133664"/>
    <w:rsid w:val="2A900FAD"/>
    <w:rsid w:val="2A9F7442"/>
    <w:rsid w:val="2B69017C"/>
    <w:rsid w:val="2C8C39F6"/>
    <w:rsid w:val="2D0762B1"/>
    <w:rsid w:val="2D7A7DB1"/>
    <w:rsid w:val="2E26337A"/>
    <w:rsid w:val="2E9C7BC9"/>
    <w:rsid w:val="2EAC037F"/>
    <w:rsid w:val="2EEE2BF6"/>
    <w:rsid w:val="2F653D5F"/>
    <w:rsid w:val="316F5DC0"/>
    <w:rsid w:val="31797FF5"/>
    <w:rsid w:val="33B96140"/>
    <w:rsid w:val="3736112E"/>
    <w:rsid w:val="38037262"/>
    <w:rsid w:val="3AA7481D"/>
    <w:rsid w:val="3B1F2605"/>
    <w:rsid w:val="3B201ED9"/>
    <w:rsid w:val="3CDE204C"/>
    <w:rsid w:val="3DA72A27"/>
    <w:rsid w:val="3ED5122D"/>
    <w:rsid w:val="3F746C97"/>
    <w:rsid w:val="3FFA0F4B"/>
    <w:rsid w:val="407D0E36"/>
    <w:rsid w:val="41845E18"/>
    <w:rsid w:val="43CB5756"/>
    <w:rsid w:val="43D257FC"/>
    <w:rsid w:val="43F14D5A"/>
    <w:rsid w:val="44654E01"/>
    <w:rsid w:val="44693E1C"/>
    <w:rsid w:val="456D21BF"/>
    <w:rsid w:val="45E05E82"/>
    <w:rsid w:val="46445615"/>
    <w:rsid w:val="4669507C"/>
    <w:rsid w:val="469D6BC0"/>
    <w:rsid w:val="47FE76EB"/>
    <w:rsid w:val="483457FD"/>
    <w:rsid w:val="48840FF6"/>
    <w:rsid w:val="4AB13F10"/>
    <w:rsid w:val="4ADA6548"/>
    <w:rsid w:val="4C9E7102"/>
    <w:rsid w:val="4CBB5F06"/>
    <w:rsid w:val="4CE8607D"/>
    <w:rsid w:val="4E2377BA"/>
    <w:rsid w:val="4E8567CB"/>
    <w:rsid w:val="4E9A45A1"/>
    <w:rsid w:val="4F653A12"/>
    <w:rsid w:val="4FF30F69"/>
    <w:rsid w:val="50EA7B34"/>
    <w:rsid w:val="51913CDA"/>
    <w:rsid w:val="52B07B8F"/>
    <w:rsid w:val="52C27FEE"/>
    <w:rsid w:val="5314011E"/>
    <w:rsid w:val="563A7E9B"/>
    <w:rsid w:val="56C37E91"/>
    <w:rsid w:val="57FF8F44"/>
    <w:rsid w:val="5A3E2A97"/>
    <w:rsid w:val="5B726329"/>
    <w:rsid w:val="5D323FC2"/>
    <w:rsid w:val="5E1E4546"/>
    <w:rsid w:val="5F047298"/>
    <w:rsid w:val="60B42F40"/>
    <w:rsid w:val="60D31618"/>
    <w:rsid w:val="666E5A8C"/>
    <w:rsid w:val="681D761D"/>
    <w:rsid w:val="6BE446D9"/>
    <w:rsid w:val="6C5775A1"/>
    <w:rsid w:val="6DA76A11"/>
    <w:rsid w:val="6EBE3907"/>
    <w:rsid w:val="702A1E44"/>
    <w:rsid w:val="71AD37BF"/>
    <w:rsid w:val="72FF66D9"/>
    <w:rsid w:val="73102258"/>
    <w:rsid w:val="737E5413"/>
    <w:rsid w:val="744C3764"/>
    <w:rsid w:val="753F0F2E"/>
    <w:rsid w:val="77FA5285"/>
    <w:rsid w:val="78421C97"/>
    <w:rsid w:val="79297BCF"/>
    <w:rsid w:val="794F0342"/>
    <w:rsid w:val="79AE4579"/>
    <w:rsid w:val="7BE20509"/>
    <w:rsid w:val="7BEE611A"/>
    <w:rsid w:val="7C183F2B"/>
    <w:rsid w:val="7DBA2124"/>
    <w:rsid w:val="7EF26CB5"/>
    <w:rsid w:val="7F016EF9"/>
    <w:rsid w:val="EFBB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spacing w:line="481" w:lineRule="atLeast"/>
      <w:ind w:firstLine="623"/>
      <w:textAlignment w:val="baseline"/>
    </w:pPr>
    <w:rPr>
      <w:rFonts w:ascii="Times New Roman" w:hAnsi="Times New Roman" w:eastAsia="仿宋_GB2312"/>
      <w:color w:val="000000"/>
      <w:sz w:val="3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标题1"/>
    <w:basedOn w:val="4"/>
    <w:qFormat/>
    <w:uiPriority w:val="0"/>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6789</Words>
  <Characters>7328</Characters>
  <Lines>0</Lines>
  <Paragraphs>0</Paragraphs>
  <TotalTime>0</TotalTime>
  <ScaleCrop>false</ScaleCrop>
  <LinksUpToDate>false</LinksUpToDate>
  <CharactersWithSpaces>7558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2024-06-24T17:11:00Z</dcterms:created>
  <dc:creator>Administrator</dc:creator>
  <cp:lastModifiedBy>greatwall</cp:lastModifiedBy>
  <cp:lastPrinted>2025-06-21T00:49:00Z</cp:lastPrinted>
  <dcterms:modified xsi:type="dcterms:W3CDTF">2025-09-28T13:17:38Z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AB8C8DF02F284106834843EB8E868EC2_12</vt:lpwstr>
  </property>
  <property fmtid="{D5CDD505-2E9C-101B-9397-08002B2CF9AE}" pid="4" name="KSOTemplateDocerSaveRecord">
    <vt:lpwstr>eyJoZGlkIjoiMmU1MDExZGI3Zjk0YWY1ZDJhMWUxNmMzODNhOWUyM2QiLCJ1c2VySWQiOiIxMTQ3NzUzMzY0In0=</vt:lpwstr>
  </property>
</Properties>
</file>