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hAnsi="楷体" w:eastAsia="楷体" w:cs="楷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HLwJlDWAAAACgEAAA8AAAAAAAAAAQAgAAAAOAAAAGRycy9kb3ducmV2Lnht&#10;bFBLAQIUABQAAAAIAIdO4kBHv5PHVwIAAJoEAAAOAAAAAAAAAAEAIAAAADs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 w:cs="楷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84"/>
          <w:szCs w:val="84"/>
        </w:rPr>
      </w:pPr>
    </w:p>
    <w:p>
      <w:pPr>
        <w:pStyle w:val="14"/>
        <w:jc w:val="center"/>
        <w:rPr>
          <w:sz w:val="84"/>
          <w:szCs w:val="84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2024年度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怀化市水运事务中心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spacing w:line="5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目录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第一部分 怀化市水运事务中心单位概况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4"/>
        <w:spacing w:line="6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ascii="Times New Roman" w:hAnsi="Times New Roman" w:eastAsia="仿宋_GB2312" w:cs="Times New Roman"/>
          <w:sz w:val="32"/>
          <w:szCs w:val="32"/>
        </w:rPr>
        <w:t>及决算单位构成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第二部分 部门决算表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第三部分 部门决算情况说明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七、财政拨款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“三公”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八、政府性基金预算收入支出决算情况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九、国有资本经营预算财政拨款收入支出决算情况说明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十、关于机关运行经费支出说明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十一、一般性支出情况说明</w:t>
      </w:r>
    </w:p>
    <w:p>
      <w:pPr>
        <w:autoSpaceDE w:val="0"/>
        <w:autoSpaceDN w:val="0"/>
        <w:adjustRightInd w:val="0"/>
        <w:spacing w:line="470" w:lineRule="exact"/>
        <w:ind w:firstLine="700" w:firstLineChars="25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十二、关于政府采购支出说明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十三、关于国有资产占用情况说明</w:t>
      </w:r>
    </w:p>
    <w:p>
      <w:pPr>
        <w:pStyle w:val="14"/>
        <w:spacing w:line="470" w:lineRule="exact"/>
        <w:ind w:firstLine="700" w:firstLineChars="2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十四、关于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年度预算绩效情况的说明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第四部分 名词解释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第五部分 附件</w:t>
      </w:r>
    </w:p>
    <w:p>
      <w:pPr>
        <w:pStyle w:val="14"/>
        <w:spacing w:line="470" w:lineRule="exact"/>
        <w:rPr>
          <w:rFonts w:hAnsi="黑体"/>
          <w:bCs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怀化市水运事务中心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单位概况</w:t>
      </w:r>
    </w:p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pStyle w:val="2"/>
      </w:pPr>
    </w:p>
    <w:p>
      <w:pPr>
        <w:pStyle w:val="3"/>
        <w:ind w:firstLine="480"/>
      </w:pPr>
    </w:p>
    <w:p/>
    <w:p>
      <w:pPr>
        <w:pStyle w:val="2"/>
      </w:pPr>
    </w:p>
    <w:p>
      <w:pPr>
        <w:pStyle w:val="3"/>
        <w:ind w:firstLine="480"/>
      </w:pPr>
    </w:p>
    <w:p>
      <w:pPr>
        <w:pStyle w:val="15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（一）宣传、贯彻和执行国家法律、法规、规章、政策及技术规范；参与行业政策研究工作。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二）参与编制水路交通运输发展规划相关事务性工作，协助做好编制港口、航道、水路运输等专项规划相关事务性工作；协助汇总、编报水路交通建设、改造、养护年度计划草案；协助开展水路交通项目前期工作及后期评估的事务性工作；协助开展水路交通运输行业统计信息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（三）承担船舶、渔业公务船艇和浮动设施法定检验事务性工作。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（四）按权限参与水上交通事故调查、统计、分析等相关技术支持工作；协调指导水上交通应急、搜寻救助、沉船沉物打捞等技术性工作；参与通航安全保障、船舶和港口水污染防治的事务性工作。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五）参与指导水路运输及水运服务市场行业管理事务性工作；协调指导水运行业信用（诚信）体系建设相关事务性工作；承担推进水路运输结构调整和港航物流发展相关事务性工作；指导港口及岸线管理的事务性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（六）负责市级航道养护管理的事务性工作；指导航道养护、航标配布（维护）、航道统计等工作；负责组织实施航道维护工程；参与协调水资源综合利用等事务性工作。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（七）承担船员管理、船舶登记管理等相关事务性工作。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（八）负责指导全市水运事务性工作开展。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（九）承办市交通运输局交办的其他工作。</w:t>
      </w:r>
    </w:p>
    <w:p>
      <w:pPr>
        <w:widowControl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二、机构设置及决算单位构成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一）内设机构设置。怀化市水运事务中心作为怀化市交通运输局的二级预算单位，内设8个部门：综合部、人事教育部、安全应急部、船舶船员事务部、船舶检验事务部（市船舶检验中心）、港航事务部、航道和水运发展事务部、水上交通安全监控室。怀化市水运事务中心全额拨款财政供养在职人员48人，退休人员31人，聘用人员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0人，遗属7人。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（二）决算单位构成。怀化市水运事务中心纳入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24年怀化市交通运输局部门决算编制范围。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pStyle w:val="14"/>
        <w:rPr>
          <w:rFonts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4"/>
        <w:jc w:val="center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部门决算公开表格共9张：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公开01表《收入支出决算总表》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公开02表《收入决算表》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公开03表《支出决算表》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公开04表《财政拨款收入支出决算总表》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公开05表《一般公共预算财政拨款收入支出决算表》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公开06表《一般公共预算财政拨款基本支出决算明细表》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公开07表《政府性基金预算财政拨款收入支出决算表》</w:t>
      </w:r>
    </w:p>
    <w:p>
      <w:pPr>
        <w:pStyle w:val="14"/>
        <w:ind w:firstLine="640" w:firstLineChars="200"/>
        <w:rPr>
          <w:rFonts w:asciiTheme="minorEastAsia" w:hAnsiTheme="minorEastAsia"/>
          <w:sz w:val="32"/>
          <w:szCs w:val="32"/>
          <w:lang w:val="en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公开08表《国有资本经营预算财政拔款收入支出决算表》</w:t>
      </w:r>
    </w:p>
    <w:p>
      <w:pPr>
        <w:pStyle w:val="14"/>
        <w:ind w:firstLine="640" w:firstLineChars="200"/>
        <w:rPr>
          <w:rFonts w:ascii="华文中宋" w:hAnsi="华文中宋" w:eastAsia="华文中宋" w:cs="华文中宋"/>
          <w:sz w:val="32"/>
          <w:szCs w:val="32"/>
          <w:lang w:bidi="ar"/>
        </w:rPr>
      </w:pPr>
      <w:r>
        <w:rPr>
          <w:rFonts w:hint="eastAsia" w:asciiTheme="minorEastAsia" w:hAnsiTheme="minorEastAsia"/>
          <w:sz w:val="32"/>
          <w:szCs w:val="32"/>
          <w:lang w:val="en"/>
        </w:rPr>
        <w:t>公开09表《</w:t>
      </w:r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财政拨款“三公”经费支出决算表》</w:t>
      </w:r>
    </w:p>
    <w:p>
      <w:pPr>
        <w:pStyle w:val="14"/>
        <w:ind w:firstLine="3200" w:firstLineChars="1000"/>
        <w:rPr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32"/>
          <w:szCs w:val="32"/>
          <w:lang w:val="en"/>
        </w:rPr>
        <w:t>（ 公开表格见附件1）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bookmarkStart w:id="0" w:name="RANGE!A1:I22"/>
      <w:bookmarkEnd w:id="0"/>
    </w:p>
    <w:p>
      <w:pPr>
        <w:autoSpaceDE w:val="0"/>
        <w:autoSpaceDN w:val="0"/>
        <w:adjustRightInd w:val="0"/>
        <w:ind w:left="315" w:leftChars="150"/>
        <w:jc w:val="left"/>
        <w:rPr>
          <w:rFonts w:ascii="宋体" w:eastAsia="宋体" w:cs="宋体"/>
          <w:kern w:val="0"/>
          <w:sz w:val="24"/>
          <w:szCs w:val="24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2024年度部门决算情况说明</w:t>
      </w: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br w:type="page"/>
      </w:r>
    </w:p>
    <w:p>
      <w:pPr>
        <w:pStyle w:val="14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一、收入支出决算总体情况说明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2024年度收、支总计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2171.31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万元。与上年相比，本年收入与上年相比增加137.53万元，增加6.76%，主要是因为拨付水路客运公司化补助资金及拆解老旧客船补助资金。</w:t>
      </w:r>
    </w:p>
    <w:p>
      <w:pPr>
        <w:pStyle w:val="14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二、收入决算情况说明</w:t>
      </w:r>
    </w:p>
    <w:p>
      <w:pPr>
        <w:pStyle w:val="14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2024年度收入合计2171.31万元，其中：财政拨款收入2171.31万元，占100%；上级补助收入0万元，占0%；事业收入0万元，占0%；经营收入0万元，占0%；附属单位上缴收入0万元，占0%；其他收入0万元，占0%。</w:t>
      </w:r>
    </w:p>
    <w:p>
      <w:pPr>
        <w:pStyle w:val="14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三、支出决算情况说明</w:t>
      </w:r>
    </w:p>
    <w:p>
      <w:pPr>
        <w:pStyle w:val="14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2024年度支出合计2171.31万元，其中：基本支出816.72万元，占37.61%；项目支出1354.59万元，占62.39%；上缴上级支出0万元，占0%；经营支出0万元，占0%；对附属单位补助支出0万元，占0%。</w:t>
      </w:r>
    </w:p>
    <w:p>
      <w:pPr>
        <w:pStyle w:val="14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四、财政拨款收入支出决算总体情况说明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2024年度财政拨款收、支总计2171.31万元，本年支出与上年相比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增加195.81万元，增加9.92%，主要是因为水路客运公司化补助资金及拆解老旧客船补助资金。</w:t>
      </w:r>
    </w:p>
    <w:p>
      <w:pPr>
        <w:pStyle w:val="14"/>
        <w:spacing w:line="600" w:lineRule="exact"/>
        <w:ind w:firstLine="640" w:firstLineChars="200"/>
        <w:rPr>
          <w:rFonts w:hAnsi="黑体"/>
          <w:bCs/>
          <w:color w:val="auto"/>
          <w:sz w:val="32"/>
          <w:szCs w:val="32"/>
        </w:rPr>
      </w:pPr>
      <w:r>
        <w:rPr>
          <w:rFonts w:hint="eastAsia" w:hAnsi="黑体"/>
          <w:bCs/>
          <w:color w:val="auto"/>
          <w:sz w:val="32"/>
          <w:szCs w:val="32"/>
        </w:rPr>
        <w:t>五、一般公共预算财政拨款支出决算情况说明</w:t>
      </w:r>
    </w:p>
    <w:p>
      <w:pPr>
        <w:pStyle w:val="14"/>
        <w:spacing w:line="60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（一）一般公共预算财政拨款支出决算总体情况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2024年度财政拨款支出2171.31万元，占本年支出合计的100%，与上年相比，财政拨款支出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增加195.81万元，增加9.92%，</w:t>
      </w:r>
      <w:r>
        <w:rPr>
          <w:rFonts w:hint="eastAsia" w:ascii="Times New Roman" w:hAnsi="Times New Roman" w:eastAsia="仿宋_GB2312"/>
          <w:sz w:val="32"/>
          <w:szCs w:val="32"/>
        </w:rPr>
        <w:t>主要是因为因为水路客运公司化补助资金及拆解老旧客船补助资金。</w:t>
      </w:r>
    </w:p>
    <w:p>
      <w:pPr>
        <w:pStyle w:val="14"/>
        <w:spacing w:line="600" w:lineRule="exact"/>
        <w:ind w:firstLine="640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（二）一般公共预算财政拨款支出决算结构情况</w:t>
      </w:r>
    </w:p>
    <w:p>
      <w:pPr>
        <w:pStyle w:val="14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2024年度财政拨款支出2171.31万元，主要用于以下方面：一般公共服务（类）支出0.8万元，占0.04%；社会保障和就业（类）支出59.34万元，占2.73%;卫生健康（类）支出30.88万元，占1.42%；交通运输（类）支出2014.91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万元，占92.8%，住房保障支出65.38万元，占3.01%。</w:t>
      </w:r>
    </w:p>
    <w:p>
      <w:pPr>
        <w:pStyle w:val="14"/>
        <w:spacing w:line="60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（三）一般公共预算财政拨款支出决算具体情况</w:t>
      </w:r>
    </w:p>
    <w:p>
      <w:pPr>
        <w:pStyle w:val="14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2024年度财政拨款支出年初预算数为959.85万元，支出决算数为2171.31万元，完成年初预算的226.21%，其中：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一般公共服务支出（类）组织事务（款）其他组织事务支出（项）年初预算为0万元，支出决算为0.8万元，决算数大于年初预算数的主要原因是：财政拨付市直企事业单位全职引进人才2024年生活补贴和住房补贴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社会保障和就业支出（类）行政事业单位养老支出（款）机关事业单位基本养老保险缴费支出（项）年初预算为72.82万元，支出决算为59.34万元，决算数小于年初预算数的主要原因是：第一季度到龄退休1名职工，第四季度到龄退休1名职工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Times New Roman" w:hAnsi="Times New Roman" w:eastAsia="仿宋_GB2312"/>
          <w:sz w:val="32"/>
          <w:szCs w:val="32"/>
        </w:rPr>
        <w:t>卫生健康支出（类）行政事业单位医疗（款）事业单位医疗（项）年初预算为31.18万元，支出决算为30.88万元，决算数小于年初预算数的主要原因是：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第一季度到龄退休1名职工，第四季度到龄退休1名职工。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4、交通运输支出（类）公路水路运输（款）公路和运输安全（项）年初预算为0万元，支出决算为15万元，决算数大于年初预算数的主要原因是：</w:t>
      </w:r>
    </w:p>
    <w:p>
      <w:pPr>
        <w:pStyle w:val="14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安全专项经费由交通局统一申请预算。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_GB2312"/>
          <w:sz w:val="32"/>
          <w:szCs w:val="32"/>
        </w:rPr>
        <w:t>交通运输支出（类）公路水路运输（款）船舶检验（项）年初预算为45万元，支出决算为45万元，完成年初预算的100%，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6、交通运输支出（类）公路水路运输（款）海事管理（项）年初预算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为110.64万元，</w:t>
      </w:r>
      <w:r>
        <w:rPr>
          <w:rFonts w:hint="eastAsia" w:ascii="Times New Roman" w:hAnsi="Times New Roman" w:eastAsia="仿宋_GB2312"/>
          <w:sz w:val="32"/>
          <w:szCs w:val="32"/>
        </w:rPr>
        <w:t>支出决算为110.64万元，完成年初预算的100%。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7、交通运输支出（类）公路水路运输（款）水路运输管理支出（项）年初预算为638.18万元，支出决算为665.26万元，完成年初预算的104.24%。决算数大于年初预算数的主要原因是：每年的一月份调一次薪级工资。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交通运输支出（类）公路水路运输（款）其他公路水路运输支出（项）年初预算为0万元，支出决算为1179.02万元，决算数大于年初预算数的主要原因是：包含下拔油补省统筹资金水路客运补助资金，船舶改造资金、公司激励奖补资金、水路客运企业困资金及2023年绩效评估考核奖金。</w:t>
      </w:r>
    </w:p>
    <w:p>
      <w:pPr>
        <w:pStyle w:val="14"/>
        <w:ind w:firstLine="800" w:firstLineChars="25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9、交通运输支出（类）其他交通运输支出（款）住房公积金（项）年初预算为61.24万元，支出决算为65.38万元，决算数大于年初预算数的主要原因是，奖金配套公积金和每年薪级工资调整。</w:t>
      </w:r>
    </w:p>
    <w:p>
      <w:pPr>
        <w:pStyle w:val="14"/>
        <w:ind w:firstLine="800" w:firstLineChars="250"/>
        <w:rPr>
          <w:rFonts w:hAnsi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六、一般公共预算财政拨款基本支出决算情况说明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度财政拨款基本支出816.72万元，其中：人员经费759.12万元，占基本支出的92.95%,主要包括基本工资、津贴补贴、奖金、绩效工资、机关事业单位基本养老保险缴费、职工基本医疗保险缴费、其他社会保障缴费、住房公积金、生活补助、奖励金、其他对个人和家庭的补助；公用经费57.6万元，占基本支出的7.05%，主要包括办公费、水费、电费、邮电费、差旅</w:t>
      </w:r>
      <w:r>
        <w:rPr>
          <w:rFonts w:hint="eastAsia" w:ascii="Times New Roman" w:hAnsi="Times New Roman" w:eastAsia="仿宋_GB2312"/>
          <w:sz w:val="32"/>
          <w:szCs w:val="32"/>
        </w:rPr>
        <w:t>费、维修（护）费、租赁费、公务接待费、劳务费、工会经费、福利费、公务用车运行维护费、其他交通费用、其他商品和服务支出。</w:t>
      </w:r>
    </w:p>
    <w:p>
      <w:pPr>
        <w:pStyle w:val="14"/>
        <w:ind w:firstLine="640" w:firstLineChars="20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七、财政拨款“三公”经费支出决算情况说明</w:t>
      </w:r>
    </w:p>
    <w:p>
      <w:pPr>
        <w:pStyle w:val="1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（一）“三公”经费财政拨款支出决算总体情况说明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2024年度“三公”经费财政拨款支出预算为7.5万元，支出决算为6.2万元，完成预算的82.67%，其中：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因公出国（境）费支出预算为0万元，支出决算为0万元，完成预算的0%，我单位去年和今年都无因公出国（境）费支出预算和决算。</w:t>
      </w:r>
    </w:p>
    <w:p>
      <w:pPr>
        <w:pStyle w:val="14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公务接待费支出预算为1.5万元，支出决算为1.44万元，完成预算的96%，决算数小于预算数的主要原因是严格执行厉行节约原则，与上年相比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增加0.14万元，增加9.72%,增</w:t>
      </w:r>
      <w:r>
        <w:rPr>
          <w:rFonts w:hint="eastAsia" w:ascii="Times New Roman" w:hAnsi="Times New Roman" w:eastAsia="仿宋_GB2312"/>
          <w:sz w:val="32"/>
          <w:szCs w:val="32"/>
        </w:rPr>
        <w:t>加的主要原因是：2024年度县水运事务中心汇报安全工作。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公务用车购置费支出预算为0万元，支出决算为0万元，完成预算的0%，我单位近几年都没有公务用车购置费支出预算和决算。</w:t>
      </w:r>
    </w:p>
    <w:p>
      <w:pPr>
        <w:pStyle w:val="14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公务用车运行维护费支出预算为6万元，支出决算为4.76万元，完成预算的79.33%，决算数小于预算数的主要原因是车辆老化，2023年度车辆已经大修，2024年度维修费没有上年度高。与上年相比减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少1.45万元，减少23.35%,减少</w:t>
      </w:r>
      <w:r>
        <w:rPr>
          <w:rFonts w:hint="eastAsia" w:ascii="Times New Roman" w:hAnsi="Times New Roman" w:eastAsia="仿宋_GB2312"/>
          <w:sz w:val="32"/>
          <w:szCs w:val="32"/>
        </w:rPr>
        <w:t>的主要原因是: 2023年度车辆已经大修，2024年度维修费没有上年度高。</w:t>
      </w:r>
    </w:p>
    <w:p>
      <w:pPr>
        <w:pStyle w:val="14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2024年度“三公”经费财政拨款支出决算中，公务接待费支出决算1.44万元，占23.23%,因公出国（境）费支出决算0万元，占0%,公务用车购置费及运行维护费支出决算4.76万元，占76.77%。其中：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1、因公出国（境）费支出决算为0万元，全年安排因公出国（境）团组0个，累计0人次,全年无因公出国（境）费支出。</w:t>
      </w:r>
    </w:p>
    <w:p>
      <w:pPr>
        <w:pStyle w:val="14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2、公务接待费支出决算为1.44万元，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全年共接待来访团组20个、来宾140人次，主要是县市区汇报业务工作及省级检查指导工作发生的接待支出。</w:t>
      </w:r>
    </w:p>
    <w:p>
      <w:pPr>
        <w:pStyle w:val="14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3、公务用车购置费及运行维护费支出决算为4.76万元，其中：公务用车购置费0万元，单位本级无更新公务用车。公务用车运行维护费4.76万元，主要是</w:t>
      </w:r>
      <w:r>
        <w:rPr>
          <w:rFonts w:ascii="Times New Roman" w:hAnsi="Times New Roman" w:eastAsia="仿宋_GB2312"/>
          <w:color w:val="auto"/>
          <w:sz w:val="32"/>
          <w:szCs w:val="32"/>
        </w:rPr>
        <w:t>维修费、保险费、过路过桥等费用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支出，截止2024年12月31日，我单位开支财政拨款的公务用车保有量为3辆。</w:t>
      </w:r>
    </w:p>
    <w:p>
      <w:pPr>
        <w:pStyle w:val="14"/>
        <w:ind w:firstLine="640" w:firstLineChars="20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八、政府性基金预算收入支出决算情况</w:t>
      </w:r>
    </w:p>
    <w:p>
      <w:pPr>
        <w:pStyle w:val="14"/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2024年度政府性基金预算财政拨款收入0万元</w:t>
      </w:r>
      <w:r>
        <w:rPr>
          <w:rFonts w:ascii="Times New Roman" w:hAnsi="Times New Roman" w:eastAsia="仿宋_GB2312"/>
          <w:color w:val="auto"/>
          <w:sz w:val="32"/>
          <w:szCs w:val="32"/>
        </w:rPr>
        <w:t>,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支出</w:t>
      </w:r>
      <w:r>
        <w:rPr>
          <w:rFonts w:ascii="Times New Roman" w:hAnsi="Times New Roman" w:eastAsia="仿宋_GB2312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</w:t>
      </w:r>
    </w:p>
    <w:p>
      <w:pPr>
        <w:pStyle w:val="14"/>
        <w:ind w:firstLine="640" w:firstLineChars="20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九、国有资本经营预算财政拨款支出决算情况说明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本部门无国有资本经营预算财政拨款支出。</w:t>
      </w:r>
    </w:p>
    <w:p>
      <w:pPr>
        <w:pStyle w:val="14"/>
        <w:ind w:firstLine="640" w:firstLineChars="20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十、机关运行经费支出说明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本部门不属于行政单位和参照公务员法管理事业单位，无机关运行经费。</w:t>
      </w:r>
    </w:p>
    <w:p>
      <w:pPr>
        <w:pStyle w:val="14"/>
        <w:ind w:firstLine="640" w:firstLineChars="20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十一、一般性支出情况说明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2024年本部门开支会议费0万元， 2024年度本部门无举办节庆、晚会</w:t>
      </w:r>
      <w:r>
        <w:rPr>
          <w:rFonts w:hint="eastAsia" w:ascii="Times New Roman" w:hAnsi="Times New Roman" w:eastAsia="仿宋_GB2312"/>
          <w:sz w:val="32"/>
          <w:szCs w:val="32"/>
        </w:rPr>
        <w:t>、论坛、赛事等活动，开支0万元，年初也没有预算。</w:t>
      </w:r>
    </w:p>
    <w:p>
      <w:pPr>
        <w:pStyle w:val="14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十二、关于政府采购支出说明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部门2024年度政府采购支出总额0万元，其中：政府采购货物支出0万元、政府采购工程支出0万元、政府采购服务支出0万元。授予中小企业合同金额0万元，占政府采购支出总额的0%，其中：授予小微企业合同金额0万元，占授予中小企业合同金额的0%；货物采购授予中小企业合同金额占货物支出金额的0%，工程采购授予中小企业合同金额占工程支出金额的0</w:t>
      </w:r>
      <w:r>
        <w:rPr>
          <w:rFonts w:hint="eastAsia" w:ascii="Times New Roman" w:hAnsi="Times New Roman" w:eastAsia="仿宋_GB2312"/>
          <w:sz w:val="32"/>
          <w:szCs w:val="32"/>
        </w:rPr>
        <w:t>%，服务采购授予中小企业合同金额占服务支出金额的0%。</w:t>
      </w:r>
    </w:p>
    <w:p>
      <w:pPr>
        <w:pStyle w:val="14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14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截至2024年12月31日，本单位共有车辆3辆。其中，主要领导干部用车0辆，机要通信用车0辆、应急保障用车1辆、执法执勤用车2辆、特种专业技术用车0辆、其他用车0辆，单位价值50万元以上通用设备0台（套）；单位价值100万元以上专用设备2艘海巡艇。2艘油污水处理船。</w:t>
      </w:r>
    </w:p>
    <w:p>
      <w:pPr>
        <w:pStyle w:val="14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十四、2024年度预算绩效情况说明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组织对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年度本部门（单位）整体支出开展绩效自评，涉及项目11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个，共涉及资金1354.59万元。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其中，一般公共预算项目11个1354.59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万元，占一般公共预算支出总额的62.39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政府性基金预算项目0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万元，占政府性基金预算支出总额的0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；国有资本经营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预算项目0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个0万元，占国有资本经营预算支出总额的0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；社会保险基金预算项目0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万元，占社会保险基金预算支出总额的0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（二）绩效评价结果。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年度本部门（单位）整体支出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全年预算数2892.33万元，执行数2171.31万元，完成预算的75.07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96.51分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“优”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绩效目标完成情况见附件2。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72"/>
          <w:szCs w:val="7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（三）评价结果应用情况。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我中心注重绩效评价结果的运用，对照绩效评价工作中发现的问题，结合绩效评价报告中提出的整改意见，进</w:t>
      </w:r>
      <w:r>
        <w:rPr>
          <w:rFonts w:hint="eastAsia" w:ascii="仿宋" w:hAnsi="仿宋" w:eastAsia="仿宋" w:cs="Times New Roman"/>
          <w:sz w:val="32"/>
          <w:szCs w:val="32"/>
        </w:rPr>
        <w:t>一步完善预算管理机制，增强支出责任，规范资金使用，强化监督检查，强化财政资金管理水平，提高财政资金使用效益，为预算资金使用效益的提高提供基础保障。</w:t>
      </w:r>
    </w:p>
    <w:p>
      <w:pPr>
        <w:overflowPunct w:val="0"/>
        <w:spacing w:line="600" w:lineRule="exact"/>
        <w:ind w:firstLine="1440" w:firstLineChars="200"/>
        <w:rPr>
          <w:rFonts w:ascii="Times New Roman" w:hAnsi="Times New Roman" w:eastAsia="仿宋_GB2312" w:cs="Times New Roman"/>
          <w:sz w:val="72"/>
          <w:szCs w:val="7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/>
          <w:color w:val="000000"/>
          <w:kern w:val="0"/>
          <w:sz w:val="32"/>
          <w:szCs w:val="32"/>
        </w:rPr>
        <w:t>1.机关运行经费：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/>
          <w:color w:val="000000"/>
          <w:kern w:val="0"/>
          <w:sz w:val="32"/>
          <w:szCs w:val="32"/>
        </w:rPr>
        <w:t>2、三公”经费：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</w:rPr>
        <w:t>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pStyle w:val="2"/>
      </w:pPr>
    </w:p>
    <w:p>
      <w:pPr>
        <w:pStyle w:val="2"/>
      </w:pPr>
    </w:p>
    <w:p>
      <w:pPr>
        <w:pStyle w:val="3"/>
        <w:ind w:firstLine="480"/>
      </w:pPr>
    </w:p>
    <w:p>
      <w:pPr>
        <w:pStyle w:val="14"/>
        <w:spacing w:line="60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附件1：2024年度怀化市水运事务中心决算公开表</w:t>
      </w:r>
    </w:p>
    <w:p>
      <w:pPr>
        <w:pStyle w:val="14"/>
        <w:spacing w:line="60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附件2：2024年度怀化市水运事务中心整体支出绩效自评报告、专项资金绩效报告</w:t>
      </w:r>
    </w:p>
    <w:p>
      <w:pPr>
        <w:rPr>
          <w:rFonts w:ascii="Times New Roman" w:hAnsi="Times New Roman" w:eastAsia="仿宋_GB2312" w:cs="黑体"/>
          <w:color w:val="000000"/>
          <w:kern w:val="0"/>
          <w:sz w:val="32"/>
          <w:szCs w:val="3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pStyle w:val="14"/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2764E"/>
    <w:rsid w:val="00040CBC"/>
    <w:rsid w:val="000415B7"/>
    <w:rsid w:val="00041E3F"/>
    <w:rsid w:val="00045687"/>
    <w:rsid w:val="00055DAA"/>
    <w:rsid w:val="00061F7B"/>
    <w:rsid w:val="000658A3"/>
    <w:rsid w:val="00074155"/>
    <w:rsid w:val="000A3F69"/>
    <w:rsid w:val="000E60BE"/>
    <w:rsid w:val="000F57F1"/>
    <w:rsid w:val="00103957"/>
    <w:rsid w:val="00152C6D"/>
    <w:rsid w:val="00154302"/>
    <w:rsid w:val="00162C7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17E49"/>
    <w:rsid w:val="00226CB7"/>
    <w:rsid w:val="00264552"/>
    <w:rsid w:val="00264EF9"/>
    <w:rsid w:val="00265724"/>
    <w:rsid w:val="0027426B"/>
    <w:rsid w:val="002C66F4"/>
    <w:rsid w:val="002E0A30"/>
    <w:rsid w:val="003021D3"/>
    <w:rsid w:val="003130C4"/>
    <w:rsid w:val="00316C4B"/>
    <w:rsid w:val="0032192B"/>
    <w:rsid w:val="00324DE6"/>
    <w:rsid w:val="003302E5"/>
    <w:rsid w:val="00337DC5"/>
    <w:rsid w:val="00340CD3"/>
    <w:rsid w:val="003479BD"/>
    <w:rsid w:val="003576F8"/>
    <w:rsid w:val="0037197D"/>
    <w:rsid w:val="003768D5"/>
    <w:rsid w:val="003926B9"/>
    <w:rsid w:val="003C47E6"/>
    <w:rsid w:val="003C4C3D"/>
    <w:rsid w:val="003C4FC2"/>
    <w:rsid w:val="003D2EBC"/>
    <w:rsid w:val="00416E61"/>
    <w:rsid w:val="0042790C"/>
    <w:rsid w:val="004506F9"/>
    <w:rsid w:val="004717A2"/>
    <w:rsid w:val="00473DF3"/>
    <w:rsid w:val="00475B9A"/>
    <w:rsid w:val="00487911"/>
    <w:rsid w:val="00491741"/>
    <w:rsid w:val="004B0CEE"/>
    <w:rsid w:val="004B5098"/>
    <w:rsid w:val="004C0D83"/>
    <w:rsid w:val="004E78C3"/>
    <w:rsid w:val="00500E5F"/>
    <w:rsid w:val="005122EF"/>
    <w:rsid w:val="0051441A"/>
    <w:rsid w:val="00517C33"/>
    <w:rsid w:val="00517D5F"/>
    <w:rsid w:val="00523644"/>
    <w:rsid w:val="0054069E"/>
    <w:rsid w:val="00544866"/>
    <w:rsid w:val="00561848"/>
    <w:rsid w:val="005767CC"/>
    <w:rsid w:val="00590D9F"/>
    <w:rsid w:val="00595D26"/>
    <w:rsid w:val="005A74E6"/>
    <w:rsid w:val="005B404E"/>
    <w:rsid w:val="005C59A8"/>
    <w:rsid w:val="005D4D55"/>
    <w:rsid w:val="005E2CFB"/>
    <w:rsid w:val="005F2103"/>
    <w:rsid w:val="005F3D1C"/>
    <w:rsid w:val="0062378F"/>
    <w:rsid w:val="00641842"/>
    <w:rsid w:val="006473AB"/>
    <w:rsid w:val="00651EEC"/>
    <w:rsid w:val="00686673"/>
    <w:rsid w:val="00691E8C"/>
    <w:rsid w:val="006A22C4"/>
    <w:rsid w:val="006A351B"/>
    <w:rsid w:val="006B0422"/>
    <w:rsid w:val="006B5A73"/>
    <w:rsid w:val="006B6626"/>
    <w:rsid w:val="006C1B53"/>
    <w:rsid w:val="006D7730"/>
    <w:rsid w:val="006E5284"/>
    <w:rsid w:val="006F3EB5"/>
    <w:rsid w:val="00702E34"/>
    <w:rsid w:val="00703193"/>
    <w:rsid w:val="00704395"/>
    <w:rsid w:val="00710FE7"/>
    <w:rsid w:val="00717621"/>
    <w:rsid w:val="00720FF1"/>
    <w:rsid w:val="00727A53"/>
    <w:rsid w:val="00787B42"/>
    <w:rsid w:val="007C4539"/>
    <w:rsid w:val="007D0EAC"/>
    <w:rsid w:val="007F3657"/>
    <w:rsid w:val="00812ED5"/>
    <w:rsid w:val="008277D9"/>
    <w:rsid w:val="00836DFB"/>
    <w:rsid w:val="0084478C"/>
    <w:rsid w:val="008563C9"/>
    <w:rsid w:val="0086638C"/>
    <w:rsid w:val="00870E69"/>
    <w:rsid w:val="00891E32"/>
    <w:rsid w:val="008A3E8D"/>
    <w:rsid w:val="008B4665"/>
    <w:rsid w:val="008D6BF7"/>
    <w:rsid w:val="008F3794"/>
    <w:rsid w:val="009237C4"/>
    <w:rsid w:val="00941D45"/>
    <w:rsid w:val="00944C48"/>
    <w:rsid w:val="00950252"/>
    <w:rsid w:val="00967F5D"/>
    <w:rsid w:val="009A0F95"/>
    <w:rsid w:val="009A482A"/>
    <w:rsid w:val="009B3ADF"/>
    <w:rsid w:val="009C3B52"/>
    <w:rsid w:val="009D67B6"/>
    <w:rsid w:val="009E6817"/>
    <w:rsid w:val="009E6E9A"/>
    <w:rsid w:val="00A01D2B"/>
    <w:rsid w:val="00A42218"/>
    <w:rsid w:val="00A70249"/>
    <w:rsid w:val="00A70B02"/>
    <w:rsid w:val="00A71D9F"/>
    <w:rsid w:val="00A86E47"/>
    <w:rsid w:val="00A92E9F"/>
    <w:rsid w:val="00AB18FF"/>
    <w:rsid w:val="00AD04A1"/>
    <w:rsid w:val="00B10101"/>
    <w:rsid w:val="00B166C9"/>
    <w:rsid w:val="00B33BEA"/>
    <w:rsid w:val="00B57C9F"/>
    <w:rsid w:val="00B63572"/>
    <w:rsid w:val="00B845B3"/>
    <w:rsid w:val="00B85D8B"/>
    <w:rsid w:val="00BB1615"/>
    <w:rsid w:val="00BB4A40"/>
    <w:rsid w:val="00BB5721"/>
    <w:rsid w:val="00BC68A2"/>
    <w:rsid w:val="00BD6C3E"/>
    <w:rsid w:val="00BE3674"/>
    <w:rsid w:val="00C10681"/>
    <w:rsid w:val="00C20214"/>
    <w:rsid w:val="00C3049A"/>
    <w:rsid w:val="00C31B1E"/>
    <w:rsid w:val="00C66EB6"/>
    <w:rsid w:val="00C77645"/>
    <w:rsid w:val="00CC71E4"/>
    <w:rsid w:val="00CE04C3"/>
    <w:rsid w:val="00CE76A0"/>
    <w:rsid w:val="00CE7AE8"/>
    <w:rsid w:val="00D02EDC"/>
    <w:rsid w:val="00D148C6"/>
    <w:rsid w:val="00D17A8A"/>
    <w:rsid w:val="00D415BA"/>
    <w:rsid w:val="00D63780"/>
    <w:rsid w:val="00D644EE"/>
    <w:rsid w:val="00DD06FF"/>
    <w:rsid w:val="00DD29BD"/>
    <w:rsid w:val="00DD5FE9"/>
    <w:rsid w:val="00DE6BD7"/>
    <w:rsid w:val="00DF0BB1"/>
    <w:rsid w:val="00E00C7A"/>
    <w:rsid w:val="00E32FBC"/>
    <w:rsid w:val="00E37D6C"/>
    <w:rsid w:val="00E43DB3"/>
    <w:rsid w:val="00E55B68"/>
    <w:rsid w:val="00E561AE"/>
    <w:rsid w:val="00E67BE6"/>
    <w:rsid w:val="00E710E6"/>
    <w:rsid w:val="00E8683C"/>
    <w:rsid w:val="00EA2B72"/>
    <w:rsid w:val="00EE2AA8"/>
    <w:rsid w:val="00F0432B"/>
    <w:rsid w:val="00F054A1"/>
    <w:rsid w:val="00F74360"/>
    <w:rsid w:val="00F91DE8"/>
    <w:rsid w:val="00F95A28"/>
    <w:rsid w:val="00FB2E36"/>
    <w:rsid w:val="00FB462F"/>
    <w:rsid w:val="00FC2F36"/>
    <w:rsid w:val="00FE16FA"/>
    <w:rsid w:val="00FE328A"/>
    <w:rsid w:val="00FE6269"/>
    <w:rsid w:val="00FF2884"/>
    <w:rsid w:val="00FF5CD6"/>
    <w:rsid w:val="1D97DEFF"/>
    <w:rsid w:val="1DFF72E5"/>
    <w:rsid w:val="1EFC6F07"/>
    <w:rsid w:val="2FDF85B8"/>
    <w:rsid w:val="2FFFEE04"/>
    <w:rsid w:val="34DF85B0"/>
    <w:rsid w:val="3B8F36BC"/>
    <w:rsid w:val="491FF225"/>
    <w:rsid w:val="4A3F4952"/>
    <w:rsid w:val="4FFD214C"/>
    <w:rsid w:val="55CB4AD2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7C37683"/>
    <w:rsid w:val="77ED4E78"/>
    <w:rsid w:val="786DE645"/>
    <w:rsid w:val="79FF515B"/>
    <w:rsid w:val="7BDF8210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779BC7"/>
    <w:rsid w:val="EEABED75"/>
    <w:rsid w:val="F37F8C32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878</Words>
  <Characters>5005</Characters>
  <Lines>41</Lines>
  <Paragraphs>11</Paragraphs>
  <TotalTime>161</TotalTime>
  <ScaleCrop>false</ScaleCrop>
  <LinksUpToDate>false</LinksUpToDate>
  <CharactersWithSpaces>5872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2024-09-24T16:35:00Z</dcterms:created>
  <dc:creator>李航 null</dc:creator>
  <cp:lastModifiedBy>yq</cp:lastModifiedBy>
  <cp:lastPrinted>2024-09-24T16:27:00Z</cp:lastPrinted>
  <dcterms:modified xsi:type="dcterms:W3CDTF">2025-09-25T10:26:52Z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C15B13E28B2ADB76E971F266DFD4AF42</vt:lpwstr>
  </property>
</Properties>
</file>