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9D23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 w:val="44"/>
          <w:szCs w:val="44"/>
          <w:lang w:eastAsia="zh-CN"/>
        </w:rPr>
      </w:pPr>
    </w:p>
    <w:p w14:paraId="20331BC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 w:val="44"/>
          <w:szCs w:val="44"/>
          <w:lang w:eastAsia="zh-CN"/>
        </w:rPr>
      </w:pPr>
    </w:p>
    <w:p w14:paraId="08D66D2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 w:val="44"/>
          <w:szCs w:val="44"/>
          <w:lang w:eastAsia="zh-CN"/>
        </w:rPr>
      </w:pPr>
    </w:p>
    <w:p w14:paraId="1704ACC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 w:val="44"/>
          <w:szCs w:val="44"/>
          <w:lang w:eastAsia="zh-CN"/>
        </w:rPr>
      </w:pPr>
    </w:p>
    <w:p w14:paraId="3E19A94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202</w:t>
      </w:r>
      <w:r>
        <w:rPr>
          <w:rFonts w:hint="eastAsia" w:asciiTheme="majorEastAsia" w:hAnsiTheme="majorEastAsia" w:eastAsiaTheme="majorEastAsia" w:cstheme="majorEastAsia"/>
          <w:sz w:val="44"/>
          <w:szCs w:val="44"/>
          <w:lang w:val="en-US" w:eastAsia="zh-CN"/>
        </w:rPr>
        <w:t>4</w:t>
      </w:r>
      <w:r>
        <w:rPr>
          <w:rFonts w:hint="eastAsia" w:asciiTheme="majorEastAsia" w:hAnsiTheme="majorEastAsia" w:eastAsiaTheme="majorEastAsia" w:cstheme="majorEastAsia"/>
          <w:sz w:val="44"/>
          <w:szCs w:val="44"/>
        </w:rPr>
        <w:t>年度</w:t>
      </w:r>
      <w:r>
        <w:rPr>
          <w:rFonts w:hint="eastAsia" w:asciiTheme="majorEastAsia" w:hAnsiTheme="majorEastAsia" w:eastAsiaTheme="majorEastAsia" w:cstheme="majorEastAsia"/>
          <w:sz w:val="44"/>
          <w:szCs w:val="44"/>
          <w:lang w:eastAsia="zh-CN"/>
        </w:rPr>
        <w:t>怀化市交通建设质量安全监督站</w:t>
      </w:r>
    </w:p>
    <w:p w14:paraId="0E47D2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整体支出绩效</w:t>
      </w:r>
      <w:r>
        <w:rPr>
          <w:rFonts w:hint="eastAsia" w:asciiTheme="majorEastAsia" w:hAnsiTheme="majorEastAsia" w:eastAsiaTheme="majorEastAsia" w:cstheme="majorEastAsia"/>
          <w:sz w:val="44"/>
          <w:szCs w:val="44"/>
          <w:lang w:eastAsia="zh-CN"/>
        </w:rPr>
        <w:t>自</w:t>
      </w:r>
      <w:r>
        <w:rPr>
          <w:rFonts w:hint="eastAsia" w:asciiTheme="majorEastAsia" w:hAnsiTheme="majorEastAsia" w:eastAsiaTheme="majorEastAsia" w:cstheme="majorEastAsia"/>
          <w:sz w:val="44"/>
          <w:szCs w:val="44"/>
        </w:rPr>
        <w:t>评价报告</w:t>
      </w:r>
    </w:p>
    <w:p w14:paraId="537BE82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577A2B6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rPr>
        <w:t>一、部门</w:t>
      </w:r>
      <w:r>
        <w:rPr>
          <w:rFonts w:hint="eastAsia" w:ascii="黑体" w:hAnsi="黑体" w:eastAsia="黑体" w:cs="黑体"/>
          <w:sz w:val="32"/>
          <w:szCs w:val="32"/>
          <w:lang w:eastAsia="zh-CN"/>
        </w:rPr>
        <w:t>概况</w:t>
      </w:r>
    </w:p>
    <w:p w14:paraId="4B5A4F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单位基本情况</w:t>
      </w:r>
    </w:p>
    <w:p w14:paraId="3519D9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机构设置情况</w:t>
      </w:r>
    </w:p>
    <w:p w14:paraId="6CD0CE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怀化市交通建设质量安全监督站内设机构7个，包括：综合部、人事和财务部、安全应急部、质量监理监督部、检测监督部、造价监督部、铁路质量监理监督部。</w:t>
      </w:r>
    </w:p>
    <w:p w14:paraId="2C677B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人员编制情况</w:t>
      </w:r>
    </w:p>
    <w:p w14:paraId="301878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怀化市交通建设质量安全监督站是怀化市交通运输局二级预算单位，单位性质为财政全额拨款事业单位。</w:t>
      </w:r>
      <w:r>
        <w:rPr>
          <w:rFonts w:hint="eastAsia" w:ascii="仿宋_GB2312" w:hAnsi="仿宋_GB2312" w:eastAsia="仿宋_GB2312" w:cs="仿宋_GB2312"/>
          <w:color w:val="auto"/>
          <w:sz w:val="32"/>
          <w:szCs w:val="32"/>
          <w:lang w:val="en-US" w:eastAsia="zh-CN"/>
        </w:rPr>
        <w:t>单位编制人数</w:t>
      </w:r>
      <w:r>
        <w:rPr>
          <w:rFonts w:hint="default" w:ascii="仿宋_GB2312" w:hAnsi="仿宋_GB2312" w:eastAsia="仿宋_GB2312" w:cs="仿宋_GB2312"/>
          <w:color w:val="auto"/>
          <w:sz w:val="32"/>
          <w:szCs w:val="32"/>
          <w:lang w:val="en-US" w:eastAsia="zh-CN"/>
        </w:rPr>
        <w:t>45</w:t>
      </w:r>
      <w:r>
        <w:rPr>
          <w:rFonts w:hint="eastAsia" w:ascii="仿宋_GB2312" w:hAnsi="仿宋_GB2312" w:eastAsia="仿宋_GB2312" w:cs="仿宋_GB2312"/>
          <w:color w:val="auto"/>
          <w:sz w:val="32"/>
          <w:szCs w:val="32"/>
          <w:lang w:val="en-US" w:eastAsia="zh-CN"/>
        </w:rPr>
        <w:t>人，</w:t>
      </w:r>
      <w:r>
        <w:rPr>
          <w:rFonts w:hint="default" w:ascii="仿宋_GB2312" w:hAnsi="仿宋_GB2312" w:eastAsia="仿宋_GB2312" w:cs="仿宋_GB2312"/>
          <w:color w:val="auto"/>
          <w:sz w:val="32"/>
          <w:szCs w:val="32"/>
          <w:lang w:val="en-US" w:eastAsia="zh-CN"/>
        </w:rPr>
        <w:t>202</w:t>
      </w:r>
      <w:r>
        <w:rPr>
          <w:rFonts w:hint="eastAsia" w:ascii="仿宋_GB2312" w:hAnsi="仿宋_GB2312" w:eastAsia="仿宋_GB2312" w:cs="仿宋_GB2312"/>
          <w:color w:val="auto"/>
          <w:sz w:val="32"/>
          <w:szCs w:val="32"/>
          <w:lang w:val="en-US" w:eastAsia="zh-CN"/>
        </w:rPr>
        <w:t>4年年末实有在职人员45人，退休42人。</w:t>
      </w:r>
    </w:p>
    <w:p w14:paraId="326B2A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主要职能职责</w:t>
      </w:r>
    </w:p>
    <w:p w14:paraId="2E4C81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贯彻执行国家和省交通建设工程质量、施工安全生产、工程造价的法律、法规、规章和标准，参与拟定全市交通建设工程质量、安全、造价监督的规定、办法和实施细则相关事务性工作，并组织实施；负责全市国省干线公路、水运工程建设的质量安全与造价监督等事务性工作；参与全市交通建设市场的监督；参与全市国省干线公路、水运工程建设项目交（竣）工验收等事务性工作。负责受监交通建设工程的交工质量验证检测、竣工质量鉴定，对主要工程材料、构配件、工程实体进行中间质量检查等事务性工作；承担市交通运输局审批的公路、水运等交通建设工程造价审查等事务性工作；负责全市交通建设项目的定额测定、交通建设材料价格信息的调查发布、公路水运工程造价数据库的建立和管理，协助主管部门开展造价相关事务性工作；负责受监交通建设工程监理、试验检测机构、造价咨询机构及人员的信用评价初审工作，协助主管部门进行执业培训等相关事务性工作；配合相关部门查处交通建设工程质量安全违法行为；受理对交通建设工程质量缺陷、安全生产隐患和造价相关问题的检举和投诉；调解交通建设工程造价争议；参与交通建设工程质量与生产安全事故调查处理工作；指导县市区农村公路建设质量安全造价及交通建设质量安全监督机构工作；增加地方铁路工程质量安全责任监管的事务性职责和原市交通建设工程试验检测中心的职责。</w:t>
      </w:r>
    </w:p>
    <w:p w14:paraId="1B5D3A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4、绩效目标设定情况</w:t>
      </w:r>
    </w:p>
    <w:p w14:paraId="380729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1F4E79" w:themeColor="accent1" w:themeShade="80"/>
          <w:sz w:val="32"/>
          <w:szCs w:val="32"/>
          <w:lang w:val="en-US" w:eastAsia="zh-CN"/>
        </w:rPr>
      </w:pPr>
      <w:r>
        <w:rPr>
          <w:rFonts w:hint="eastAsia" w:ascii="仿宋_GB2312" w:hAnsi="仿宋_GB2312" w:eastAsia="仿宋_GB2312" w:cs="仿宋_GB2312"/>
          <w:color w:val="auto"/>
          <w:sz w:val="32"/>
          <w:szCs w:val="32"/>
          <w:lang w:val="en-US" w:eastAsia="zh-CN"/>
        </w:rPr>
        <w:t>一是突出党建引领，强化质安队伍建设；二是加强质量安全监督，全力打造品质工程，</w:t>
      </w:r>
      <w:r>
        <w:rPr>
          <w:rFonts w:hint="eastAsia" w:ascii="仿宋" w:hAnsi="仿宋" w:eastAsia="仿宋" w:cs="仿宋"/>
          <w:color w:val="auto"/>
          <w:sz w:val="32"/>
          <w:szCs w:val="32"/>
          <w:lang w:eastAsia="zh-CN"/>
        </w:rPr>
        <w:t>确保</w:t>
      </w:r>
      <w:r>
        <w:rPr>
          <w:rFonts w:hint="eastAsia" w:ascii="仿宋" w:hAnsi="仿宋" w:eastAsia="仿宋" w:cs="仿宋"/>
          <w:color w:val="auto"/>
          <w:sz w:val="32"/>
          <w:szCs w:val="32"/>
        </w:rPr>
        <w:t>在监交通建设工程</w:t>
      </w:r>
      <w:r>
        <w:rPr>
          <w:rFonts w:hint="eastAsia" w:ascii="仿宋" w:hAnsi="仿宋" w:eastAsia="仿宋" w:cs="仿宋"/>
          <w:color w:val="auto"/>
          <w:sz w:val="32"/>
          <w:szCs w:val="32"/>
          <w:lang w:eastAsia="zh-CN"/>
        </w:rPr>
        <w:t>项目</w:t>
      </w:r>
      <w:r>
        <w:rPr>
          <w:rFonts w:hint="eastAsia" w:ascii="仿宋" w:hAnsi="仿宋" w:eastAsia="仿宋" w:cs="仿宋"/>
          <w:color w:val="auto"/>
          <w:sz w:val="32"/>
          <w:szCs w:val="32"/>
        </w:rPr>
        <w:t>质量安全监督覆盖率100%</w:t>
      </w:r>
      <w:r>
        <w:rPr>
          <w:rFonts w:hint="eastAsia" w:ascii="仿宋" w:hAnsi="仿宋" w:eastAsia="仿宋" w:cs="仿宋"/>
          <w:color w:val="auto"/>
          <w:sz w:val="32"/>
          <w:szCs w:val="32"/>
          <w:lang w:eastAsia="zh-CN"/>
        </w:rPr>
        <w:t>；二是严格监督，坚持质量安全隐患“零容忍”，确保</w:t>
      </w:r>
      <w:r>
        <w:rPr>
          <w:rFonts w:hint="eastAsia" w:ascii="仿宋_GB2312" w:hAnsi="仿宋_GB2312" w:eastAsia="仿宋_GB2312" w:cs="仿宋_GB2312"/>
          <w:color w:val="auto"/>
          <w:sz w:val="32"/>
          <w:szCs w:val="32"/>
          <w:lang w:val="en-US" w:eastAsia="zh-CN"/>
        </w:rPr>
        <w:t>受监交通建设工程质量安全总体可控，安全生产零事故；三是加强造价管理，科学控制建设成本；四是强化检测监督，规范试验检测行为；五是加强行业指导，提升基层履职能力；六是落实基础建设，聚力乡村振兴战略。</w:t>
      </w:r>
    </w:p>
    <w:p w14:paraId="6316192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部门整体支出规模、使用方向和主要内容、涉及范围等。</w:t>
      </w:r>
    </w:p>
    <w:p w14:paraId="62C7E4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本次部门整体支出评价与预算口径保持一致，以保障单位</w:t>
      </w:r>
    </w:p>
    <w:p w14:paraId="0B82FBF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jc w:val="both"/>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履行各项职能使用资金。主要用于我站日常行政运行、各类项目前期工作等经费开支。</w:t>
      </w:r>
    </w:p>
    <w:p w14:paraId="6EB2E9D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Times New Roman" w:hAnsi="Times New Roman" w:eastAsia="微软雅黑" w:cs="Times New Roman"/>
          <w:i w:val="0"/>
          <w:iCs w:val="0"/>
          <w:caps w:val="0"/>
          <w:color w:val="3D3D3D"/>
          <w:spacing w:val="0"/>
          <w:sz w:val="32"/>
          <w:szCs w:val="32"/>
        </w:rPr>
        <w:t>202</w:t>
      </w:r>
      <w:r>
        <w:rPr>
          <w:rFonts w:hint="eastAsia" w:ascii="Times New Roman" w:hAnsi="Times New Roman" w:eastAsia="微软雅黑" w:cs="Times New Roman"/>
          <w:i w:val="0"/>
          <w:iCs w:val="0"/>
          <w:caps w:val="0"/>
          <w:color w:val="3D3D3D"/>
          <w:spacing w:val="0"/>
          <w:sz w:val="32"/>
          <w:szCs w:val="32"/>
          <w:lang w:val="en-US" w:eastAsia="zh-CN"/>
        </w:rPr>
        <w:t>4</w:t>
      </w:r>
      <w:r>
        <w:rPr>
          <w:rFonts w:hint="eastAsia" w:ascii="仿宋_GB2312" w:hAnsi="Times New Roman" w:eastAsia="仿宋_GB2312" w:cs="仿宋_GB2312"/>
          <w:i w:val="0"/>
          <w:iCs w:val="0"/>
          <w:caps w:val="0"/>
          <w:color w:val="3D3D3D"/>
          <w:spacing w:val="0"/>
          <w:sz w:val="32"/>
          <w:szCs w:val="32"/>
        </w:rPr>
        <w:t>年</w:t>
      </w:r>
      <w:r>
        <w:rPr>
          <w:rFonts w:hint="eastAsia" w:ascii="仿宋_GB2312" w:hAnsi="Times New Roman" w:eastAsia="仿宋_GB2312" w:cs="仿宋_GB2312"/>
          <w:i w:val="0"/>
          <w:iCs w:val="0"/>
          <w:caps w:val="0"/>
          <w:color w:val="3D3D3D"/>
          <w:spacing w:val="0"/>
          <w:sz w:val="32"/>
          <w:szCs w:val="32"/>
          <w:lang w:eastAsia="zh-CN"/>
        </w:rPr>
        <w:t>年初预算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710.9万元，其中基本支出年初预算698.7万元，项目支出年初预算12.2万元。2024年决算数为859.78万元，其中工资福利支出594.52万元，商品服务服务支出150.63万元，对家庭和个人的补助109.88万元,资本性支出4.75万元。</w:t>
      </w:r>
    </w:p>
    <w:p w14:paraId="79BF9A1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二、一般公共预算支出情况</w:t>
      </w:r>
    </w:p>
    <w:p w14:paraId="663D6D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）基本支出</w:t>
      </w:r>
    </w:p>
    <w:p w14:paraId="5E5445F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1、基本支出的主要用途、范围及管理</w:t>
      </w:r>
    </w:p>
    <w:p w14:paraId="61D3BA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基本支出决算数716.30万元。包括用于在职和离退休人员基本工资、津贴补贴等人员经费以及办公费、印刷费、水电费、差旅费、办公设备购置等日常公用经费。主要是人员经费支出决算数664.78万元，公用经费支出决算数51.52万元。按照经济科目分类如下：</w:t>
      </w:r>
    </w:p>
    <w:p w14:paraId="06EE3A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资福利支出594.52万元。其中：基本工资201.79万元、津补贴及绩效工资201.11万元、奖金41.05万元、伙食补助费9.65万元，机关事业单位基本养老保险缴费50.29万元，职工基本医疗保险缴费26.71万元，其他社会保障缴费3.70万元。</w:t>
      </w:r>
    </w:p>
    <w:p w14:paraId="1FE5AF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商品和服务支出51.52万元。其中：水电费8.92万元、委托业务费42.60万元。</w:t>
      </w:r>
    </w:p>
    <w:p w14:paraId="5D2D29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对家庭和个人的补助70.26万元。主要是生活补助、67.47万元，奖励金1.30万元，其他对个人和家庭的补助1.49万元。</w:t>
      </w:r>
    </w:p>
    <w:p w14:paraId="3D54C9A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2</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、三公”经费的使用和管理</w:t>
      </w:r>
    </w:p>
    <w:p w14:paraId="65284E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预算安排“三公经费”数1.5万元，2024年“三公经费”决算数12.83万元，其中：公务用车购置及运行维护费12.63万元，公务接待费0.2万元，因公出国费0万元。“三公经费”同比增加5.51万元，增幅75.24%，主要原因是因为重要农村公路监督职责工作增加，对接工作更加频繁。</w:t>
      </w:r>
    </w:p>
    <w:p w14:paraId="7DAADC5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项目支出</w:t>
      </w:r>
    </w:p>
    <w:p w14:paraId="6E8BB03A">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620" w:lineRule="exact"/>
        <w:ind w:leftChars="200" w:right="0" w:rightChars="0"/>
        <w:jc w:val="both"/>
        <w:textAlignment w:val="auto"/>
        <w:rPr>
          <w:rFonts w:hint="eastAsia" w:ascii="仿宋" w:hAnsi="仿宋" w:eastAsia="仿宋" w:cs="仿宋"/>
          <w:bCs/>
          <w:color w:val="auto"/>
          <w:kern w:val="2"/>
          <w:sz w:val="32"/>
          <w:szCs w:val="32"/>
          <w:shd w:val="clear" w:color="auto" w:fill="auto"/>
          <w:lang w:val="en-US" w:eastAsia="zh-CN" w:bidi="ar-SA"/>
        </w:rPr>
      </w:pPr>
      <w:r>
        <w:rPr>
          <w:rFonts w:hint="eastAsia" w:ascii="仿宋" w:hAnsi="仿宋" w:eastAsia="仿宋" w:cs="仿宋"/>
          <w:bCs/>
          <w:color w:val="auto"/>
          <w:kern w:val="2"/>
          <w:sz w:val="32"/>
          <w:szCs w:val="32"/>
          <w:shd w:val="clear" w:color="auto" w:fill="auto"/>
          <w:lang w:val="en-US" w:eastAsia="zh-CN" w:bidi="ar-SA"/>
        </w:rPr>
        <w:t>1、项目资金安排及使用情况分析</w:t>
      </w:r>
    </w:p>
    <w:p w14:paraId="364D98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70C0"/>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2024年项目资金年度财政拨款收入共计143.48万元，财政拨款项目支出共143.48万元，年末无结余，执行率100%。2024年项目支出143.48万元</w:t>
      </w:r>
      <w:r>
        <w:rPr>
          <w:rFonts w:hint="eastAsia" w:ascii="仿宋_GB2312" w:hAnsi="仿宋_GB2312" w:eastAsia="仿宋_GB2312" w:cs="仿宋_GB2312"/>
          <w:color w:val="auto"/>
          <w:sz w:val="32"/>
          <w:szCs w:val="32"/>
          <w:lang w:val="en-US" w:eastAsia="zh-CN"/>
        </w:rPr>
        <w:t>，共4个项目。分别是重要农村公路监督工作经费20万元；国省干路公路大中修工程质量安全监督工作经费50万元；公路水路工程质量验证性检测费63.48万元；交通安全经费10万元。</w:t>
      </w:r>
    </w:p>
    <w:p w14:paraId="54A9E2F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bCs/>
          <w:color w:val="auto"/>
          <w:sz w:val="32"/>
          <w:szCs w:val="32"/>
          <w:highlight w:val="none"/>
          <w:lang w:eastAsia="zh-CN"/>
        </w:rPr>
      </w:pPr>
      <w:r>
        <w:rPr>
          <w:rFonts w:hint="eastAsia" w:ascii="黑体" w:hAnsi="黑体" w:eastAsia="黑体" w:cs="黑体"/>
          <w:sz w:val="32"/>
          <w:szCs w:val="32"/>
          <w:lang w:val="en-US" w:eastAsia="zh-CN"/>
        </w:rPr>
        <w:t>三、项目组织实施情况</w:t>
      </w:r>
    </w:p>
    <w:p w14:paraId="79D83B6C">
      <w:pPr>
        <w:keepNext w:val="0"/>
        <w:keepLines w:val="0"/>
        <w:pageBreakBefore w:val="0"/>
        <w:widowControl w:val="0"/>
        <w:kinsoku/>
        <w:wordWrap/>
        <w:overflowPunct/>
        <w:topLinePunct w:val="0"/>
        <w:autoSpaceDE/>
        <w:autoSpaceDN/>
        <w:bidi w:val="0"/>
        <w:adjustRightInd/>
        <w:snapToGrid w:val="0"/>
        <w:spacing w:line="620" w:lineRule="exact"/>
        <w:ind w:left="0" w:firstLine="640" w:firstLineChars="200"/>
        <w:jc w:val="both"/>
        <w:textAlignment w:val="auto"/>
        <w:rPr>
          <w:rFonts w:hint="eastAsia" w:ascii="仿宋" w:hAnsi="仿宋" w:eastAsia="仿宋" w:cs="仿宋"/>
          <w:bCs/>
          <w:color w:val="auto"/>
          <w:sz w:val="32"/>
          <w:szCs w:val="32"/>
          <w:shd w:val="clear" w:color="auto" w:fill="auto"/>
          <w:lang w:eastAsia="zh-CN"/>
        </w:rPr>
      </w:pPr>
      <w:r>
        <w:rPr>
          <w:rFonts w:hint="eastAsia" w:ascii="仿宋" w:hAnsi="仿宋" w:eastAsia="仿宋" w:cs="仿宋"/>
          <w:bCs/>
          <w:color w:val="auto"/>
          <w:sz w:val="32"/>
          <w:szCs w:val="32"/>
          <w:shd w:val="clear" w:color="auto" w:fill="auto"/>
          <w:lang w:eastAsia="zh-CN"/>
        </w:rPr>
        <w:t>我站积极落实专项资金管理制度，严格按照《怀化市本级财政专项资金管理办法》，</w:t>
      </w:r>
      <w:r>
        <w:rPr>
          <w:rFonts w:hint="eastAsia" w:ascii="仿宋_GB2312" w:hAnsi="Times New Roman" w:eastAsia="仿宋_GB2312" w:cs="仿宋_GB2312"/>
          <w:i w:val="0"/>
          <w:iCs w:val="0"/>
          <w:caps w:val="0"/>
          <w:color w:val="3D3D3D"/>
          <w:spacing w:val="0"/>
          <w:sz w:val="32"/>
          <w:szCs w:val="32"/>
        </w:rPr>
        <w:t>重大事项报党组研究决定，日常工作报分管领导决定，保障各项工作稳步推进。</w:t>
      </w:r>
      <w:r>
        <w:rPr>
          <w:rFonts w:hint="eastAsia" w:ascii="仿宋" w:hAnsi="仿宋" w:eastAsia="仿宋" w:cs="仿宋"/>
          <w:bCs/>
          <w:color w:val="auto"/>
          <w:sz w:val="32"/>
          <w:szCs w:val="32"/>
          <w:shd w:val="clear" w:color="auto" w:fill="auto"/>
          <w:lang w:eastAsia="zh-CN"/>
        </w:rPr>
        <w:t>并接受财政等部门的监督，做到了专款专用，无滞留、截留、挤占和挪用的现象。</w:t>
      </w:r>
    </w:p>
    <w:p w14:paraId="35D44E2F">
      <w:pPr>
        <w:keepNext w:val="0"/>
        <w:keepLines w:val="0"/>
        <w:pageBreakBefore w:val="0"/>
        <w:widowControl w:val="0"/>
        <w:numPr>
          <w:ilvl w:val="0"/>
          <w:numId w:val="3"/>
        </w:numPr>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资产管理情况</w:t>
      </w:r>
    </w:p>
    <w:p w14:paraId="158C2A6B">
      <w:pPr>
        <w:keepNext w:val="0"/>
        <w:keepLines w:val="0"/>
        <w:pageBreakBefore w:val="0"/>
        <w:widowControl w:val="0"/>
        <w:kinsoku/>
        <w:wordWrap/>
        <w:overflowPunct/>
        <w:topLinePunct w:val="0"/>
        <w:autoSpaceDE/>
        <w:autoSpaceDN/>
        <w:bidi w:val="0"/>
        <w:adjustRightInd/>
        <w:snapToGrid w:val="0"/>
        <w:spacing w:line="620" w:lineRule="exact"/>
        <w:ind w:left="0" w:firstLine="640" w:firstLineChars="200"/>
        <w:jc w:val="both"/>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仿宋" w:hAnsi="仿宋" w:eastAsia="仿宋" w:cs="仿宋"/>
          <w:bCs/>
          <w:color w:val="auto"/>
          <w:sz w:val="32"/>
          <w:szCs w:val="32"/>
          <w:shd w:val="clear" w:color="auto" w:fill="auto"/>
          <w:lang w:eastAsia="zh-CN"/>
        </w:rPr>
        <w:t>我站严格遵守固定资产的处置严格履行审批手续和程序，报市机关事务局、市财政局审批后处置，做好资产清查工作，确保资产账账相符、账实相符。20</w:t>
      </w:r>
      <w:r>
        <w:rPr>
          <w:rFonts w:hint="eastAsia" w:ascii="仿宋" w:hAnsi="仿宋" w:eastAsia="仿宋" w:cs="仿宋"/>
          <w:bCs/>
          <w:color w:val="auto"/>
          <w:sz w:val="32"/>
          <w:szCs w:val="32"/>
          <w:shd w:val="clear" w:color="auto" w:fill="auto"/>
          <w:lang w:val="en-US" w:eastAsia="zh-CN"/>
        </w:rPr>
        <w:t>24</w:t>
      </w:r>
      <w:r>
        <w:rPr>
          <w:rFonts w:hint="eastAsia" w:ascii="仿宋" w:hAnsi="仿宋" w:eastAsia="仿宋" w:cs="仿宋"/>
          <w:bCs/>
          <w:color w:val="auto"/>
          <w:sz w:val="32"/>
          <w:szCs w:val="32"/>
          <w:shd w:val="clear" w:color="auto" w:fill="auto"/>
          <w:lang w:eastAsia="zh-CN"/>
        </w:rPr>
        <w:t>年12月底，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市交通建设质量安全监督站</w:t>
      </w:r>
      <w:r>
        <w:rPr>
          <w:rFonts w:hint="eastAsia" w:ascii="仿宋" w:hAnsi="仿宋" w:eastAsia="仿宋" w:cs="仿宋"/>
          <w:bCs/>
          <w:color w:val="auto"/>
          <w:sz w:val="32"/>
          <w:szCs w:val="32"/>
          <w:shd w:val="clear" w:color="auto" w:fill="auto"/>
          <w:lang w:eastAsia="zh-CN"/>
        </w:rPr>
        <w:t>固定资产账面原值余额</w:t>
      </w:r>
      <w:r>
        <w:rPr>
          <w:rFonts w:hint="eastAsia" w:ascii="仿宋" w:hAnsi="仿宋" w:eastAsia="仿宋" w:cs="仿宋"/>
          <w:bCs/>
          <w:color w:val="auto"/>
          <w:sz w:val="32"/>
          <w:szCs w:val="32"/>
          <w:shd w:val="clear" w:color="auto" w:fill="auto"/>
          <w:lang w:val="en-US" w:eastAsia="zh-CN"/>
        </w:rPr>
        <w:t>2811.93</w:t>
      </w:r>
      <w:r>
        <w:rPr>
          <w:rFonts w:hint="eastAsia" w:ascii="仿宋" w:hAnsi="仿宋" w:eastAsia="仿宋" w:cs="仿宋"/>
          <w:bCs/>
          <w:color w:val="auto"/>
          <w:sz w:val="32"/>
          <w:szCs w:val="32"/>
          <w:shd w:val="clear" w:color="auto" w:fill="auto"/>
          <w:lang w:eastAsia="zh-CN"/>
        </w:rPr>
        <w:t>万元，累计折旧</w:t>
      </w:r>
      <w:r>
        <w:rPr>
          <w:rFonts w:hint="eastAsia" w:ascii="仿宋" w:hAnsi="仿宋" w:eastAsia="仿宋" w:cs="仿宋"/>
          <w:bCs/>
          <w:color w:val="auto"/>
          <w:sz w:val="32"/>
          <w:szCs w:val="32"/>
          <w:shd w:val="clear" w:color="auto" w:fill="auto"/>
          <w:lang w:val="en-US" w:eastAsia="zh-CN"/>
        </w:rPr>
        <w:t>2211.03万元，</w:t>
      </w:r>
      <w:r>
        <w:rPr>
          <w:rFonts w:hint="eastAsia" w:ascii="仿宋" w:hAnsi="仿宋" w:eastAsia="仿宋" w:cs="仿宋"/>
          <w:bCs/>
          <w:color w:val="auto"/>
          <w:sz w:val="32"/>
          <w:szCs w:val="32"/>
          <w:shd w:val="clear" w:color="auto" w:fill="auto"/>
          <w:lang w:eastAsia="zh-CN"/>
        </w:rPr>
        <w:t>净值</w:t>
      </w:r>
      <w:r>
        <w:rPr>
          <w:rFonts w:hint="eastAsia" w:ascii="仿宋" w:hAnsi="仿宋" w:eastAsia="仿宋" w:cs="仿宋"/>
          <w:bCs/>
          <w:color w:val="auto"/>
          <w:sz w:val="32"/>
          <w:szCs w:val="32"/>
          <w:shd w:val="clear" w:color="auto" w:fill="auto"/>
          <w:lang w:val="en-US" w:eastAsia="zh-CN"/>
        </w:rPr>
        <w:t>600.9</w:t>
      </w:r>
      <w:r>
        <w:rPr>
          <w:rFonts w:hint="eastAsia" w:ascii="仿宋" w:hAnsi="仿宋" w:eastAsia="仿宋" w:cs="仿宋"/>
          <w:bCs/>
          <w:color w:val="auto"/>
          <w:sz w:val="32"/>
          <w:szCs w:val="32"/>
          <w:shd w:val="clear" w:color="auto" w:fill="auto"/>
          <w:lang w:eastAsia="zh-CN"/>
        </w:rPr>
        <w:t>万元。</w:t>
      </w:r>
    </w:p>
    <w:p w14:paraId="4FDB99CA">
      <w:pPr>
        <w:keepNext w:val="0"/>
        <w:keepLines w:val="0"/>
        <w:pageBreakBefore w:val="0"/>
        <w:widowControl w:val="0"/>
        <w:numPr>
          <w:ilvl w:val="0"/>
          <w:numId w:val="3"/>
        </w:numPr>
        <w:kinsoku/>
        <w:wordWrap/>
        <w:overflowPunct/>
        <w:topLinePunct w:val="0"/>
        <w:autoSpaceDE/>
        <w:autoSpaceDN/>
        <w:bidi w:val="0"/>
        <w:adjustRightInd/>
        <w:snapToGrid w:val="0"/>
        <w:spacing w:line="620" w:lineRule="exact"/>
        <w:ind w:left="0" w:leftChars="0" w:firstLine="0" w:firstLineChars="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政府性基金预算支出情况</w:t>
      </w:r>
    </w:p>
    <w:p w14:paraId="4326461B">
      <w:pPr>
        <w:keepNext w:val="0"/>
        <w:keepLines w:val="0"/>
        <w:pageBreakBefore w:val="0"/>
        <w:widowControl w:val="0"/>
        <w:kinsoku/>
        <w:wordWrap/>
        <w:overflowPunct/>
        <w:topLinePunct w:val="0"/>
        <w:autoSpaceDE/>
        <w:autoSpaceDN/>
        <w:bidi w:val="0"/>
        <w:adjustRightInd/>
        <w:spacing w:line="620" w:lineRule="exact"/>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2024年无政府性基金预算支出情况。</w:t>
      </w:r>
    </w:p>
    <w:p w14:paraId="7F5902B2">
      <w:pPr>
        <w:keepNext w:val="0"/>
        <w:keepLines w:val="0"/>
        <w:pageBreakBefore w:val="0"/>
        <w:widowControl w:val="0"/>
        <w:numPr>
          <w:ilvl w:val="0"/>
          <w:numId w:val="3"/>
        </w:numPr>
        <w:kinsoku/>
        <w:wordWrap/>
        <w:overflowPunct/>
        <w:topLinePunct w:val="0"/>
        <w:autoSpaceDE/>
        <w:autoSpaceDN/>
        <w:bidi w:val="0"/>
        <w:adjustRightInd/>
        <w:snapToGrid w:val="0"/>
        <w:spacing w:line="620" w:lineRule="exact"/>
        <w:ind w:left="0" w:leftChars="0" w:firstLine="0" w:firstLineChars="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国有资本经营预算支出情况</w:t>
      </w:r>
    </w:p>
    <w:p w14:paraId="7F95C3CD">
      <w:pPr>
        <w:keepNext w:val="0"/>
        <w:keepLines w:val="0"/>
        <w:pageBreakBefore w:val="0"/>
        <w:widowControl w:val="0"/>
        <w:kinsoku/>
        <w:wordWrap/>
        <w:overflowPunct/>
        <w:topLinePunct w:val="0"/>
        <w:autoSpaceDE/>
        <w:autoSpaceDN/>
        <w:bidi w:val="0"/>
        <w:adjustRightInd/>
        <w:spacing w:line="620" w:lineRule="exact"/>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2024年无国有资本经营预算支出情况。</w:t>
      </w:r>
    </w:p>
    <w:p w14:paraId="6A494EB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七</w:t>
      </w:r>
      <w:r>
        <w:rPr>
          <w:rFonts w:hint="eastAsia" w:ascii="黑体" w:hAnsi="黑体" w:eastAsia="黑体" w:cs="黑体"/>
          <w:color w:val="000000" w:themeColor="text1"/>
          <w:sz w:val="32"/>
          <w:szCs w:val="32"/>
          <w14:textFill>
            <w14:solidFill>
              <w14:schemeClr w14:val="tx1"/>
            </w14:solidFill>
          </w14:textFill>
        </w:rPr>
        <w:t>、社会保险基金预算支出情况</w:t>
      </w:r>
    </w:p>
    <w:p w14:paraId="58EF45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w:t>
      </w:r>
      <w:r>
        <w:rPr>
          <w:rFonts w:hint="eastAsia" w:ascii="仿宋_GB2312" w:hAnsi="仿宋_GB2312" w:eastAsia="仿宋_GB2312" w:cs="仿宋_GB2312"/>
          <w:color w:val="auto"/>
          <w:sz w:val="32"/>
          <w:szCs w:val="32"/>
          <w:lang w:val="en-US" w:eastAsia="zh-CN"/>
        </w:rPr>
        <w:t>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社会保险基金预算支出情况。</w:t>
      </w:r>
    </w:p>
    <w:p w14:paraId="4B5344C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八、</w:t>
      </w:r>
      <w:r>
        <w:rPr>
          <w:rFonts w:hint="eastAsia" w:ascii="黑体" w:hAnsi="黑体" w:eastAsia="黑体" w:cs="黑体"/>
          <w:color w:val="auto"/>
          <w:sz w:val="32"/>
          <w:szCs w:val="32"/>
          <w:highlight w:val="none"/>
        </w:rPr>
        <w:t>部门整体支出绩效情况</w:t>
      </w:r>
    </w:p>
    <w:p w14:paraId="097097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eastAsia="zh-CN"/>
        </w:rPr>
        <w:t>本单位认真组织实施交通安全质量监督工作，并开展绩效自评工作，自评得分为</w:t>
      </w:r>
      <w:r>
        <w:rPr>
          <w:rFonts w:hint="eastAsia" w:ascii="仿宋_GB2312" w:hAnsi="仿宋_GB2312" w:eastAsia="仿宋_GB2312" w:cs="仿宋_GB2312"/>
          <w:color w:val="auto"/>
          <w:sz w:val="32"/>
          <w:szCs w:val="32"/>
          <w:lang w:val="en-US" w:eastAsia="zh-CN"/>
        </w:rPr>
        <w:t>98</w:t>
      </w:r>
      <w:r>
        <w:rPr>
          <w:rFonts w:hint="eastAsia" w:ascii="仿宋_GB2312" w:hAnsi="仿宋_GB2312" w:eastAsia="仿宋_GB2312" w:cs="仿宋_GB2312"/>
          <w:color w:val="auto"/>
          <w:sz w:val="32"/>
          <w:szCs w:val="32"/>
          <w:lang w:eastAsia="zh-CN"/>
        </w:rPr>
        <w:t>分，自评结果为“优”。具体整体支出绩效如下所述：</w:t>
      </w:r>
    </w:p>
    <w:p w14:paraId="276EAA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（一）保障交通工程质量安全</w:t>
      </w:r>
    </w:p>
    <w:p w14:paraId="0BBBCEA3">
      <w:pPr>
        <w:pStyle w:val="9"/>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2024年以来，我站在省交通质安局、市交通运输局的正确领导下，以党建工作为引领，以“赋码管理”为抓手，全站上下齐心协力，切实推进怀化市交通建设高质量发展，工程质量稳步提升，安全生产形势持续向好。截至目前全市在监项目共35个，含国省干线公路11个、水运项目1个、农村公路渡改桥及国省道危桥改造 19个、国省道大中修养护工程2个、地方专用铁路1个、重要农村公路1个。今年已完成赋码管理暨季度综合检查三次、专项检查23次，印发督办意见16份，整改通知10份，预警提醒通知6份，因突出隐患约谈参建单位负责人24人次。组织了9次关键层面中间交验，对6个已完工项目进行了交工核验，竣工鉴定合格项目17个。全市在建交通建设工程质量安全监督覆盖率100%，质量安全形势总体可控，持续保持质量安全零事故。</w:t>
      </w:r>
    </w:p>
    <w:p w14:paraId="329D2C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（二）</w:t>
      </w:r>
      <w:r>
        <w:rPr>
          <w:rFonts w:hint="eastAsia" w:ascii="仿宋" w:hAnsi="仿宋" w:eastAsia="仿宋" w:cs="仿宋"/>
          <w:color w:val="auto"/>
          <w:kern w:val="2"/>
          <w:sz w:val="32"/>
          <w:szCs w:val="32"/>
          <w:lang w:val="en-US" w:eastAsia="zh-CN" w:bidi="ar-SA"/>
        </w:rPr>
        <w:t>党建引领明方向，品牌创建促发展</w:t>
      </w:r>
    </w:p>
    <w:p w14:paraId="6DF202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坚持党建和业务工作“两手抓、两手都要硬”的要求，通过“党建+项目建设”品牌创建，推进基层党支部战斗堡垒作用向下延伸。由党总支委员任临时党支部支部书记，牵头在两个全市重点交通建设项目（溆浦桥思公路、会同林坪公路）成立临时党支部，使“党旗飘在项目一线、党员冲在项目一线、服务下沉项目一线”，促进党建工作与业务工作深度融合，充分发挥党组织和党员先锋模范作用，助推重点项目建设。</w:t>
      </w:r>
    </w:p>
    <w:p w14:paraId="185834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eastAsia="zh-CN"/>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安全监督稳如山，平安建设永相伴</w:t>
      </w:r>
    </w:p>
    <w:p w14:paraId="1E27365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b w:val="0"/>
          <w:bCs w:val="0"/>
          <w:color w:val="auto"/>
          <w:sz w:val="32"/>
          <w:szCs w:val="32"/>
          <w:lang w:eastAsia="zh-CN"/>
        </w:rPr>
        <w:t>一是提级督办促整改。</w:t>
      </w:r>
      <w:r>
        <w:rPr>
          <w:rFonts w:hint="eastAsia" w:ascii="仿宋" w:hAnsi="仿宋" w:eastAsia="仿宋" w:cs="仿宋"/>
          <w:color w:val="auto"/>
          <w:sz w:val="32"/>
          <w:szCs w:val="32"/>
          <w:lang w:eastAsia="zh-CN"/>
        </w:rPr>
        <w:t>在全市交通运输系统安全生产例会上，我站对工程建设中如违反“三同时”违规试运营，擅自取消边坡防护，报价偏低的墩柱防撞护弦久拖未实施等涉重大安全隐患进行了视频警示通报，并提请市交通运输局安委会提级至市安委会挂牌督办。本年度，通过曝光和提级督办的重大安全隐患共5处，已完成整改4处，剩余1处已出具专项设计施工图，正在推进中。</w:t>
      </w:r>
      <w:r>
        <w:rPr>
          <w:rFonts w:hint="eastAsia" w:ascii="仿宋" w:hAnsi="仿宋" w:eastAsia="仿宋" w:cs="仿宋"/>
          <w:b w:val="0"/>
          <w:bCs w:val="0"/>
          <w:color w:val="auto"/>
          <w:sz w:val="32"/>
          <w:szCs w:val="32"/>
          <w:lang w:eastAsia="zh-CN"/>
        </w:rPr>
        <w:t>二是赋码管理提效能。</w:t>
      </w:r>
      <w:r>
        <w:rPr>
          <w:rFonts w:hint="eastAsia" w:ascii="仿宋" w:hAnsi="仿宋" w:eastAsia="仿宋" w:cs="仿宋"/>
          <w:color w:val="auto"/>
          <w:sz w:val="32"/>
          <w:szCs w:val="32"/>
          <w:lang w:eastAsia="zh-CN"/>
        </w:rPr>
        <w:t>交通建设领域深入实施安全“赋码管理”，以“码”窥安全，用“码”促提升。今年以来，已赋绿码企业40家、黄码企业8家、红码企业4家，此举措起到了良好的安全警醒作用。</w:t>
      </w:r>
      <w:r>
        <w:rPr>
          <w:rFonts w:hint="eastAsia" w:ascii="仿宋" w:hAnsi="仿宋" w:eastAsia="仿宋" w:cs="仿宋"/>
          <w:b w:val="0"/>
          <w:bCs w:val="0"/>
          <w:color w:val="auto"/>
          <w:sz w:val="32"/>
          <w:szCs w:val="32"/>
          <w:lang w:eastAsia="zh-CN"/>
        </w:rPr>
        <w:t>三是预防事故保安宁。</w:t>
      </w:r>
      <w:r>
        <w:rPr>
          <w:rFonts w:hint="eastAsia" w:ascii="仿宋" w:hAnsi="仿宋" w:eastAsia="仿宋" w:cs="仿宋"/>
          <w:color w:val="auto"/>
          <w:sz w:val="32"/>
          <w:szCs w:val="32"/>
          <w:lang w:eastAsia="zh-CN"/>
        </w:rPr>
        <w:t>我市充分发挥安全生产责任险事故预防服务作用，享安责险“红利”，组织开展现场隐患排查和救援培训安全教育，参与培训人员达200余人。同时，发放《安全生产月宣传手册》、《施工作业人员安全指导手册》和《交通运输行业重大事故隐患判定标准判定指南和基础清单汇编》共计2000余册。</w:t>
      </w:r>
      <w:r>
        <w:rPr>
          <w:rFonts w:hint="eastAsia" w:ascii="仿宋" w:hAnsi="仿宋" w:eastAsia="仿宋" w:cs="仿宋"/>
          <w:b w:val="0"/>
          <w:bCs w:val="0"/>
          <w:color w:val="auto"/>
          <w:sz w:val="32"/>
          <w:szCs w:val="32"/>
          <w:lang w:eastAsia="zh-CN"/>
        </w:rPr>
        <w:t>四是“和谐工地”助实效。</w:t>
      </w:r>
      <w:r>
        <w:rPr>
          <w:rFonts w:hint="eastAsia" w:ascii="仿宋" w:hAnsi="仿宋" w:eastAsia="仿宋" w:cs="仿宋"/>
          <w:color w:val="auto"/>
          <w:sz w:val="32"/>
          <w:szCs w:val="32"/>
          <w:lang w:eastAsia="zh-CN"/>
        </w:rPr>
        <w:t>为优化质监服务新模式，消除路域外部环境影响，推行“和谐工地”建设，通过发挥党员模范作用、加强与群众联系、及时回应群众反映和诉求、组织技能培训等工作，各项措施深受村民好评，极大减少了修路架桥带来的“路群”矛盾。</w:t>
      </w:r>
    </w:p>
    <w:p w14:paraId="0E0E41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eastAsia="zh-CN"/>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质量监督严把关，铸造精品护前行</w:t>
      </w:r>
    </w:p>
    <w:p w14:paraId="6CAD53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b w:val="0"/>
          <w:bCs w:val="0"/>
          <w:color w:val="auto"/>
          <w:sz w:val="32"/>
          <w:szCs w:val="32"/>
          <w:lang w:eastAsia="zh-CN"/>
        </w:rPr>
        <w:t>一是“平百工程”建设。G209会同县坪村至林城公路改建工程</w:t>
      </w:r>
      <w:r>
        <w:rPr>
          <w:rFonts w:hint="eastAsia" w:ascii="仿宋" w:hAnsi="仿宋" w:eastAsia="仿宋" w:cs="仿宋"/>
          <w:color w:val="auto"/>
          <w:sz w:val="32"/>
          <w:szCs w:val="32"/>
          <w:lang w:eastAsia="zh-CN"/>
        </w:rPr>
        <w:t>项目是我市唯一一个入选省厅“平安百年品质工程”示范创建项目。项目受监一年半来，我站始终秉持“监督+服务”的严管等于厚爱理念，出动专业技术人员50余人次，提出的“支挡+植被”边坡防护理念、构造物特别夯实区填筑减少工后沉降等在实际运用中取得“适用、经济、绿色、美观”的成效，为“平百工程”迈出扎实的一步。</w:t>
      </w:r>
      <w:r>
        <w:rPr>
          <w:rFonts w:hint="eastAsia" w:ascii="仿宋" w:hAnsi="仿宋" w:eastAsia="仿宋" w:cs="仿宋"/>
          <w:b w:val="0"/>
          <w:bCs w:val="0"/>
          <w:color w:val="auto"/>
          <w:sz w:val="32"/>
          <w:szCs w:val="32"/>
          <w:lang w:eastAsia="zh-CN"/>
        </w:rPr>
        <w:t>二是大中修工程。</w:t>
      </w:r>
      <w:r>
        <w:rPr>
          <w:rFonts w:hint="eastAsia" w:ascii="仿宋" w:hAnsi="仿宋" w:eastAsia="仿宋" w:cs="仿宋"/>
          <w:color w:val="auto"/>
          <w:sz w:val="32"/>
          <w:szCs w:val="32"/>
          <w:lang w:eastAsia="zh-CN"/>
        </w:rPr>
        <w:t>我市普通国省道大中修从2022年开始由市级为建设责任主体组织实施，近三年的路况“优良路率”实现了显著提升，从2021年县市区为建设责任主体的87%跃升至今年的98%，并且在全省的排名也逐年攀升，连续两年稳居全省榜首。</w:t>
      </w:r>
      <w:r>
        <w:rPr>
          <w:rFonts w:hint="eastAsia" w:ascii="仿宋" w:hAnsi="仿宋" w:eastAsia="仿宋" w:cs="仿宋"/>
          <w:b w:val="0"/>
          <w:bCs w:val="0"/>
          <w:color w:val="auto"/>
          <w:sz w:val="32"/>
          <w:szCs w:val="32"/>
          <w:lang w:eastAsia="zh-CN"/>
        </w:rPr>
        <w:t>三是地方铁路建设。目</w:t>
      </w:r>
      <w:r>
        <w:rPr>
          <w:rFonts w:hint="eastAsia" w:ascii="仿宋" w:hAnsi="仿宋" w:eastAsia="仿宋" w:cs="仿宋"/>
          <w:color w:val="auto"/>
          <w:sz w:val="32"/>
          <w:szCs w:val="32"/>
          <w:lang w:eastAsia="zh-CN"/>
        </w:rPr>
        <w:t>前我市正在举全市之力推动怀化国际陆港建设，地方铁路专用线建设进入高潮。我站积极推动监督体系建设，聚焦目前地方铁路在行业管理上的重点和难点问题,与省铁线办联合开展湖南省地方铁路质量监督管理办法及竣工验收程序研究，在智能化、创新性行业引导项目上联合中南大学科研团队，开展铁路专用线无人道口智能化识别及控制系统科技公关课题研究。</w:t>
      </w:r>
      <w:r>
        <w:rPr>
          <w:rFonts w:hint="eastAsia" w:ascii="仿宋" w:hAnsi="仿宋" w:eastAsia="仿宋" w:cs="仿宋"/>
          <w:b w:val="0"/>
          <w:bCs w:val="0"/>
          <w:color w:val="auto"/>
          <w:sz w:val="32"/>
          <w:szCs w:val="32"/>
          <w:lang w:eastAsia="zh-CN"/>
        </w:rPr>
        <w:t>四是交工核验工作。</w:t>
      </w:r>
      <w:r>
        <w:rPr>
          <w:rFonts w:hint="eastAsia" w:ascii="仿宋" w:hAnsi="仿宋" w:eastAsia="仿宋" w:cs="仿宋"/>
          <w:color w:val="auto"/>
          <w:sz w:val="32"/>
          <w:szCs w:val="32"/>
          <w:lang w:eastAsia="zh-CN"/>
        </w:rPr>
        <w:t>从去年开始，交工验收前的最后一道“关口”完全盯牢。我站主动作为积极争取市级财政经费保障，对已完工项目开展了交工质量验证性检测，共抽查工程实体检测项目5834组，发现并督促整改的外观质量缺陷近60个，全面验证了交工检测数据，排查了外观质量缺陷，目前完成了</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个项目的检测费用结算，共计</w:t>
      </w:r>
      <w:r>
        <w:rPr>
          <w:rFonts w:hint="eastAsia" w:ascii="仿宋_GB2312" w:hAnsi="仿宋_GB2312" w:eastAsia="仿宋_GB2312" w:cs="仿宋_GB2312"/>
          <w:color w:val="auto"/>
          <w:sz w:val="32"/>
          <w:szCs w:val="32"/>
          <w:lang w:val="en-US" w:eastAsia="zh-CN"/>
        </w:rPr>
        <w:t>63.48</w:t>
      </w:r>
      <w:r>
        <w:rPr>
          <w:rFonts w:hint="eastAsia" w:ascii="仿宋" w:hAnsi="仿宋" w:eastAsia="仿宋" w:cs="仿宋"/>
          <w:color w:val="auto"/>
          <w:sz w:val="32"/>
          <w:szCs w:val="32"/>
          <w:lang w:eastAsia="zh-CN"/>
        </w:rPr>
        <w:t>万元。</w:t>
      </w:r>
    </w:p>
    <w:p w14:paraId="612E5D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eastAsia="zh-CN"/>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b w:val="0"/>
          <w:bCs w:val="0"/>
          <w:color w:val="auto"/>
          <w:sz w:val="32"/>
          <w:szCs w:val="32"/>
          <w:lang w:eastAsia="zh-CN"/>
        </w:rPr>
        <w:t>造价监督齐发力，合理取费共提升</w:t>
      </w:r>
    </w:p>
    <w:p w14:paraId="5A78B3AA">
      <w:pPr>
        <w:keepNext w:val="0"/>
        <w:keepLines w:val="0"/>
        <w:pageBreakBefore w:val="0"/>
        <w:widowControl/>
        <w:kinsoku/>
        <w:wordWrap/>
        <w:overflowPunct/>
        <w:topLinePunct w:val="0"/>
        <w:autoSpaceDE/>
        <w:autoSpaceDN/>
        <w:bidi w:val="0"/>
        <w:adjustRightInd w:val="0"/>
        <w:snapToGrid w:val="0"/>
        <w:spacing w:beforeAutospacing="0" w:after="0" w:line="560" w:lineRule="exact"/>
        <w:ind w:left="0" w:leftChars="0" w:firstLine="640" w:firstLineChars="200"/>
        <w:jc w:val="both"/>
        <w:textAlignment w:val="auto"/>
        <w:rPr>
          <w:rFonts w:hint="eastAsia" w:ascii="黑体" w:hAnsi="黑体" w:eastAsia="黑体" w:cs="黑体"/>
          <w:color w:val="auto"/>
          <w:sz w:val="32"/>
          <w:szCs w:val="32"/>
        </w:rPr>
      </w:pPr>
      <w:r>
        <w:rPr>
          <w:rFonts w:hint="eastAsia" w:ascii="仿宋" w:hAnsi="仿宋" w:eastAsia="仿宋" w:cs="仿宋"/>
          <w:color w:val="auto"/>
          <w:sz w:val="32"/>
          <w:szCs w:val="32"/>
          <w:lang w:eastAsia="zh-CN"/>
        </w:rPr>
        <w:t>严谨细致地开展造价监督工作，通过严格把控项目预算、审核费用变更及监督材料价格等关键环节，实现对项目造价的全面有效监控，为项目建设平安推进奠定基础。</w:t>
      </w:r>
    </w:p>
    <w:p w14:paraId="3DF905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九</w:t>
      </w:r>
      <w:r>
        <w:rPr>
          <w:rFonts w:hint="eastAsia" w:ascii="黑体" w:hAnsi="黑体" w:eastAsia="黑体" w:cs="黑体"/>
          <w:color w:val="000000" w:themeColor="text1"/>
          <w:sz w:val="32"/>
          <w:szCs w:val="32"/>
          <w14:textFill>
            <w14:solidFill>
              <w14:schemeClr w14:val="tx1"/>
            </w14:solidFill>
          </w14:textFill>
        </w:rPr>
        <w:t>、存在的问题及原因分析</w:t>
      </w:r>
    </w:p>
    <w:p w14:paraId="410517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2024年本单位能</w:t>
      </w:r>
      <w:r>
        <w:rPr>
          <w:rFonts w:hint="eastAsia" w:ascii="仿宋_GB2312" w:hAnsi="仿宋_GB2312" w:eastAsia="仿宋_GB2312" w:cs="仿宋_GB2312"/>
          <w:color w:val="000000" w:themeColor="text1"/>
          <w:sz w:val="32"/>
          <w:szCs w:val="32"/>
          <w14:textFill>
            <w14:solidFill>
              <w14:schemeClr w14:val="tx1"/>
            </w14:solidFill>
          </w14:textFill>
        </w:rPr>
        <w:t>认真组织预决算及绩效管理工作，按时完成预决算编制和上报工作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，但是仍需要加强对预算绩效管理执行力度。还要更加合理</w:t>
      </w:r>
      <w:r>
        <w:rPr>
          <w:rFonts w:hint="eastAsia" w:ascii="仿宋" w:hAnsi="仿宋" w:eastAsia="仿宋"/>
          <w:color w:val="000000" w:themeColor="text1"/>
          <w:sz w:val="32"/>
          <w:szCs w:val="32"/>
          <w14:textFill>
            <w14:solidFill>
              <w14:schemeClr w14:val="tx1"/>
            </w14:solidFill>
          </w14:textFill>
        </w:rPr>
        <w:t>调用预算资金开展项目</w:t>
      </w:r>
      <w:r>
        <w:rPr>
          <w:rFonts w:hint="eastAsia" w:ascii="仿宋" w:hAnsi="仿宋" w:eastAsia="仿宋"/>
          <w:color w:val="000000" w:themeColor="text1"/>
          <w:sz w:val="32"/>
          <w:szCs w:val="32"/>
          <w:lang w:eastAsia="zh-CN"/>
          <w14:textFill>
            <w14:solidFill>
              <w14:schemeClr w14:val="tx1"/>
            </w14:solidFill>
          </w14:textFill>
        </w:rPr>
        <w:t>，提升资金使用效率，增加预算执行的刚性。</w:t>
      </w:r>
    </w:p>
    <w:p w14:paraId="674142E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十、</w:t>
      </w:r>
      <w:r>
        <w:rPr>
          <w:rFonts w:hint="eastAsia" w:ascii="黑体" w:hAnsi="黑体" w:eastAsia="黑体" w:cs="黑体"/>
          <w:color w:val="000000" w:themeColor="text1"/>
          <w:sz w:val="32"/>
          <w:szCs w:val="32"/>
          <w14:textFill>
            <w14:solidFill>
              <w14:schemeClr w14:val="tx1"/>
            </w14:solidFill>
          </w14:textFill>
        </w:rPr>
        <w:t>下一步改进措施</w:t>
      </w:r>
    </w:p>
    <w:p w14:paraId="3C7496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提高对预算绩效管理的认识度</w:t>
      </w:r>
      <w:r>
        <w:rPr>
          <w:rFonts w:hint="eastAsia" w:ascii="仿宋_GB2312" w:hAnsi="仿宋_GB2312" w:eastAsia="仿宋_GB2312" w:cs="仿宋_GB2312"/>
          <w:color w:val="000000" w:themeColor="text1"/>
          <w:sz w:val="32"/>
          <w:szCs w:val="32"/>
          <w:lang w:eastAsia="zh-CN"/>
          <w14:textFill>
            <w14:solidFill>
              <w14:schemeClr w14:val="tx1"/>
            </w14:solidFill>
          </w14:textFill>
        </w:rPr>
        <w:t>，规范资金使用流程；设定有效的监督机制，动态评估预算绩效和项目资金使用情况，</w:t>
      </w:r>
      <w:r>
        <w:rPr>
          <w:rFonts w:hint="eastAsia" w:ascii="仿宋_GB2312" w:hAnsi="仿宋_GB2312" w:eastAsia="仿宋_GB2312" w:cs="仿宋_GB2312"/>
          <w:color w:val="000000" w:themeColor="text1"/>
          <w:sz w:val="32"/>
          <w:szCs w:val="32"/>
          <w14:textFill>
            <w14:solidFill>
              <w14:schemeClr w14:val="tx1"/>
            </w14:solidFill>
          </w14:textFill>
        </w:rPr>
        <w:t>提高预算执行力度。</w:t>
      </w:r>
    </w:p>
    <w:p w14:paraId="66918CD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p>
    <w:p w14:paraId="17F3CB0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p>
    <w:p w14:paraId="4553C60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1.部门整体支出绩效评价基础数据表</w:t>
      </w:r>
    </w:p>
    <w:p w14:paraId="4E848C3F">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2.部门整体支出绩效自评表</w:t>
      </w:r>
    </w:p>
    <w:p w14:paraId="346BC1AD">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default" w:ascii="仿宋_GB2312" w:hAnsi="仿宋_GB2312" w:eastAsia="仿宋_GB2312" w:cs="仿宋_GB2312"/>
          <w:color w:val="auto"/>
          <w:sz w:val="32"/>
          <w:szCs w:val="32"/>
          <w:lang w:val="en-US" w:eastAsia="zh-CN"/>
        </w:rPr>
      </w:pPr>
      <w:bookmarkStart w:id="0" w:name="_GoBack"/>
      <w:bookmarkEnd w:id="0"/>
    </w:p>
    <w:sectPr>
      <w:footerReference r:id="rId3" w:type="default"/>
      <w:pgSz w:w="11906" w:h="16838"/>
      <w:pgMar w:top="1361" w:right="1701" w:bottom="136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86EB0055-8B11-4488-98E6-464907D0329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embedRegular r:id="rId2" w:fontKey="{867C0C90-8E82-4A57-B8DF-5CAC2D23B5CE}"/>
  </w:font>
  <w:font w:name="仿宋_GB2312">
    <w:panose1 w:val="02010609030101010101"/>
    <w:charset w:val="86"/>
    <w:family w:val="auto"/>
    <w:pitch w:val="default"/>
    <w:sig w:usb0="00000001" w:usb1="080E0000" w:usb2="00000000" w:usb3="00000000" w:csb0="00040000" w:csb1="00000000"/>
    <w:embedRegular r:id="rId3" w:fontKey="{17F25E2F-A5ED-45C0-B03D-6D99ED40DF8A}"/>
  </w:font>
  <w:font w:name="仿宋">
    <w:panose1 w:val="02010609060101010101"/>
    <w:charset w:val="86"/>
    <w:family w:val="auto"/>
    <w:pitch w:val="default"/>
    <w:sig w:usb0="800002BF" w:usb1="38CF7CFA" w:usb2="00000016" w:usb3="00000000" w:csb0="00040001" w:csb1="00000000"/>
    <w:embedRegular r:id="rId4" w:fontKey="{428B5497-46BF-47DD-9855-7502644CC7C1}"/>
  </w:font>
  <w:font w:name="微软雅黑">
    <w:panose1 w:val="020B0503020204020204"/>
    <w:charset w:val="86"/>
    <w:family w:val="auto"/>
    <w:pitch w:val="default"/>
    <w:sig w:usb0="80000287" w:usb1="280F3C52" w:usb2="00000016" w:usb3="00000000" w:csb0="0004001F" w:csb1="00000000"/>
    <w:embedRegular r:id="rId5" w:fontKey="{F02A8C54-DA6E-4E3C-94A5-FEF4233027F8}"/>
  </w:font>
  <w:font w:name="方正仿宋_GB2312">
    <w:panose1 w:val="02000000000000000000"/>
    <w:charset w:val="86"/>
    <w:family w:val="auto"/>
    <w:pitch w:val="default"/>
    <w:sig w:usb0="A00002BF" w:usb1="184F6CFA" w:usb2="00000012" w:usb3="00000000" w:csb0="00040001" w:csb1="00000000"/>
    <w:embedRegular r:id="rId6" w:fontKey="{DB230AD5-0A8B-4402-B67F-AD349585DBB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6EA7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D0C1C4">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ED0C1C4">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CCB5D"/>
    <w:multiLevelType w:val="singleLevel"/>
    <w:tmpl w:val="903CCB5D"/>
    <w:lvl w:ilvl="0" w:tentative="0">
      <w:start w:val="2"/>
      <w:numFmt w:val="chineseCounting"/>
      <w:suff w:val="nothing"/>
      <w:lvlText w:val="（%1）"/>
      <w:lvlJc w:val="left"/>
      <w:rPr>
        <w:rFonts w:hint="eastAsia"/>
      </w:rPr>
    </w:lvl>
  </w:abstractNum>
  <w:abstractNum w:abstractNumId="1">
    <w:nsid w:val="5A8A8E5D"/>
    <w:multiLevelType w:val="singleLevel"/>
    <w:tmpl w:val="5A8A8E5D"/>
    <w:lvl w:ilvl="0" w:tentative="0">
      <w:start w:val="4"/>
      <w:numFmt w:val="chineseCounting"/>
      <w:suff w:val="nothing"/>
      <w:lvlText w:val="%1、"/>
      <w:lvlJc w:val="left"/>
      <w:rPr>
        <w:rFonts w:hint="eastAsia"/>
      </w:rPr>
    </w:lvl>
  </w:abstractNum>
  <w:abstractNum w:abstractNumId="2">
    <w:nsid w:val="66F648F6"/>
    <w:multiLevelType w:val="singleLevel"/>
    <w:tmpl w:val="66F648F6"/>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jYjQwYmM1YmU1OGUzZDhlNzBiOTg2OTQ1MDg2NjIifQ=="/>
    <w:docVar w:name="KSO_WPS_MARK_KEY" w:val="9920a277-c0c3-43b4-93d3-1636fe398e0b"/>
  </w:docVars>
  <w:rsids>
    <w:rsidRoot w:val="753C4E9B"/>
    <w:rsid w:val="001E42EF"/>
    <w:rsid w:val="00305624"/>
    <w:rsid w:val="00D40BB2"/>
    <w:rsid w:val="05A3635A"/>
    <w:rsid w:val="05E95AA6"/>
    <w:rsid w:val="0C180A78"/>
    <w:rsid w:val="0CDB347F"/>
    <w:rsid w:val="0D276746"/>
    <w:rsid w:val="0D464D9C"/>
    <w:rsid w:val="0DD52794"/>
    <w:rsid w:val="0DDA54E4"/>
    <w:rsid w:val="0E956870"/>
    <w:rsid w:val="10256126"/>
    <w:rsid w:val="105E2EAF"/>
    <w:rsid w:val="1067786B"/>
    <w:rsid w:val="10C666A5"/>
    <w:rsid w:val="11385058"/>
    <w:rsid w:val="114023E8"/>
    <w:rsid w:val="117F087D"/>
    <w:rsid w:val="1223366A"/>
    <w:rsid w:val="1360009E"/>
    <w:rsid w:val="143877FD"/>
    <w:rsid w:val="15BD1231"/>
    <w:rsid w:val="17F1593F"/>
    <w:rsid w:val="18CF781A"/>
    <w:rsid w:val="19E805B2"/>
    <w:rsid w:val="1A7D450C"/>
    <w:rsid w:val="1DC87107"/>
    <w:rsid w:val="205B5E0E"/>
    <w:rsid w:val="21103F5F"/>
    <w:rsid w:val="21B50F80"/>
    <w:rsid w:val="22FE234B"/>
    <w:rsid w:val="247A570E"/>
    <w:rsid w:val="251F465E"/>
    <w:rsid w:val="258F4359"/>
    <w:rsid w:val="277E6F02"/>
    <w:rsid w:val="27B408AA"/>
    <w:rsid w:val="27F7006F"/>
    <w:rsid w:val="295D4225"/>
    <w:rsid w:val="29990575"/>
    <w:rsid w:val="29F319B0"/>
    <w:rsid w:val="2AF6742D"/>
    <w:rsid w:val="2C4202AD"/>
    <w:rsid w:val="2D8B2179"/>
    <w:rsid w:val="2DA745D7"/>
    <w:rsid w:val="2E30696B"/>
    <w:rsid w:val="2E4C09B7"/>
    <w:rsid w:val="2E833798"/>
    <w:rsid w:val="2F48270C"/>
    <w:rsid w:val="30797D45"/>
    <w:rsid w:val="312A2265"/>
    <w:rsid w:val="31FE6094"/>
    <w:rsid w:val="325440DA"/>
    <w:rsid w:val="32AD84DE"/>
    <w:rsid w:val="32EFAD5B"/>
    <w:rsid w:val="33D38441"/>
    <w:rsid w:val="369E387A"/>
    <w:rsid w:val="36FC0F5D"/>
    <w:rsid w:val="375773F8"/>
    <w:rsid w:val="393E32BB"/>
    <w:rsid w:val="3AFAE3BB"/>
    <w:rsid w:val="3BE96D9B"/>
    <w:rsid w:val="3C9E57AB"/>
    <w:rsid w:val="3EE92F3A"/>
    <w:rsid w:val="3F4FBE5B"/>
    <w:rsid w:val="3FF72092"/>
    <w:rsid w:val="40B95CE5"/>
    <w:rsid w:val="419B2857"/>
    <w:rsid w:val="41D71DA8"/>
    <w:rsid w:val="423473B5"/>
    <w:rsid w:val="44797A46"/>
    <w:rsid w:val="44997EE2"/>
    <w:rsid w:val="449B5067"/>
    <w:rsid w:val="44C61D43"/>
    <w:rsid w:val="455A0E50"/>
    <w:rsid w:val="46957E2E"/>
    <w:rsid w:val="4724216A"/>
    <w:rsid w:val="47AF3420"/>
    <w:rsid w:val="490822EC"/>
    <w:rsid w:val="49EF72FC"/>
    <w:rsid w:val="4C6611ED"/>
    <w:rsid w:val="4C712ABF"/>
    <w:rsid w:val="4C7A3BAD"/>
    <w:rsid w:val="4E004C23"/>
    <w:rsid w:val="4E3E7521"/>
    <w:rsid w:val="4F1A4380"/>
    <w:rsid w:val="4F4C7EF7"/>
    <w:rsid w:val="4FF872A0"/>
    <w:rsid w:val="510A0869"/>
    <w:rsid w:val="51342108"/>
    <w:rsid w:val="52DC5586"/>
    <w:rsid w:val="552A0475"/>
    <w:rsid w:val="5598523A"/>
    <w:rsid w:val="578D10CB"/>
    <w:rsid w:val="57FFF3B2"/>
    <w:rsid w:val="59500BC6"/>
    <w:rsid w:val="59CF7B73"/>
    <w:rsid w:val="59E7714F"/>
    <w:rsid w:val="59EC06C3"/>
    <w:rsid w:val="5A5915AC"/>
    <w:rsid w:val="5C7BF0C6"/>
    <w:rsid w:val="5CFB586F"/>
    <w:rsid w:val="5D9BF1E3"/>
    <w:rsid w:val="5F8D97DE"/>
    <w:rsid w:val="6057032F"/>
    <w:rsid w:val="61265BEC"/>
    <w:rsid w:val="61417485"/>
    <w:rsid w:val="62557ED0"/>
    <w:rsid w:val="627351D5"/>
    <w:rsid w:val="63E941DB"/>
    <w:rsid w:val="65125B5F"/>
    <w:rsid w:val="662FFD35"/>
    <w:rsid w:val="6A12486A"/>
    <w:rsid w:val="6BF91D90"/>
    <w:rsid w:val="6BFF4682"/>
    <w:rsid w:val="6C0229CF"/>
    <w:rsid w:val="6C343920"/>
    <w:rsid w:val="6CED5D03"/>
    <w:rsid w:val="6DFB0220"/>
    <w:rsid w:val="6DFF44F2"/>
    <w:rsid w:val="6EA83FF3"/>
    <w:rsid w:val="6F695C97"/>
    <w:rsid w:val="6F7FC49D"/>
    <w:rsid w:val="70FC0717"/>
    <w:rsid w:val="753C4E9B"/>
    <w:rsid w:val="75630CAA"/>
    <w:rsid w:val="75EB673F"/>
    <w:rsid w:val="76DEFE50"/>
    <w:rsid w:val="76DF7942"/>
    <w:rsid w:val="77B7A8D1"/>
    <w:rsid w:val="781113A7"/>
    <w:rsid w:val="791E6510"/>
    <w:rsid w:val="7C8D4A41"/>
    <w:rsid w:val="7D13B2E4"/>
    <w:rsid w:val="7DEA6FE3"/>
    <w:rsid w:val="7DEFFB64"/>
    <w:rsid w:val="7DFFB4DD"/>
    <w:rsid w:val="7ED71F19"/>
    <w:rsid w:val="7FAD01CD"/>
    <w:rsid w:val="7FCD05D8"/>
    <w:rsid w:val="7FDCC03B"/>
    <w:rsid w:val="7FFB0292"/>
    <w:rsid w:val="7FFF3E7A"/>
    <w:rsid w:val="8F9BE27A"/>
    <w:rsid w:val="9FF6244F"/>
    <w:rsid w:val="A1136206"/>
    <w:rsid w:val="A9FD83B4"/>
    <w:rsid w:val="B3F6CDCB"/>
    <w:rsid w:val="B9FAACD8"/>
    <w:rsid w:val="BB7D63DA"/>
    <w:rsid w:val="BBED63EF"/>
    <w:rsid w:val="BEFF18EA"/>
    <w:rsid w:val="BF73B586"/>
    <w:rsid w:val="BFF98FF8"/>
    <w:rsid w:val="BFFFFF17"/>
    <w:rsid w:val="CB9798F3"/>
    <w:rsid w:val="CFBF9B4F"/>
    <w:rsid w:val="D3FD1A4F"/>
    <w:rsid w:val="D3FF35ED"/>
    <w:rsid w:val="D55B2551"/>
    <w:rsid w:val="D6BB41B8"/>
    <w:rsid w:val="D6DF558D"/>
    <w:rsid w:val="DE97A8ED"/>
    <w:rsid w:val="DEFE87E4"/>
    <w:rsid w:val="DFDF4ED3"/>
    <w:rsid w:val="DFF759A2"/>
    <w:rsid w:val="DFFF8F11"/>
    <w:rsid w:val="EB678F1D"/>
    <w:rsid w:val="EE7E7794"/>
    <w:rsid w:val="EF3FD2C6"/>
    <w:rsid w:val="EF58AA3F"/>
    <w:rsid w:val="EFFD441B"/>
    <w:rsid w:val="F5CA1397"/>
    <w:rsid w:val="F6F7EA76"/>
    <w:rsid w:val="F7D93F6E"/>
    <w:rsid w:val="F7F7B612"/>
    <w:rsid w:val="F85EA1A9"/>
    <w:rsid w:val="FBBF433F"/>
    <w:rsid w:val="FBFF8B75"/>
    <w:rsid w:val="FF7DC185"/>
    <w:rsid w:val="FFD1D5E3"/>
    <w:rsid w:val="FFE6CEC6"/>
    <w:rsid w:val="FFFFC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200" w:firstLineChars="200"/>
    </w:pPr>
  </w:style>
  <w:style w:type="paragraph" w:styleId="4">
    <w:name w:val="Body Text Indent"/>
    <w:basedOn w:val="1"/>
    <w:unhideWhenUsed/>
    <w:qFormat/>
    <w:uiPriority w:val="0"/>
    <w:pPr>
      <w:spacing w:beforeLines="0" w:afterLines="0"/>
      <w:ind w:firstLine="640" w:firstLineChars="200"/>
    </w:pPr>
    <w:rPr>
      <w:rFonts w:hint="default"/>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next w:val="1"/>
    <w:unhideWhenUsed/>
    <w:qFormat/>
    <w:uiPriority w:val="99"/>
    <w:pPr>
      <w:spacing w:beforeLines="0" w:afterLines="0"/>
      <w:ind w:firstLine="420"/>
    </w:pPr>
    <w:rPr>
      <w:rFonts w:hint="default"/>
      <w:sz w:val="32"/>
    </w:rPr>
  </w:style>
  <w:style w:type="character" w:styleId="12">
    <w:name w:val="Strong"/>
    <w:basedOn w:val="11"/>
    <w:qFormat/>
    <w:uiPriority w:val="0"/>
    <w:rPr>
      <w:b/>
    </w:rPr>
  </w:style>
  <w:style w:type="paragraph" w:customStyle="1" w:styleId="13">
    <w:name w:val="标题1"/>
    <w:basedOn w:val="2"/>
    <w:qFormat/>
    <w:uiPriority w:val="0"/>
    <w:rPr>
      <w:rFonts w:eastAsia="黑体"/>
    </w:rPr>
  </w:style>
  <w:style w:type="paragraph" w:customStyle="1" w:styleId="14">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4137</Words>
  <Characters>4402</Characters>
  <Lines>0</Lines>
  <Paragraphs>0</Paragraphs>
  <TotalTime>12</TotalTime>
  <ScaleCrop>false</ScaleCrop>
  <LinksUpToDate>false</LinksUpToDate>
  <CharactersWithSpaces>4403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2024-02-26T02:03:00Z</dcterms:created>
  <dc:creator>1402836399</dc:creator>
  <cp:lastModifiedBy>花布老虎</cp:lastModifiedBy>
  <cp:lastPrinted>2025-06-03T09:21:00Z</cp:lastPrinted>
  <dcterms:modified xsi:type="dcterms:W3CDTF">2025-09-24T08:15:41Z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4B545E2748234224AA7888E0D1AE4147_13</vt:lpwstr>
  </property>
  <property fmtid="{D5CDD505-2E9C-101B-9397-08002B2CF9AE}" pid="4" name="KSOTemplateDocerSaveRecord">
    <vt:lpwstr>eyJoZGlkIjoiMmZjYjQwYmM1YmU1OGUzZDhlNzBiOTg2OTQ1MDg2NjIiLCJ1c2VySWQiOiIzNTM0MTAxODAifQ==</vt:lpwstr>
  </property>
</Properties>
</file>