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color w:val="auto"/>
          <w:sz w:val="36"/>
          <w:szCs w:val="36"/>
        </w:rPr>
      </w:pPr>
      <w:r>
        <w:rPr>
          <w:rFonts w:hint="eastAsia" w:hAnsi="黑体"/>
          <w:color w:val="auto"/>
          <w:sz w:val="36"/>
          <w:szCs w:val="36"/>
        </w:rPr>
        <w:t>附件1</w:t>
      </w:r>
    </w:p>
    <w:p>
      <w:pPr>
        <w:pStyle w:val="14"/>
        <w:jc w:val="center"/>
        <w:rPr>
          <w:rFonts w:ascii="Times New Roman" w:hAnsi="Times New Roman" w:cs="Times New Roman"/>
          <w:color w:val="auto"/>
          <w:sz w:val="56"/>
          <w:szCs w:val="56"/>
        </w:rPr>
      </w:pPr>
    </w:p>
    <w:p>
      <w:pPr>
        <w:pStyle w:val="14"/>
        <w:jc w:val="center"/>
        <w:rPr>
          <w:rFonts w:ascii="Times New Roman" w:hAnsi="Times New Roman" w:cs="Times New Roman"/>
          <w:color w:val="auto"/>
          <w:sz w:val="84"/>
          <w:szCs w:val="84"/>
        </w:rPr>
      </w:pPr>
    </w:p>
    <w:p>
      <w:pPr>
        <w:pStyle w:val="14"/>
        <w:jc w:val="center"/>
        <w:rPr>
          <w:rFonts w:ascii="Times New Roman" w:hAnsi="Times New Roman" w:cs="Times New Roman"/>
          <w:color w:val="auto"/>
          <w:sz w:val="84"/>
          <w:szCs w:val="84"/>
        </w:rPr>
      </w:pPr>
    </w:p>
    <w:p>
      <w:pPr>
        <w:pStyle w:val="14"/>
        <w:jc w:val="center"/>
        <w:rPr>
          <w:rFonts w:hint="eastAsia" w:ascii="Times New Roman" w:hAnsi="Times New Roman" w:eastAsia="方正小标宋简体" w:cs="Times New Roman"/>
          <w:color w:val="auto"/>
          <w:sz w:val="72"/>
          <w:szCs w:val="72"/>
        </w:rPr>
      </w:pPr>
      <w:r>
        <w:rPr>
          <w:rFonts w:ascii="Times New Roman" w:hAnsi="Times New Roman" w:eastAsia="方正小标宋简体" w:cs="Times New Roman"/>
          <w:color w:val="auto"/>
          <w:sz w:val="72"/>
          <w:szCs w:val="72"/>
        </w:rPr>
        <w:t>2024年度</w:t>
      </w:r>
      <w:r>
        <w:rPr>
          <w:rFonts w:hint="eastAsia" w:ascii="Times New Roman" w:hAnsi="Times New Roman" w:eastAsia="方正小标宋简体" w:cs="Times New Roman"/>
          <w:color w:val="auto"/>
          <w:sz w:val="72"/>
          <w:szCs w:val="72"/>
        </w:rPr>
        <w:t>怀化市交通建设</w:t>
      </w:r>
    </w:p>
    <w:p>
      <w:pPr>
        <w:pStyle w:val="14"/>
        <w:jc w:val="center"/>
        <w:rPr>
          <w:rFonts w:ascii="Times New Roman" w:hAnsi="Times New Roman" w:cs="Times New Roman"/>
          <w:b/>
          <w:color w:val="auto"/>
          <w:sz w:val="36"/>
          <w:szCs w:val="28"/>
        </w:rPr>
        <w:sectPr>
          <w:pgSz w:w="11906" w:h="16838"/>
          <w:pgMar w:top="1417" w:right="1588" w:bottom="1417" w:left="1588" w:header="851" w:footer="992" w:gutter="0"/>
          <w:cols w:space="425" w:num="1"/>
          <w:docGrid w:type="lines" w:linePitch="312" w:charSpace="0"/>
        </w:sectPr>
      </w:pPr>
      <w:r>
        <w:rPr>
          <w:rFonts w:hint="eastAsia" w:ascii="Times New Roman" w:hAnsi="Times New Roman" w:eastAsia="方正小标宋简体" w:cs="Times New Roman"/>
          <w:color w:val="auto"/>
          <w:sz w:val="72"/>
          <w:szCs w:val="72"/>
        </w:rPr>
        <w:t>质量安全监督站</w:t>
      </w:r>
      <w:r>
        <w:rPr>
          <w:rFonts w:ascii="Times New Roman" w:hAnsi="Times New Roman" w:eastAsia="方正小标宋简体" w:cs="Times New Roman"/>
          <w:color w:val="auto"/>
          <w:sz w:val="72"/>
          <w:szCs w:val="72"/>
        </w:rPr>
        <w:t>决算</w:t>
      </w:r>
    </w:p>
    <w:p>
      <w:pPr>
        <w:pStyle w:val="14"/>
        <w:tabs>
          <w:tab w:val="left" w:pos="1487"/>
        </w:tabs>
        <w:spacing w:line="600" w:lineRule="exact"/>
        <w:jc w:val="both"/>
        <w:rPr>
          <w:rFonts w:hint="eastAsia" w:ascii="Times New Roman" w:hAnsi="Times New Roman" w:eastAsia="黑体" w:cs="Times New Roman"/>
          <w:b/>
          <w:color w:val="auto"/>
          <w:sz w:val="36"/>
          <w:szCs w:val="28"/>
          <w:lang w:eastAsia="zh-CN"/>
        </w:rPr>
      </w:pPr>
      <w:r>
        <w:rPr>
          <w:rFonts w:hint="eastAsia" w:ascii="Times New Roman" w:hAnsi="Times New Roman" w:cs="Times New Roman"/>
          <w:b/>
          <w:color w:val="auto"/>
          <w:sz w:val="36"/>
          <w:szCs w:val="28"/>
          <w:lang w:eastAsia="zh-CN"/>
        </w:rPr>
        <w:tab/>
      </w:r>
    </w:p>
    <w:p>
      <w:pPr>
        <w:pStyle w:val="14"/>
        <w:spacing w:line="600" w:lineRule="exact"/>
        <w:jc w:val="center"/>
        <w:rPr>
          <w:rFonts w:ascii="Times New Roman" w:hAnsi="Times New Roman" w:cs="Times New Roman"/>
          <w:bCs/>
          <w:color w:val="auto"/>
          <w:sz w:val="36"/>
          <w:szCs w:val="28"/>
        </w:rPr>
      </w:pPr>
      <w:r>
        <w:rPr>
          <w:rFonts w:ascii="Times New Roman" w:hAnsi="Times New Roman" w:cs="Times New Roman"/>
          <w:bCs/>
          <w:color w:val="auto"/>
          <w:sz w:val="36"/>
          <w:szCs w:val="28"/>
        </w:rPr>
        <w:t>目  录</w:t>
      </w:r>
    </w:p>
    <w:p>
      <w:pPr>
        <w:pStyle w:val="14"/>
        <w:spacing w:line="600" w:lineRule="exact"/>
        <w:jc w:val="center"/>
        <w:rPr>
          <w:rFonts w:ascii="Times New Roman" w:hAnsi="Times New Roman" w:cs="Times New Roman"/>
          <w:b/>
          <w:color w:val="auto"/>
          <w:sz w:val="36"/>
          <w:szCs w:val="28"/>
        </w:rPr>
      </w:pPr>
    </w:p>
    <w:p>
      <w:pPr>
        <w:pStyle w:val="14"/>
        <w:spacing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 xml:space="preserve">第一部分 </w:t>
      </w:r>
      <w:r>
        <w:rPr>
          <w:rFonts w:hint="eastAsia" w:ascii="Times New Roman" w:hAnsi="Times New Roman" w:cs="Times New Roman"/>
          <w:bCs/>
          <w:color w:val="auto"/>
          <w:sz w:val="32"/>
          <w:szCs w:val="32"/>
        </w:rPr>
        <w:t>怀化市交通建设质量安全监督站</w:t>
      </w:r>
      <w:r>
        <w:rPr>
          <w:rFonts w:ascii="Times New Roman" w:hAnsi="Times New Roman" w:cs="Times New Roman"/>
          <w:bCs/>
          <w:color w:val="auto"/>
          <w:sz w:val="32"/>
          <w:szCs w:val="32"/>
        </w:rPr>
        <w:t>概况</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一、部门职责</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二、机构设置及决算单位构成</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第二部分 部门决算表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六、一般公共预算财政拨款基本支出决算明细表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七、政府性基金预算财政拨款收入支出决算表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八、国有资本经营预算财政拨款支出决算表</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九、财政拨款“三公”经费支出决算表</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第三部分 部门决算情况说明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一、收入支出决算总体情况说明</w:t>
      </w:r>
    </w:p>
    <w:p>
      <w:pPr>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八、政府性基金预算收入支出决算情况</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九、国有资本经营预算收入支出情况</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十</w:t>
      </w:r>
      <w:r>
        <w:rPr>
          <w:rFonts w:ascii="Times New Roman" w:hAnsi="Times New Roman" w:eastAsia="仿宋_GB2312" w:cs="Times New Roman"/>
          <w:color w:val="auto"/>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w:t>
      </w:r>
      <w:r>
        <w:rPr>
          <w:rFonts w:hint="eastAsia" w:ascii="Times New Roman" w:hAnsi="Times New Roman" w:eastAsia="仿宋_GB2312" w:cs="Times New Roman"/>
          <w:color w:val="auto"/>
          <w:kern w:val="0"/>
          <w:sz w:val="32"/>
          <w:szCs w:val="32"/>
          <w:lang w:eastAsia="zh-CN"/>
        </w:rPr>
        <w:t>一</w:t>
      </w:r>
      <w:r>
        <w:rPr>
          <w:rFonts w:ascii="Times New Roman" w:hAnsi="Times New Roman" w:eastAsia="仿宋_GB2312" w:cs="Times New Roman"/>
          <w:color w:val="auto"/>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w:t>
      </w:r>
      <w:r>
        <w:rPr>
          <w:rFonts w:hint="eastAsia" w:ascii="Times New Roman" w:hAnsi="Times New Roman" w:eastAsia="仿宋_GB2312" w:cs="Times New Roman"/>
          <w:color w:val="auto"/>
          <w:kern w:val="0"/>
          <w:sz w:val="32"/>
          <w:szCs w:val="32"/>
          <w:lang w:eastAsia="zh-CN"/>
        </w:rPr>
        <w:t>二</w:t>
      </w:r>
      <w:r>
        <w:rPr>
          <w:rFonts w:ascii="Times New Roman" w:hAnsi="Times New Roman" w:eastAsia="仿宋_GB2312" w:cs="Times New Roman"/>
          <w:color w:val="auto"/>
          <w:kern w:val="0"/>
          <w:sz w:val="32"/>
          <w:szCs w:val="32"/>
        </w:rPr>
        <w:t>、关于政府采购支出说明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、关于国有资产占用情况说明</w:t>
      </w:r>
    </w:p>
    <w:p>
      <w:pPr>
        <w:pStyle w:val="14"/>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、关于2024年度预算绩效管理情况的说明</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第四部分 名词解释</w:t>
      </w:r>
    </w:p>
    <w:p>
      <w:pPr>
        <w:pStyle w:val="14"/>
        <w:spacing w:before="156" w:beforeLines="50" w:after="156"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第五部分 附件</w:t>
      </w:r>
    </w:p>
    <w:p>
      <w:pPr>
        <w:pStyle w:val="14"/>
        <w:spacing w:line="600" w:lineRule="exact"/>
        <w:rPr>
          <w:rFonts w:ascii="Times New Roman" w:hAnsi="Times New Roman" w:cs="Times New Roman"/>
          <w:bCs/>
          <w:color w:val="auto"/>
          <w:sz w:val="28"/>
          <w:szCs w:val="28"/>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pStyle w:val="2"/>
        <w:rPr>
          <w:rFonts w:ascii="Times New Roman" w:hAnsi="Times New Roman" w:cs="Times New Roman"/>
          <w:color w:val="auto"/>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第一部分</w:t>
      </w:r>
    </w:p>
    <w:p>
      <w:pPr>
        <w:pStyle w:val="14"/>
        <w:spacing w:line="360" w:lineRule="auto"/>
        <w:jc w:val="center"/>
        <w:rPr>
          <w:rFonts w:hint="eastAsia" w:ascii="Times New Roman" w:hAnsi="Times New Roman" w:eastAsia="方正小标宋_GBK" w:cs="Times New Roman"/>
          <w:color w:val="auto"/>
          <w:sz w:val="52"/>
          <w:szCs w:val="52"/>
        </w:rPr>
      </w:pPr>
      <w:r>
        <w:rPr>
          <w:rFonts w:hint="eastAsia" w:ascii="Times New Roman" w:hAnsi="Times New Roman" w:eastAsia="方正小标宋_GBK" w:cs="Times New Roman"/>
          <w:color w:val="auto"/>
          <w:sz w:val="52"/>
          <w:szCs w:val="52"/>
        </w:rPr>
        <w:t>怀化市交通建设质量</w:t>
      </w:r>
    </w:p>
    <w:p>
      <w:pPr>
        <w:pStyle w:val="14"/>
        <w:spacing w:line="360" w:lineRule="auto"/>
        <w:jc w:val="center"/>
        <w:rPr>
          <w:rFonts w:ascii="Times New Roman" w:hAnsi="Times New Roman" w:eastAsia="方正小标宋_GBK" w:cs="Times New Roman"/>
          <w:color w:val="auto"/>
          <w:sz w:val="52"/>
          <w:szCs w:val="52"/>
        </w:rPr>
      </w:pPr>
      <w:r>
        <w:rPr>
          <w:rFonts w:hint="eastAsia" w:ascii="Times New Roman" w:hAnsi="Times New Roman" w:eastAsia="方正小标宋_GBK" w:cs="Times New Roman"/>
          <w:color w:val="auto"/>
          <w:sz w:val="52"/>
          <w:szCs w:val="52"/>
        </w:rPr>
        <w:t>安全监督站</w:t>
      </w:r>
      <w:r>
        <w:rPr>
          <w:rFonts w:ascii="Times New Roman" w:hAnsi="Times New Roman" w:eastAsia="方正小标宋_GBK" w:cs="Times New Roman"/>
          <w:color w:val="auto"/>
          <w:sz w:val="52"/>
          <w:szCs w:val="52"/>
        </w:rPr>
        <w:t>概况</w:t>
      </w:r>
    </w:p>
    <w:p>
      <w:pPr>
        <w:pStyle w:val="3"/>
        <w:ind w:left="0" w:leftChars="0" w:firstLine="0" w:firstLineChars="0"/>
        <w:rPr>
          <w:rFonts w:ascii="Times New Roman" w:hAnsi="Times New Roman" w:cs="Times New Roman"/>
          <w:color w:val="auto"/>
        </w:rPr>
      </w:pPr>
    </w:p>
    <w:p>
      <w:pPr>
        <w:pStyle w:val="15"/>
        <w:spacing w:line="600" w:lineRule="exact"/>
        <w:ind w:firstLine="0" w:firstLineChars="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Times New Roman" w:hAnsi="Times New Roman" w:eastAsia="仿宋_GB2312" w:cs="Times New Roman"/>
          <w:color w:val="auto"/>
          <w:sz w:val="32"/>
          <w:szCs w:val="32"/>
        </w:rPr>
        <w:t>（一）</w:t>
      </w:r>
      <w:r>
        <w:rPr>
          <w:rFonts w:hint="eastAsia" w:ascii="仿宋_GB2312" w:hAnsi="仿宋_GB2312" w:eastAsia="仿宋_GB2312" w:cs="仿宋_GB2312"/>
          <w:color w:val="auto"/>
          <w:sz w:val="32"/>
          <w:szCs w:val="32"/>
          <w:lang w:val="en-US" w:eastAsia="zh-CN"/>
        </w:rPr>
        <w:t>贯彻执行国家和省交通建设工程质量、施工安全生产、工程造价的法律、法规、规章和标准，参与拟定全市交通建设工程质量、安全、造价监督的规定、办法和实施细则相关事务性工作，并组织实施。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（二）负责全市国省干线公路、水运工程建设的质量安全与造价监督等事务性工作。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（三）参与全市交通建设市场的监督。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参与全市国省干线公路、水运工程建设项目交（竣）工验收等事务性工作。负责受监交通建设工程的交工质量验证检测、竣工质量鉴定，对主要工程材料、构配件、工程实体进行中间质量检查等事务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（五）承担市交通运输局审批的公路、水运等交通建设工程造价审查等事务性工作。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（六）负责全市交通建设项目的定额测定、交通建设材料价格信息的调查发布、公路水运工程造价数据库的建立和管理，协助主管部门开展造价相关事务性工作。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（七）负责受监交通建设工程监理、试验检测机构、造价咨询机构及人员的信用评价初审工作，协助主管部门进行执业培训等相关事务性工作。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（八）配合相关部门查处交通建设工程质量安全违法行为。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（九）受理对交通建设工程质量缺陷、安全生产隐患和造价相关问题的检举和投诉；调解交通建设工程造价争议；参与交通建设工程质量与生产安全事故调查处理工作。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（十）指导县市区农村公路建设质量安全造价及交通建设质量安全监督机构工作。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（十一）增加地方铁路工程质量安全责任监管的事务性职责和原市交通建设工程试验检测中心的职责。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color w:val="auto"/>
          <w:kern w:val="0"/>
          <w:sz w:val="32"/>
          <w:szCs w:val="32"/>
        </w:rPr>
      </w:pPr>
      <w:r>
        <w:rPr>
          <w:rFonts w:hint="eastAsia" w:ascii="仿宋_GB2312" w:hAnsi="仿宋_GB2312" w:eastAsia="仿宋_GB2312" w:cs="仿宋_GB2312"/>
          <w:color w:val="auto"/>
          <w:sz w:val="32"/>
          <w:szCs w:val="32"/>
          <w:lang w:val="en-US" w:eastAsia="zh-CN"/>
        </w:rPr>
        <w:t>（十二）承办市交通运输局交办的其他工作。</w:t>
      </w:r>
    </w:p>
    <w:p>
      <w:pPr>
        <w:widowControl/>
        <w:spacing w:line="600" w:lineRule="exac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color w:val="auto"/>
        </w:rPr>
      </w:pPr>
      <w:r>
        <w:rPr>
          <w:rFonts w:ascii="Times New Roman" w:hAnsi="Times New Roman" w:eastAsia="仿宋_GB2312" w:cs="Times New Roman"/>
          <w:bCs/>
          <w:color w:val="auto"/>
          <w:kern w:val="0"/>
          <w:sz w:val="32"/>
          <w:szCs w:val="32"/>
        </w:rPr>
        <w:t>（一）内设机构设置。</w:t>
      </w:r>
      <w:r>
        <w:rPr>
          <w:rFonts w:hint="eastAsia" w:ascii="Times New Roman" w:hAnsi="Times New Roman" w:eastAsia="仿宋_GB2312" w:cs="Times New Roman"/>
          <w:bCs/>
          <w:color w:val="auto"/>
          <w:kern w:val="0"/>
          <w:sz w:val="32"/>
          <w:szCs w:val="32"/>
        </w:rPr>
        <w:t>怀化市交通建设质量安全监督站</w:t>
      </w:r>
      <w:r>
        <w:rPr>
          <w:rFonts w:hint="eastAsia" w:ascii="仿宋_GB2312" w:hAnsi="仿宋_GB2312" w:eastAsia="仿宋_GB2312" w:cs="仿宋_GB2312"/>
          <w:color w:val="auto"/>
          <w:sz w:val="32"/>
          <w:szCs w:val="32"/>
          <w:lang w:val="en-US" w:eastAsia="zh-CN"/>
        </w:rPr>
        <w:t>内设机构7个，包括：综合部、人事和财务部、安全应急部、质量监理监督部、检测监督部、造价监督部、铁路质量监理监督部。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bCs/>
          <w:color w:val="auto"/>
          <w:kern w:val="0"/>
          <w:sz w:val="32"/>
          <w:szCs w:val="32"/>
          <w:lang w:eastAsia="zh-CN"/>
        </w:rPr>
      </w:pPr>
      <w:r>
        <w:rPr>
          <w:rFonts w:ascii="Times New Roman" w:hAnsi="Times New Roman" w:eastAsia="仿宋_GB2312" w:cs="Times New Roman"/>
          <w:bCs/>
          <w:color w:val="auto"/>
          <w:kern w:val="0"/>
          <w:sz w:val="32"/>
          <w:szCs w:val="32"/>
        </w:rPr>
        <w:t>（二）决算单位构成。2024年部门决算汇总公开单位</w:t>
      </w:r>
      <w:r>
        <w:rPr>
          <w:rFonts w:hint="eastAsia" w:ascii="Times New Roman" w:hAnsi="Times New Roman" w:eastAsia="仿宋_GB2312" w:cs="黑体"/>
          <w:color w:val="auto"/>
          <w:kern w:val="0"/>
          <w:sz w:val="32"/>
          <w:szCs w:val="32"/>
          <w:lang w:val="en-US" w:eastAsia="zh-CN" w:bidi="ar-SA"/>
        </w:rPr>
        <w:t>构成仅包括</w:t>
      </w:r>
      <w:r>
        <w:rPr>
          <w:rFonts w:hint="eastAsia" w:ascii="Times New Roman" w:hAnsi="Times New Roman" w:eastAsia="仿宋_GB2312" w:cs="Times New Roman"/>
          <w:bCs/>
          <w:color w:val="auto"/>
          <w:kern w:val="0"/>
          <w:sz w:val="32"/>
          <w:szCs w:val="32"/>
        </w:rPr>
        <w:t>怀化市交通建设质量安全监督站</w:t>
      </w:r>
      <w:r>
        <w:rPr>
          <w:rFonts w:hint="eastAsia" w:ascii="Times New Roman" w:hAnsi="Times New Roman" w:eastAsia="仿宋_GB2312" w:cs="Times New Roman"/>
          <w:bCs/>
          <w:color w:val="auto"/>
          <w:kern w:val="0"/>
          <w:sz w:val="32"/>
          <w:szCs w:val="32"/>
          <w:lang w:eastAsia="zh-CN"/>
        </w:rPr>
        <w:t>。</w:t>
      </w:r>
    </w:p>
    <w:p>
      <w:pPr>
        <w:jc w:val="left"/>
        <w:rPr>
          <w:rFonts w:ascii="Times New Roman" w:hAnsi="Times New Roman" w:eastAsia="仿宋_GB2312" w:cs="Times New Roman"/>
          <w:color w:val="auto"/>
          <w:sz w:val="28"/>
          <w:szCs w:val="32"/>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both"/>
        <w:rPr>
          <w:rFonts w:ascii="Times New Roman" w:hAnsi="Times New Roman" w:eastAsia="黑体" w:cs="Times New Roman"/>
          <w:color w:val="auto"/>
          <w:sz w:val="28"/>
          <w:szCs w:val="28"/>
        </w:rPr>
      </w:pPr>
    </w:p>
    <w:p>
      <w:pPr>
        <w:pStyle w:val="2"/>
        <w:rPr>
          <w:rFonts w:ascii="Times New Roman" w:hAnsi="Times New Roman" w:cs="Times New Roman"/>
          <w:color w:val="auto"/>
        </w:rPr>
        <w:sectPr>
          <w:footerReference r:id="rId5" w:type="default"/>
          <w:pgSz w:w="11906" w:h="16838"/>
          <w:pgMar w:top="1417" w:right="1588" w:bottom="1417" w:left="1588" w:header="851" w:footer="992" w:gutter="0"/>
          <w:pgNumType w:start="1"/>
          <w:cols w:space="425" w:num="1"/>
          <w:docGrid w:type="lines" w:linePitch="312" w:charSpace="0"/>
        </w:sectPr>
      </w:pPr>
    </w:p>
    <w:p>
      <w:pPr>
        <w:pStyle w:val="14"/>
        <w:spacing w:line="360" w:lineRule="auto"/>
        <w:jc w:val="center"/>
        <w:rPr>
          <w:rFonts w:ascii="Times New Roman" w:hAnsi="Times New Roman" w:eastAsia="方正小标宋_GBK" w:cs="Times New Roman"/>
          <w:color w:val="auto"/>
          <w:sz w:val="52"/>
          <w:szCs w:val="52"/>
        </w:rPr>
      </w:pPr>
    </w:p>
    <w:p>
      <w:pPr>
        <w:pStyle w:val="14"/>
        <w:spacing w:line="360" w:lineRule="auto"/>
        <w:jc w:val="center"/>
        <w:rPr>
          <w:rFonts w:hint="eastAsia" w:ascii="Times New Roman" w:hAnsi="Times New Roman" w:eastAsia="方正小标宋_GBK" w:cs="Times New Roman"/>
          <w:color w:val="auto"/>
          <w:sz w:val="52"/>
          <w:szCs w:val="52"/>
          <w:lang w:eastAsia="zh-CN"/>
        </w:rPr>
      </w:pPr>
      <w:r>
        <w:rPr>
          <w:rFonts w:hint="eastAsia" w:ascii="Times New Roman" w:hAnsi="Times New Roman" w:eastAsia="方正小标宋_GBK" w:cs="Times New Roman"/>
          <w:color w:val="auto"/>
          <w:sz w:val="52"/>
          <w:szCs w:val="52"/>
          <w:lang w:eastAsia="zh-CN"/>
        </w:rPr>
        <w:t>第二部分</w:t>
      </w: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部门决算表</w:t>
      </w:r>
    </w:p>
    <w:p>
      <w:pPr>
        <w:pStyle w:val="14"/>
        <w:spacing w:line="360" w:lineRule="auto"/>
        <w:jc w:val="center"/>
        <w:rPr>
          <w:rFonts w:ascii="Times New Roman" w:hAnsi="Times New Roman" w:eastAsia="方正小标宋_GBK" w:cs="Times New Roman"/>
          <w:color w:val="auto"/>
          <w:sz w:val="52"/>
          <w:szCs w:val="52"/>
        </w:rPr>
      </w:pPr>
    </w:p>
    <w:p>
      <w:pPr>
        <w:pStyle w:val="9"/>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共9张决算表，即《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财政拨款“三公”经费支出决算表》。（详情见附件一）</w:t>
      </w:r>
    </w:p>
    <w:p>
      <w:pPr>
        <w:pStyle w:val="9"/>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pPr>
    </w:p>
    <w:p>
      <w:pPr>
        <w:pStyle w:val="14"/>
        <w:spacing w:line="360" w:lineRule="auto"/>
        <w:jc w:val="center"/>
        <w:rPr>
          <w:rFonts w:ascii="Times New Roman" w:hAnsi="Times New Roman" w:eastAsia="方正小标宋_GBK" w:cs="Times New Roman"/>
          <w:color w:val="auto"/>
          <w:sz w:val="52"/>
          <w:szCs w:val="52"/>
        </w:rPr>
      </w:pPr>
    </w:p>
    <w:p>
      <w:pPr>
        <w:autoSpaceDE w:val="0"/>
        <w:autoSpaceDN w:val="0"/>
        <w:adjustRightInd w:val="0"/>
        <w:ind w:left="315" w:leftChars="150"/>
        <w:jc w:val="left"/>
        <w:rPr>
          <w:rFonts w:ascii="Times New Roman" w:hAnsi="Times New Roman" w:eastAsia="宋体" w:cs="Times New Roman"/>
          <w:color w:val="auto"/>
          <w:kern w:val="0"/>
          <w:sz w:val="24"/>
          <w:szCs w:val="24"/>
        </w:rPr>
      </w:pPr>
      <w:bookmarkStart w:id="0" w:name="RANGE!A1:F16"/>
      <w:r>
        <w:rPr>
          <w:rFonts w:hint="eastAsia" w:ascii="Times New Roman" w:hAnsi="Times New Roman" w:eastAsia="黑体" w:cs="Times New Roman"/>
          <w:color w:val="auto"/>
          <w:kern w:val="0"/>
          <w:sz w:val="36"/>
          <w:szCs w:val="36"/>
          <w:lang w:val="en-US" w:eastAsia="zh-CN" w:bidi="ar"/>
        </w:rPr>
        <w:t xml:space="preserve">                                                                                                                  </w:t>
      </w:r>
      <w:bookmarkEnd w:id="0"/>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widowControl/>
        <w:rPr>
          <w:rFonts w:ascii="Times New Roman" w:hAnsi="Times New Roman" w:cs="Times New Roman"/>
          <w:color w:val="auto"/>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color w:val="auto"/>
          <w:szCs w:val="21"/>
        </w:rPr>
        <w:br w:type="page"/>
      </w:r>
    </w:p>
    <w:p>
      <w:pPr>
        <w:pStyle w:val="14"/>
        <w:rPr>
          <w:rFonts w:ascii="Times New Roman" w:hAnsi="Times New Roman" w:cs="Times New Roman"/>
          <w:color w:val="auto"/>
          <w:sz w:val="72"/>
          <w:szCs w:val="72"/>
        </w:rPr>
      </w:pPr>
    </w:p>
    <w:p>
      <w:pPr>
        <w:pStyle w:val="14"/>
        <w:rPr>
          <w:rFonts w:ascii="Times New Roman" w:hAnsi="Times New Roman" w:cs="Times New Roman"/>
          <w:color w:val="auto"/>
          <w:sz w:val="72"/>
          <w:szCs w:val="72"/>
        </w:rPr>
      </w:pPr>
    </w:p>
    <w:p>
      <w:pPr>
        <w:pStyle w:val="14"/>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eastAsia="方正小标宋_GBK"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第三部分</w:t>
      </w: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2024年度部门决算情况说明</w:t>
      </w:r>
    </w:p>
    <w:p>
      <w:pPr>
        <w:widowControl/>
        <w:jc w:val="left"/>
        <w:rPr>
          <w:rFonts w:ascii="Times New Roman" w:hAnsi="Times New Roman" w:cs="Times New Roman"/>
          <w:color w:val="auto"/>
          <w:sz w:val="32"/>
          <w:szCs w:val="32"/>
        </w:rPr>
      </w:pPr>
      <w:r>
        <w:rPr>
          <w:rFonts w:ascii="Times New Roman" w:hAnsi="Times New Roman" w:eastAsia="方正小标宋_GBK" w:cs="Times New Roman"/>
          <w:color w:val="auto"/>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一、收入支出决算总体情况说明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2024年度收、支总计</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万元。与上年相比，减少</w:t>
      </w:r>
      <w:r>
        <w:rPr>
          <w:rFonts w:hint="eastAsia" w:ascii="Times New Roman" w:hAnsi="Times New Roman" w:eastAsia="仿宋_GB2312" w:cs="Times New Roman"/>
          <w:color w:val="auto"/>
          <w:sz w:val="32"/>
          <w:szCs w:val="32"/>
          <w:lang w:val="en-US" w:eastAsia="zh-CN"/>
        </w:rPr>
        <w:t>41.94</w:t>
      </w:r>
      <w:r>
        <w:rPr>
          <w:rFonts w:ascii="Times New Roman" w:hAnsi="Times New Roman" w:eastAsia="仿宋_GB2312" w:cs="Times New Roman"/>
          <w:color w:val="auto"/>
          <w:sz w:val="32"/>
          <w:szCs w:val="32"/>
        </w:rPr>
        <w:t>万元，降低</w:t>
      </w:r>
      <w:r>
        <w:rPr>
          <w:rFonts w:hint="eastAsia" w:ascii="Times New Roman" w:hAnsi="Times New Roman" w:eastAsia="仿宋_GB2312" w:cs="Times New Roman"/>
          <w:color w:val="auto"/>
          <w:sz w:val="32"/>
          <w:szCs w:val="32"/>
          <w:lang w:val="en-US" w:eastAsia="zh-CN"/>
        </w:rPr>
        <w:t>4.65</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2023年度完成机关事业单位养老保险试点期间人员退费支出。</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二、收入决算情况说明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2024年度收入合计</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三、支出决算情况说明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2024年度支出合计</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716.3</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83.31</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143.48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16.69</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万元，经营支出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万元，对附属单位补助支出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四、财政拨款收入支出决算总体情况说明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2024年度财政拨款收、支总计</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万元，与上年相比，减少</w:t>
      </w:r>
      <w:r>
        <w:rPr>
          <w:rFonts w:hint="eastAsia" w:ascii="Times New Roman" w:hAnsi="Times New Roman" w:eastAsia="仿宋_GB2312" w:cs="Times New Roman"/>
          <w:color w:val="auto"/>
          <w:sz w:val="32"/>
          <w:szCs w:val="32"/>
          <w:lang w:val="en-US" w:eastAsia="zh-CN"/>
        </w:rPr>
        <w:t>41.94</w:t>
      </w:r>
      <w:r>
        <w:rPr>
          <w:rFonts w:ascii="Times New Roman" w:hAnsi="Times New Roman" w:eastAsia="仿宋_GB2312" w:cs="Times New Roman"/>
          <w:color w:val="auto"/>
          <w:sz w:val="32"/>
          <w:szCs w:val="32"/>
        </w:rPr>
        <w:t>万元,降低</w:t>
      </w:r>
      <w:r>
        <w:rPr>
          <w:rFonts w:hint="eastAsia" w:ascii="Times New Roman" w:hAnsi="Times New Roman" w:eastAsia="仿宋_GB2312" w:cs="Times New Roman"/>
          <w:color w:val="auto"/>
          <w:sz w:val="32"/>
          <w:szCs w:val="32"/>
          <w:lang w:val="en-US" w:eastAsia="zh-CN"/>
        </w:rPr>
        <w:t>4.65</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2023年度完成机关事业单位养老保险试点期间人员退费支出。</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（一）一般公共预算财政拨款支出决算总体情况</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%，与上年相比，财政拨款支出减少</w:t>
      </w:r>
      <w:r>
        <w:rPr>
          <w:rFonts w:hint="eastAsia" w:ascii="Times New Roman" w:hAnsi="Times New Roman" w:eastAsia="仿宋_GB2312" w:cs="Times New Roman"/>
          <w:color w:val="auto"/>
          <w:sz w:val="32"/>
          <w:szCs w:val="32"/>
          <w:lang w:val="en-US" w:eastAsia="zh-CN"/>
        </w:rPr>
        <w:t>41.94</w:t>
      </w:r>
      <w:r>
        <w:rPr>
          <w:rFonts w:ascii="Times New Roman" w:hAnsi="Times New Roman" w:eastAsia="仿宋_GB2312" w:cs="Times New Roman"/>
          <w:color w:val="auto"/>
          <w:sz w:val="32"/>
          <w:szCs w:val="32"/>
        </w:rPr>
        <w:t>万元，降低</w:t>
      </w:r>
      <w:r>
        <w:rPr>
          <w:rFonts w:hint="eastAsia" w:ascii="Times New Roman" w:hAnsi="Times New Roman" w:eastAsia="仿宋_GB2312" w:cs="Times New Roman"/>
          <w:color w:val="auto"/>
          <w:sz w:val="32"/>
          <w:szCs w:val="32"/>
          <w:lang w:val="en-US" w:eastAsia="zh-CN"/>
        </w:rPr>
        <w:t>4.65</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2023年度完成机关事业单位养老保险试点期间人员退费支出。</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（二）一般公共预算财政拨款支出决算结构情况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万元，主要用于以下方面：</w:t>
      </w:r>
      <w:r>
        <w:rPr>
          <w:rFonts w:hint="eastAsia" w:ascii="Times New Roman" w:hAnsi="Times New Roman" w:eastAsia="仿宋_GB2312" w:cs="Times New Roman"/>
          <w:color w:val="auto"/>
          <w:sz w:val="32"/>
          <w:szCs w:val="32"/>
          <w:lang w:eastAsia="zh-CN"/>
        </w:rPr>
        <w:t>交通运输支出</w:t>
      </w:r>
      <w:r>
        <w:rPr>
          <w:rFonts w:hint="eastAsia" w:ascii="Times New Roman" w:hAnsi="Times New Roman" w:eastAsia="仿宋_GB2312" w:cs="Times New Roman"/>
          <w:color w:val="auto"/>
          <w:sz w:val="32"/>
          <w:szCs w:val="32"/>
          <w:lang w:val="en-US" w:eastAsia="zh-CN"/>
        </w:rPr>
        <w:t>844万元，占98.16%。住房保障支出0.21万元，占0.8%。其他支出8.92万元，占1.04%。</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（三）一般公共预算财政拨款支出决算具体情况</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2024年度财政拨款支出年初预算数为</w:t>
      </w:r>
      <w:r>
        <w:rPr>
          <w:rFonts w:hint="eastAsia" w:ascii="Times New Roman" w:hAnsi="Times New Roman" w:eastAsia="仿宋_GB2312" w:cs="Times New Roman"/>
          <w:color w:val="auto"/>
          <w:sz w:val="32"/>
          <w:szCs w:val="32"/>
          <w:lang w:val="en-US" w:eastAsia="zh-CN"/>
        </w:rPr>
        <w:t>710.9</w:t>
      </w:r>
      <w:r>
        <w:rPr>
          <w:rFonts w:ascii="Times New Roman" w:hAnsi="Times New Roman" w:eastAsia="仿宋_GB2312" w:cs="Times New Roman"/>
          <w:color w:val="auto"/>
          <w:sz w:val="32"/>
          <w:szCs w:val="32"/>
        </w:rPr>
        <w:t>万元，支出决算数为</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120.94</w:t>
      </w:r>
      <w:r>
        <w:rPr>
          <w:rFonts w:ascii="Times New Roman" w:hAnsi="Times New Roman" w:eastAsia="仿宋_GB2312" w:cs="Times New Roman"/>
          <w:color w:val="auto"/>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社会保障和就业支出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行政事业单位养老支出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其他行政事业单位养老支出</w:t>
      </w:r>
      <w:r>
        <w:rPr>
          <w:rFonts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olor w:val="auto"/>
          <w:sz w:val="32"/>
          <w:szCs w:val="32"/>
          <w:lang w:val="en-US" w:eastAsia="zh-CN"/>
        </w:rPr>
        <w:t>行政单位离退休（项）</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机关事业单位基本养老保险缴费支出（项）</w:t>
      </w:r>
      <w:r>
        <w:rPr>
          <w:rFonts w:hint="eastAsia" w:ascii="Times New Roman" w:hAnsi="Times New Roman" w:eastAsia="仿宋_GB2312"/>
          <w:color w:val="auto"/>
          <w:sz w:val="32"/>
          <w:szCs w:val="32"/>
          <w:lang w:val="en-US" w:eastAsia="zh-CN"/>
        </w:rPr>
        <w:t>。</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112.9</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5.1</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4.52</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eastAsia="zh-CN"/>
        </w:rPr>
        <w:t>财政误将机关事业单位基本养老保险缴费</w:t>
      </w:r>
      <w:r>
        <w:rPr>
          <w:rFonts w:hint="eastAsia" w:ascii="Times New Roman" w:hAnsi="Times New Roman" w:eastAsia="仿宋_GB2312" w:cs="Times New Roman"/>
          <w:color w:val="auto"/>
          <w:sz w:val="32"/>
          <w:szCs w:val="32"/>
          <w:lang w:val="en-US" w:eastAsia="zh-CN"/>
        </w:rPr>
        <w:t>50.29万元和离退休人员春节补助65.16万元指标下到行政运行，减少了</w:t>
      </w:r>
      <w:r>
        <w:rPr>
          <w:rFonts w:hint="eastAsia" w:ascii="Times New Roman" w:hAnsi="Times New Roman" w:eastAsia="仿宋_GB2312" w:cs="Times New Roman"/>
          <w:color w:val="auto"/>
          <w:sz w:val="32"/>
          <w:szCs w:val="32"/>
          <w:lang w:eastAsia="zh-CN"/>
        </w:rPr>
        <w:t>行政事业单位养老支出。</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社会保障和就业支出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就业补助</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其他就业补助支出</w:t>
      </w:r>
      <w:r>
        <w:rPr>
          <w:rFonts w:ascii="Times New Roman" w:hAnsi="Times New Roman" w:eastAsia="仿宋_GB2312" w:cs="Times New Roman"/>
          <w:color w:val="auto"/>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1.54</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lang w:eastAsia="zh-CN"/>
        </w:rPr>
        <w:t>我单位安排</w:t>
      </w:r>
      <w:r>
        <w:rPr>
          <w:rFonts w:hint="eastAsia" w:ascii="Times New Roman" w:hAnsi="Times New Roman" w:eastAsia="仿宋_GB2312" w:cs="Times New Roman"/>
          <w:color w:val="auto"/>
          <w:sz w:val="32"/>
          <w:szCs w:val="32"/>
          <w:lang w:val="en-US" w:eastAsia="zh-CN"/>
        </w:rPr>
        <w:t>1名</w:t>
      </w:r>
      <w:r>
        <w:rPr>
          <w:rFonts w:hint="eastAsia" w:ascii="Times New Roman" w:hAnsi="Times New Roman" w:eastAsia="仿宋_GB2312" w:cs="Times New Roman"/>
          <w:color w:val="auto"/>
          <w:sz w:val="32"/>
          <w:szCs w:val="32"/>
        </w:rPr>
        <w:t>公益性岗位</w:t>
      </w:r>
      <w:r>
        <w:rPr>
          <w:rFonts w:hint="eastAsia" w:ascii="Times New Roman" w:hAnsi="Times New Roman" w:eastAsia="仿宋_GB2312" w:cs="Times New Roman"/>
          <w:color w:val="auto"/>
          <w:sz w:val="32"/>
          <w:szCs w:val="32"/>
          <w:lang w:eastAsia="zh-CN"/>
        </w:rPr>
        <w:t>人员，省级财政</w:t>
      </w:r>
      <w:r>
        <w:rPr>
          <w:rFonts w:hint="eastAsia" w:ascii="Times New Roman" w:hAnsi="Times New Roman" w:eastAsia="仿宋_GB2312" w:cs="Times New Roman"/>
          <w:color w:val="auto"/>
          <w:sz w:val="32"/>
          <w:szCs w:val="32"/>
        </w:rPr>
        <w:t>补贴</w:t>
      </w:r>
      <w:r>
        <w:rPr>
          <w:rFonts w:hint="eastAsia" w:ascii="Times New Roman" w:hAnsi="Times New Roman" w:eastAsia="仿宋_GB2312" w:cs="Times New Roman"/>
          <w:color w:val="auto"/>
          <w:sz w:val="32"/>
          <w:szCs w:val="32"/>
          <w:lang w:val="en-US" w:eastAsia="zh-CN"/>
        </w:rPr>
        <w:t>1.54万元，年初未纳入预算。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交通运输支出（类）公路水路运输（款）行政运行（项）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571.26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700.52</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122.63</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财政误将机关事业单位基本养老保险缴费和</w:t>
      </w:r>
      <w:r>
        <w:rPr>
          <w:rFonts w:hint="eastAsia" w:ascii="Times New Roman" w:hAnsi="Times New Roman" w:eastAsia="仿宋_GB2312" w:cs="Times New Roman"/>
          <w:color w:val="auto"/>
          <w:sz w:val="32"/>
          <w:szCs w:val="32"/>
          <w:lang w:val="en-US" w:eastAsia="zh-CN"/>
        </w:rPr>
        <w:t>离退休人员春节补助指标下达到行政运行，增加了行政运行支出。</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交通运输支出（类）公路水路运输（款）公路养护（项）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年中追加国省干线大中修项目支出</w:t>
      </w:r>
      <w:r>
        <w:rPr>
          <w:rFonts w:hint="eastAsia" w:ascii="Times New Roman" w:hAnsi="Times New Roman" w:eastAsia="仿宋_GB2312" w:cs="Times New Roman"/>
          <w:color w:val="auto"/>
          <w:sz w:val="32"/>
          <w:szCs w:val="32"/>
          <w:lang w:val="en-US" w:eastAsia="zh-CN"/>
        </w:rPr>
        <w:t>50万元，年初无预算。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交通运输支出（类）公路水路运输（款）公路和运输安全（项）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lang w:eastAsia="zh-CN"/>
        </w:rPr>
        <w:t>年中追加交通安全经费</w:t>
      </w:r>
      <w:r>
        <w:rPr>
          <w:rFonts w:hint="eastAsia" w:ascii="Times New Roman" w:hAnsi="Times New Roman" w:eastAsia="仿宋_GB2312" w:cs="Times New Roman"/>
          <w:color w:val="auto"/>
          <w:sz w:val="32"/>
          <w:szCs w:val="32"/>
          <w:lang w:val="en-US" w:eastAsia="zh-CN"/>
        </w:rPr>
        <w:t>10万元，年初无预算。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交通运输支出（类）公路水路运输（款）其他公路水路运输支出（项）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63.48</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lang w:eastAsia="zh-CN"/>
        </w:rPr>
        <w:t>年中追加</w:t>
      </w:r>
      <w:r>
        <w:rPr>
          <w:rFonts w:hint="eastAsia" w:ascii="Times New Roman" w:hAnsi="Times New Roman" w:eastAsia="仿宋_GB2312" w:cs="Times New Roman"/>
          <w:color w:val="auto"/>
          <w:sz w:val="32"/>
          <w:szCs w:val="32"/>
        </w:rPr>
        <w:t>公路水运工程交工质量验证性检测费</w:t>
      </w:r>
      <w:r>
        <w:rPr>
          <w:rFonts w:hint="eastAsia" w:ascii="Times New Roman" w:hAnsi="Times New Roman" w:eastAsia="仿宋_GB2312" w:cs="Times New Roman"/>
          <w:color w:val="auto"/>
          <w:sz w:val="32"/>
          <w:szCs w:val="32"/>
          <w:lang w:val="en-US" w:eastAsia="zh-CN"/>
        </w:rPr>
        <w:t>47.48万元，真抓实干奖劢工作经费6万元，年初无预算。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交通运输支出（类）其他交通</w:t>
      </w:r>
      <w:bookmarkStart w:id="1" w:name="_GoBack"/>
      <w:bookmarkEnd w:id="1"/>
      <w:r>
        <w:rPr>
          <w:rFonts w:hint="eastAsia" w:ascii="Times New Roman" w:hAnsi="Times New Roman" w:eastAsia="仿宋_GB2312" w:cs="Times New Roman"/>
          <w:color w:val="auto"/>
          <w:sz w:val="32"/>
          <w:szCs w:val="32"/>
          <w:lang w:val="en-US" w:eastAsia="zh-CN"/>
        </w:rPr>
        <w:t>运输支出（款）其他交通运输支出（项）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lang w:eastAsia="zh-CN"/>
        </w:rPr>
        <w:t>年中追加</w:t>
      </w:r>
      <w:r>
        <w:rPr>
          <w:rFonts w:hint="eastAsia" w:ascii="Times New Roman" w:hAnsi="Times New Roman" w:eastAsia="仿宋_GB2312" w:cs="Times New Roman"/>
          <w:color w:val="auto"/>
          <w:sz w:val="32"/>
          <w:szCs w:val="32"/>
        </w:rPr>
        <w:t>重要农村公路监督工作经费</w:t>
      </w:r>
      <w:r>
        <w:rPr>
          <w:rFonts w:hint="eastAsia" w:ascii="Times New Roman" w:hAnsi="Times New Roman" w:eastAsia="仿宋_GB2312" w:cs="Times New Roman"/>
          <w:color w:val="auto"/>
          <w:sz w:val="32"/>
          <w:szCs w:val="32"/>
          <w:lang w:val="en-US" w:eastAsia="zh-CN"/>
        </w:rPr>
        <w:t>20万元，年初无预算。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住房保障支出（类）住房改革支出（款）住房公积金（项）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0.21</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rPr>
        <w:t>2024年住房公积金财政配套</w:t>
      </w:r>
      <w:r>
        <w:rPr>
          <w:rFonts w:hint="eastAsia" w:ascii="Times New Roman" w:hAnsi="Times New Roman" w:eastAsia="仿宋_GB2312" w:cs="Times New Roman"/>
          <w:color w:val="auto"/>
          <w:sz w:val="32"/>
          <w:szCs w:val="32"/>
          <w:lang w:eastAsia="zh-CN"/>
        </w:rPr>
        <w:t>补差额</w:t>
      </w:r>
      <w:r>
        <w:rPr>
          <w:rFonts w:hint="eastAsia" w:ascii="Times New Roman" w:hAnsi="Times New Roman" w:eastAsia="仿宋_GB2312" w:cs="Times New Roman"/>
          <w:color w:val="auto"/>
          <w:sz w:val="32"/>
          <w:szCs w:val="32"/>
          <w:lang w:val="en-US" w:eastAsia="zh-CN"/>
        </w:rPr>
        <w:t>0.21万元。</w:t>
      </w:r>
    </w:p>
    <w:p>
      <w:pPr>
        <w:pStyle w:val="14"/>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其他支出（类）其他支出（款）其他支出（项）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bCs/>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8.92</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lang w:val="en-US" w:eastAsia="zh-CN"/>
        </w:rPr>
        <w:t>2024年收取垫付单位家属区水费8.89万元往来资金，个税代扣代缴手续费0.03万元。</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2024年度一般公共预算财政拨款基本支出</w:t>
      </w:r>
      <w:r>
        <w:rPr>
          <w:rFonts w:hint="eastAsia" w:ascii="Times New Roman" w:hAnsi="Times New Roman" w:eastAsia="仿宋_GB2312" w:cs="Times New Roman"/>
          <w:color w:val="auto"/>
          <w:sz w:val="32"/>
          <w:szCs w:val="32"/>
          <w:lang w:val="en-US" w:eastAsia="zh-CN"/>
        </w:rPr>
        <w:t>716.3</w:t>
      </w:r>
      <w:r>
        <w:rPr>
          <w:rFonts w:ascii="Times New Roman" w:hAnsi="Times New Roman" w:eastAsia="仿宋_GB2312" w:cs="Times New Roman"/>
          <w:color w:val="auto"/>
          <w:sz w:val="32"/>
          <w:szCs w:val="32"/>
        </w:rPr>
        <w:t>万元，其中：</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人员经费</w:t>
      </w:r>
      <w:r>
        <w:rPr>
          <w:rFonts w:hint="eastAsia" w:ascii="Times New Roman" w:hAnsi="Times New Roman" w:eastAsia="仿宋_GB2312" w:cs="Times New Roman"/>
          <w:color w:val="auto"/>
          <w:sz w:val="32"/>
          <w:szCs w:val="32"/>
          <w:lang w:val="en-US" w:eastAsia="zh-CN"/>
        </w:rPr>
        <w:t>664.78</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92.81</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lang w:val="en-US" w:eastAsia="zh-CN"/>
        </w:rPr>
        <w:t>主要包括基本工资201.79万元</w:t>
      </w:r>
      <w:r>
        <w:rPr>
          <w:rFonts w:hint="eastAsia" w:ascii="Times New Roman" w:hAnsi="Times New Roman" w:eastAsia="仿宋_GB2312"/>
          <w:color w:val="auto"/>
          <w:sz w:val="32"/>
          <w:szCs w:val="32"/>
        </w:rPr>
        <w:t>、津贴补</w:t>
      </w:r>
      <w:r>
        <w:rPr>
          <w:rFonts w:hint="eastAsia" w:ascii="Times New Roman" w:hAnsi="Times New Roman" w:eastAsia="仿宋_GB2312"/>
          <w:color w:val="auto"/>
          <w:sz w:val="32"/>
          <w:szCs w:val="32"/>
          <w:lang w:eastAsia="zh-CN"/>
        </w:rPr>
        <w:t>贴</w:t>
      </w:r>
      <w:r>
        <w:rPr>
          <w:rFonts w:hint="eastAsia" w:ascii="Times New Roman" w:hAnsi="Times New Roman" w:eastAsia="仿宋_GB2312"/>
          <w:color w:val="auto"/>
          <w:sz w:val="32"/>
          <w:szCs w:val="32"/>
          <w:lang w:val="en-US" w:eastAsia="zh-CN"/>
        </w:rPr>
        <w:t>201.11万元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41.05万元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职工基本养老保险及医疗保险费</w:t>
      </w:r>
      <w:r>
        <w:rPr>
          <w:rFonts w:hint="eastAsia" w:ascii="Times New Roman" w:hAnsi="Times New Roman" w:eastAsia="仿宋_GB2312"/>
          <w:color w:val="auto"/>
          <w:sz w:val="32"/>
          <w:szCs w:val="32"/>
          <w:lang w:val="en-US" w:eastAsia="zh-CN"/>
        </w:rPr>
        <w:t xml:space="preserve">77万元，其他社会保障缴费3.7万元，公积金52.97万元，对个人和家庭的补助70.25万元。 </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b/>
          <w:bCs/>
          <w:color w:val="auto"/>
          <w:sz w:val="32"/>
          <w:szCs w:val="32"/>
        </w:rPr>
        <w:t>公用经费</w:t>
      </w:r>
      <w:r>
        <w:rPr>
          <w:rFonts w:hint="eastAsia" w:ascii="Times New Roman" w:hAnsi="Times New Roman" w:eastAsia="仿宋_GB2312" w:cs="Times New Roman"/>
          <w:color w:val="auto"/>
          <w:sz w:val="32"/>
          <w:szCs w:val="32"/>
          <w:lang w:val="en-US" w:eastAsia="zh-CN"/>
        </w:rPr>
        <w:t>51.52</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7.19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主要包括水费、</w:t>
      </w:r>
      <w:r>
        <w:rPr>
          <w:rFonts w:hint="eastAsia" w:ascii="Times New Roman" w:hAnsi="Times New Roman" w:eastAsia="仿宋_GB2312" w:cs="Times New Roman"/>
          <w:color w:val="auto"/>
          <w:sz w:val="32"/>
          <w:szCs w:val="32"/>
          <w:highlight w:val="none"/>
          <w:lang w:val="en-US" w:eastAsia="zh-CN"/>
        </w:rPr>
        <w:t>电费、培训费、工会经费、差旅费等。</w:t>
      </w:r>
    </w:p>
    <w:p>
      <w:pPr>
        <w:pStyle w:val="14"/>
        <w:numPr>
          <w:ilvl w:val="0"/>
          <w:numId w:val="2"/>
        </w:numPr>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（一）“三公”经费财政拨款支出决算总体情况说明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2024年度“三公”经费财政拨款支出预算为</w:t>
      </w:r>
      <w:r>
        <w:rPr>
          <w:rFonts w:hint="default" w:ascii="Times New Roman" w:hAnsi="Times New Roman" w:eastAsia="仿宋_GB2312" w:cs="Times New Roman"/>
          <w:color w:val="auto"/>
          <w:sz w:val="32"/>
          <w:szCs w:val="32"/>
          <w:lang w:val="en-US"/>
        </w:rPr>
        <w:t>1.5</w:t>
      </w:r>
      <w:r>
        <w:rPr>
          <w:rFonts w:ascii="Times New Roman" w:hAnsi="Times New Roman" w:eastAsia="仿宋_GB2312" w:cs="Times New Roman"/>
          <w:color w:val="auto"/>
          <w:sz w:val="32"/>
          <w:szCs w:val="32"/>
        </w:rPr>
        <w:t>万元，支出决算为</w:t>
      </w:r>
      <w:r>
        <w:rPr>
          <w:rFonts w:hint="default" w:ascii="Times New Roman" w:hAnsi="Times New Roman" w:eastAsia="仿宋_GB2312" w:cs="Times New Roman"/>
          <w:color w:val="auto"/>
          <w:sz w:val="32"/>
          <w:szCs w:val="32"/>
          <w:lang w:val="en-US"/>
        </w:rPr>
        <w:t>12.63</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rPr>
        <w:t>842</w:t>
      </w:r>
      <w:r>
        <w:rPr>
          <w:rFonts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lang w:val="en-US"/>
        </w:rPr>
        <w:t>5.51</w:t>
      </w:r>
      <w:r>
        <w:rPr>
          <w:rFonts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rPr>
        <w:t>75.24</w:t>
      </w:r>
      <w:r>
        <w:rPr>
          <w:rFonts w:ascii="Times New Roman" w:hAnsi="Times New Roman" w:eastAsia="仿宋_GB2312" w:cs="Times New Roman"/>
          <w:color w:val="auto"/>
          <w:sz w:val="32"/>
          <w:szCs w:val="32"/>
        </w:rPr>
        <w:t>%。决算数大于预算数的主要原因是</w:t>
      </w:r>
      <w:r>
        <w:rPr>
          <w:rFonts w:hint="eastAsia" w:ascii="Times New Roman" w:hAnsi="Times New Roman" w:eastAsia="仿宋_GB2312" w:cs="Times New Roman"/>
          <w:color w:val="auto"/>
          <w:sz w:val="32"/>
          <w:szCs w:val="32"/>
          <w:lang w:eastAsia="zh-CN"/>
        </w:rPr>
        <w:t>年初预算不够科学精准，年中又追加了交通安全经费、国省干线大中修质量安全监督工作经费、农村重要公路监督工作</w:t>
      </w:r>
      <w:r>
        <w:rPr>
          <w:rFonts w:hint="eastAsia" w:ascii="Times New Roman" w:hAnsi="Times New Roman" w:eastAsia="仿宋_GB2312" w:cs="Times New Roman"/>
          <w:color w:val="auto"/>
          <w:sz w:val="32"/>
          <w:szCs w:val="32"/>
          <w:lang w:val="en-US" w:eastAsia="zh-CN"/>
        </w:rPr>
        <w:t>3个项目经费，并对公务用车维护费用进行了调整。同时2024年增加了</w:t>
      </w:r>
      <w:r>
        <w:rPr>
          <w:rFonts w:hint="eastAsia" w:ascii="Times New Roman" w:hAnsi="Times New Roman" w:eastAsia="仿宋_GB2312" w:cs="Times New Roman"/>
          <w:color w:val="auto"/>
          <w:sz w:val="32"/>
          <w:szCs w:val="32"/>
        </w:rPr>
        <w:t>重要农村公路监督职责工作</w:t>
      </w:r>
      <w:r>
        <w:rPr>
          <w:rFonts w:hint="eastAsia" w:ascii="Times New Roman" w:hAnsi="Times New Roman" w:eastAsia="仿宋_GB2312" w:cs="Times New Roman"/>
          <w:color w:val="auto"/>
          <w:sz w:val="32"/>
          <w:szCs w:val="32"/>
          <w:lang w:eastAsia="zh-CN"/>
        </w:rPr>
        <w:t>，使费用进一步增加。</w:t>
      </w:r>
    </w:p>
    <w:p>
      <w:pPr>
        <w:pStyle w:val="14"/>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12.63</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1263</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5.45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75.97</w:t>
      </w:r>
      <w:r>
        <w:rPr>
          <w:rFonts w:ascii="Times New Roman" w:hAnsi="Times New Roman" w:eastAsia="仿宋_GB2312" w:cs="Times New Roman"/>
          <w:color w:val="auto"/>
          <w:sz w:val="32"/>
          <w:szCs w:val="32"/>
        </w:rPr>
        <w:t>%。其中：</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公务用车</w:t>
      </w:r>
      <w:r>
        <w:rPr>
          <w:rFonts w:ascii="Times New Roman" w:hAnsi="Times New Roman" w:eastAsia="仿宋_GB2312" w:cs="Times New Roman"/>
          <w:color w:val="auto"/>
          <w:sz w:val="32"/>
          <w:szCs w:val="32"/>
          <w:highlight w:val="none"/>
        </w:rPr>
        <w:t>购置费</w:t>
      </w:r>
      <w:r>
        <w:rPr>
          <w:rFonts w:ascii="Times New Roman" w:hAnsi="Times New Roman" w:eastAsia="仿宋_GB2312" w:cs="Times New Roman"/>
          <w:color w:val="auto"/>
          <w:sz w:val="32"/>
          <w:szCs w:val="32"/>
        </w:rPr>
        <w:t>支出预算为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与上年持平，</w:t>
      </w:r>
      <w:r>
        <w:rPr>
          <w:rFonts w:ascii="Times New Roman" w:hAnsi="Times New Roman" w:eastAsia="仿宋_GB2312" w:cs="Times New Roman"/>
          <w:color w:val="auto"/>
          <w:sz w:val="32"/>
          <w:szCs w:val="32"/>
        </w:rPr>
        <w:t>决算数小于预算数的主要原因是</w:t>
      </w:r>
      <w:r>
        <w:rPr>
          <w:rFonts w:hint="eastAsia" w:ascii="Times New Roman" w:hAnsi="Times New Roman" w:eastAsia="仿宋_GB2312" w:cs="Times New Roman"/>
          <w:color w:val="auto"/>
          <w:sz w:val="32"/>
          <w:szCs w:val="32"/>
          <w:lang w:eastAsia="zh-CN"/>
        </w:rPr>
        <w:t>本年没有更新公务用车。</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12.63</w:t>
      </w:r>
      <w:r>
        <w:rPr>
          <w:rFonts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olor w:val="auto"/>
          <w:sz w:val="32"/>
          <w:szCs w:val="32"/>
          <w:lang w:val="en-US" w:eastAsia="zh-CN"/>
        </w:rPr>
        <w:t>各县市区交通安全监督检查、质量检测、部门衔接工作、调研等发生的接待支出</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5.45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75.97</w:t>
      </w:r>
      <w:r>
        <w:rPr>
          <w:rFonts w:ascii="Times New Roman" w:hAnsi="Times New Roman" w:eastAsia="仿宋_GB2312" w:cs="Times New Roman"/>
          <w:color w:val="auto"/>
          <w:sz w:val="32"/>
          <w:szCs w:val="32"/>
        </w:rPr>
        <w:t>%。决算数大于预算数的主要原因是</w:t>
      </w:r>
      <w:r>
        <w:rPr>
          <w:rFonts w:hint="eastAsia" w:ascii="Times New Roman" w:hAnsi="Times New Roman" w:eastAsia="仿宋_GB2312" w:cs="Times New Roman"/>
          <w:color w:val="auto"/>
          <w:sz w:val="32"/>
          <w:szCs w:val="32"/>
          <w:lang w:eastAsia="zh-CN"/>
        </w:rPr>
        <w:t>今年检查增加，预算不够精准</w:t>
      </w:r>
      <w:r>
        <w:rPr>
          <w:rFonts w:ascii="Times New Roman" w:hAnsi="Times New Roman" w:eastAsia="仿宋_GB2312" w:cs="Times New Roman"/>
          <w:color w:val="auto"/>
          <w:sz w:val="32"/>
          <w:szCs w:val="32"/>
        </w:rPr>
        <w:t>。决算数大于上年数的主要原因是</w:t>
      </w:r>
      <w:r>
        <w:rPr>
          <w:rFonts w:hint="eastAsia" w:ascii="Times New Roman" w:hAnsi="Times New Roman" w:eastAsia="仿宋_GB2312" w:cs="Times New Roman"/>
          <w:color w:val="auto"/>
          <w:sz w:val="32"/>
          <w:szCs w:val="32"/>
        </w:rPr>
        <w:t>要农村公路监督职责工作增加</w:t>
      </w:r>
      <w:r>
        <w:rPr>
          <w:rFonts w:ascii="Times New Roman" w:hAnsi="Times New Roman" w:eastAsia="仿宋_GB2312" w:cs="Times New Roman"/>
          <w:color w:val="auto"/>
          <w:sz w:val="32"/>
          <w:szCs w:val="32"/>
        </w:rPr>
        <w:t>。截止2024年12月31日，我单位开支财政拨款的公务用车保有量为</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3.公务接待费支出预算为</w:t>
      </w:r>
      <w:r>
        <w:rPr>
          <w:rFonts w:hint="eastAsia" w:ascii="Times New Roman" w:hAnsi="Times New Roman" w:eastAsia="仿宋_GB2312" w:cs="Times New Roman"/>
          <w:color w:val="auto"/>
          <w:sz w:val="32"/>
          <w:szCs w:val="32"/>
          <w:lang w:val="en-US" w:eastAsia="zh-CN"/>
        </w:rPr>
        <w:t>0.5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0.2</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0.06</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39.49</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小于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s="Times New Roman"/>
          <w:color w:val="auto"/>
          <w:sz w:val="32"/>
          <w:szCs w:val="32"/>
          <w:lang w:eastAsia="zh-CN"/>
        </w:rPr>
        <w:t>预算编制遵循八项规定，减少非必要公务接待</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大于</w:t>
      </w:r>
      <w:r>
        <w:rPr>
          <w:rFonts w:ascii="Times New Roman" w:hAnsi="Times New Roman" w:eastAsia="仿宋_GB2312" w:cs="Times New Roman"/>
          <w:color w:val="auto"/>
          <w:sz w:val="32"/>
          <w:szCs w:val="32"/>
        </w:rPr>
        <w:t>上年数的主要原因是</w:t>
      </w:r>
      <w:r>
        <w:rPr>
          <w:rFonts w:hint="eastAsia" w:ascii="Times New Roman" w:hAnsi="Times New Roman" w:eastAsia="仿宋_GB2312" w:cs="Times New Roman"/>
          <w:color w:val="auto"/>
          <w:sz w:val="32"/>
          <w:szCs w:val="32"/>
          <w:lang w:eastAsia="zh-CN"/>
        </w:rPr>
        <w:t>对接工作增加</w:t>
      </w:r>
      <w:r>
        <w:rPr>
          <w:rFonts w:ascii="Times New Roman" w:hAnsi="Times New Roman" w:eastAsia="仿宋_GB2312" w:cs="Times New Roman"/>
          <w:color w:val="auto"/>
          <w:sz w:val="32"/>
          <w:szCs w:val="32"/>
        </w:rPr>
        <w:t>。2024年度共接待来访团组</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lang w:eastAsia="zh-CN"/>
        </w:rPr>
        <w:t>乡村振兴汇报接待和县市区质安站部门交流对接</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八、政府性基金预算收入支出决算情况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2024年度</w:t>
      </w:r>
      <w:r>
        <w:rPr>
          <w:rFonts w:hint="eastAsia" w:ascii="Times New Roman" w:hAnsi="Times New Roman" w:eastAsia="仿宋_GB2312" w:cs="Times New Roman"/>
          <w:color w:val="auto"/>
          <w:sz w:val="32"/>
          <w:szCs w:val="32"/>
          <w:lang w:eastAsia="zh-CN"/>
        </w:rPr>
        <w:t>本单位无</w:t>
      </w:r>
      <w:r>
        <w:rPr>
          <w:rFonts w:ascii="Times New Roman" w:hAnsi="Times New Roman" w:eastAsia="仿宋_GB2312" w:cs="Times New Roman"/>
          <w:color w:val="auto"/>
          <w:sz w:val="32"/>
          <w:szCs w:val="32"/>
        </w:rPr>
        <w:t>政府性基金</w:t>
      </w:r>
      <w:r>
        <w:rPr>
          <w:rFonts w:hint="eastAsia" w:ascii="Times New Roman" w:hAnsi="Times New Roman" w:eastAsia="仿宋_GB2312" w:cs="Times New Roman"/>
          <w:color w:val="auto"/>
          <w:sz w:val="32"/>
          <w:szCs w:val="32"/>
          <w:lang w:eastAsia="zh-CN"/>
        </w:rPr>
        <w:t>收支。</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cs="Times New Roman"/>
          <w:bCs/>
          <w:color w:val="auto"/>
          <w:sz w:val="32"/>
          <w:szCs w:val="32"/>
          <w:lang w:eastAsia="zh-CN"/>
        </w:rPr>
      </w:pPr>
      <w:r>
        <w:rPr>
          <w:rFonts w:hint="eastAsia" w:ascii="Times New Roman" w:hAnsi="Times New Roman" w:cs="Times New Roman"/>
          <w:bCs/>
          <w:color w:val="auto"/>
          <w:sz w:val="32"/>
          <w:szCs w:val="32"/>
          <w:lang w:eastAsia="zh-CN"/>
        </w:rPr>
        <w:t>九、国有资本经营预算收入支出决算情况</w:t>
      </w:r>
    </w:p>
    <w:p>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2024年度国有资本经营收入0万元，支出0万元。</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hint="eastAsia" w:ascii="Times New Roman" w:hAnsi="Times New Roman" w:cs="Times New Roman"/>
          <w:bCs/>
          <w:color w:val="auto"/>
          <w:sz w:val="32"/>
          <w:szCs w:val="32"/>
          <w:lang w:eastAsia="zh-CN"/>
        </w:rPr>
        <w:t>十</w:t>
      </w:r>
      <w:r>
        <w:rPr>
          <w:rFonts w:ascii="Times New Roman" w:hAnsi="Times New Roman" w:cs="Times New Roman"/>
          <w:bCs/>
          <w:color w:val="auto"/>
          <w:sz w:val="32"/>
          <w:szCs w:val="32"/>
        </w:rPr>
        <w:t>、关于机关运行经费支出说明</w:t>
      </w:r>
    </w:p>
    <w:p>
      <w:pPr>
        <w:pStyle w:val="14"/>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本部门不属于行政单位和参照公务员法管理事业单位，无机关运行经费。</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cs="Times New Roman"/>
          <w:bCs/>
          <w:color w:val="auto"/>
          <w:sz w:val="32"/>
          <w:szCs w:val="32"/>
        </w:rPr>
      </w:pPr>
      <w:r>
        <w:rPr>
          <w:rFonts w:hint="eastAsia" w:ascii="Times New Roman" w:hAnsi="Times New Roman" w:cs="Times New Roman"/>
          <w:bCs/>
          <w:color w:val="auto"/>
          <w:sz w:val="32"/>
          <w:szCs w:val="32"/>
          <w:lang w:eastAsia="zh-CN"/>
        </w:rPr>
        <w:t>十一、</w:t>
      </w:r>
      <w:r>
        <w:rPr>
          <w:rFonts w:ascii="Times New Roman" w:hAnsi="Times New Roman" w:cs="Times New Roman"/>
          <w:bCs/>
          <w:color w:val="auto"/>
          <w:sz w:val="32"/>
          <w:szCs w:val="32"/>
        </w:rPr>
        <w:t>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年本部门</w:t>
      </w:r>
      <w:r>
        <w:rPr>
          <w:rFonts w:hint="eastAsia" w:ascii="Times New Roman" w:hAnsi="Times New Roman" w:eastAsia="仿宋_GB2312"/>
          <w:color w:val="auto"/>
          <w:sz w:val="32"/>
          <w:szCs w:val="32"/>
          <w:lang w:eastAsia="zh-CN"/>
        </w:rPr>
        <w:t>会议费年初预算数</w:t>
      </w:r>
      <w:r>
        <w:rPr>
          <w:rFonts w:hint="eastAsia" w:ascii="Times New Roman" w:hAnsi="Times New Roman" w:eastAsia="仿宋_GB2312"/>
          <w:color w:val="auto"/>
          <w:sz w:val="32"/>
          <w:szCs w:val="32"/>
          <w:lang w:val="en-US" w:eastAsia="zh-CN"/>
        </w:rPr>
        <w:t>0万元，</w:t>
      </w:r>
      <w:r>
        <w:rPr>
          <w:rFonts w:hint="eastAsia" w:ascii="Times New Roman" w:hAnsi="Times New Roman" w:eastAsia="仿宋_GB2312"/>
          <w:color w:val="auto"/>
          <w:sz w:val="32"/>
          <w:szCs w:val="32"/>
        </w:rPr>
        <w:t>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培训费年初预算数</w:t>
      </w:r>
      <w:r>
        <w:rPr>
          <w:rFonts w:hint="eastAsia" w:ascii="Times New Roman" w:hAnsi="Times New Roman" w:eastAsia="仿宋_GB2312"/>
          <w:color w:val="auto"/>
          <w:sz w:val="32"/>
          <w:szCs w:val="32"/>
          <w:lang w:val="en-US" w:eastAsia="zh-CN"/>
        </w:rPr>
        <w:t>1万元，</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eastAsia="zh-CN"/>
        </w:rPr>
        <w:t>费开支</w:t>
      </w:r>
      <w:r>
        <w:rPr>
          <w:rFonts w:hint="eastAsia" w:ascii="Times New Roman" w:hAnsi="Times New Roman" w:eastAsia="仿宋_GB2312"/>
          <w:color w:val="auto"/>
          <w:sz w:val="32"/>
          <w:szCs w:val="32"/>
          <w:lang w:val="en-US" w:eastAsia="zh-CN"/>
        </w:rPr>
        <w:t>0.36</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eastAsia="zh-CN"/>
        </w:rPr>
        <w:t>事业单位在职人员</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eastAsia="zh-CN"/>
        </w:rPr>
        <w:t>专业技术及公共科目培训。</w:t>
      </w:r>
      <w:r>
        <w:rPr>
          <w:rFonts w:hint="eastAsia" w:ascii="Times New Roman" w:hAnsi="Times New Roman" w:eastAsia="仿宋_GB2312"/>
          <w:color w:val="auto"/>
          <w:sz w:val="32"/>
          <w:szCs w:val="32"/>
        </w:rPr>
        <w:t>2024年度本部门无举办节庆、晚会、论坛、赛事等活动</w:t>
      </w:r>
      <w:r>
        <w:rPr>
          <w:rFonts w:hint="eastAsia" w:ascii="Times New Roman" w:hAnsi="Times New Roman" w:eastAsia="仿宋_GB2312"/>
          <w:color w:val="auto"/>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二</w:t>
      </w:r>
      <w:r>
        <w:rPr>
          <w:rFonts w:ascii="Times New Roman" w:hAnsi="Times New Roman" w:cs="Times New Roman"/>
          <w:bCs/>
          <w:color w:val="auto"/>
          <w:sz w:val="32"/>
          <w:szCs w:val="32"/>
        </w:rPr>
        <w:t>、关于政府采购支出说明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本部门2024年度政府采购支出总额</w:t>
      </w:r>
      <w:r>
        <w:rPr>
          <w:rFonts w:hint="eastAsia" w:ascii="Times New Roman" w:hAnsi="Times New Roman" w:eastAsia="仿宋_GB2312" w:cs="Times New Roman"/>
          <w:color w:val="auto"/>
          <w:sz w:val="32"/>
          <w:szCs w:val="32"/>
          <w:lang w:val="en-US" w:eastAsia="zh-CN"/>
        </w:rPr>
        <w:t>47.48</w:t>
      </w:r>
      <w:r>
        <w:rPr>
          <w:rFonts w:ascii="Times New Roman" w:hAnsi="Times New Roman" w:eastAsia="仿宋_GB2312" w:cs="Times New Roman"/>
          <w:color w:val="auto"/>
          <w:sz w:val="32"/>
          <w:szCs w:val="32"/>
        </w:rPr>
        <w:t>万元，其中：政府采购货物支出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万元、政府采购工程支出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万元、政府采购服务支出</w:t>
      </w:r>
      <w:r>
        <w:rPr>
          <w:rFonts w:hint="eastAsia" w:ascii="Times New Roman" w:hAnsi="Times New Roman" w:eastAsia="仿宋_GB2312" w:cs="Times New Roman"/>
          <w:color w:val="auto"/>
          <w:sz w:val="32"/>
          <w:szCs w:val="32"/>
          <w:lang w:val="en-US" w:eastAsia="zh-CN"/>
        </w:rPr>
        <w:t>47.48</w:t>
      </w:r>
      <w:r>
        <w:rPr>
          <w:rFonts w:ascii="Times New Roman" w:hAnsi="Times New Roman" w:eastAsia="仿宋_GB2312" w:cs="Times New Roman"/>
          <w:color w:val="auto"/>
          <w:sz w:val="32"/>
          <w:szCs w:val="32"/>
        </w:rPr>
        <w:t>万元。授予中小企业合同金额</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万元，占政府采购支出总额的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%，其中：授予小微企业合同金额</w:t>
      </w:r>
      <w:r>
        <w:rPr>
          <w:rFonts w:hint="eastAsia" w:ascii="Times New Roman" w:hAnsi="Times New Roman" w:eastAsia="仿宋_GB2312" w:cs="Times New Roman"/>
          <w:color w:val="auto"/>
          <w:sz w:val="32"/>
          <w:szCs w:val="32"/>
          <w:lang w:val="en-US" w:eastAsia="zh-CN"/>
        </w:rPr>
        <w:t>47.48</w:t>
      </w:r>
      <w:r>
        <w:rPr>
          <w:rFonts w:ascii="Times New Roman" w:hAnsi="Times New Roman" w:eastAsia="仿宋_GB2312" w:cs="Times New Roman"/>
          <w:color w:val="auto"/>
          <w:sz w:val="32"/>
          <w:szCs w:val="32"/>
        </w:rPr>
        <w:t>万元，占授予中小企业合同金额的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辆，其中，机要通信用车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hint="eastAsia" w:ascii="Times New Roman" w:hAnsi="Times New Roman" w:eastAsia="仿宋_GB2312" w:cs="Times New Roman"/>
          <w:color w:val="auto"/>
          <w:kern w:val="0"/>
          <w:sz w:val="32"/>
          <w:szCs w:val="32"/>
          <w:lang w:eastAsia="zh-CN"/>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绩效自评开展情况。</w:t>
      </w:r>
      <w:r>
        <w:rPr>
          <w:rFonts w:ascii="Times New Roman" w:hAnsi="Times New Roman" w:eastAsia="仿宋_GB2312" w:cs="Times New Roman"/>
          <w:color w:val="auto"/>
          <w:kern w:val="0"/>
          <w:sz w:val="32"/>
          <w:szCs w:val="32"/>
        </w:rPr>
        <w:t>组织对2024年度本部门（单位）整体支出开展绩效自评，涉及项目</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个，共涉及资金</w:t>
      </w:r>
      <w:r>
        <w:rPr>
          <w:rFonts w:hint="eastAsia" w:ascii="Times New Roman" w:hAnsi="Times New Roman" w:eastAsia="仿宋_GB2312" w:cs="Times New Roman"/>
          <w:color w:val="auto"/>
          <w:kern w:val="0"/>
          <w:sz w:val="32"/>
          <w:szCs w:val="32"/>
          <w:lang w:val="en-US" w:eastAsia="zh-CN"/>
        </w:rPr>
        <w:t>143.48</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143.48</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 xml:space="preserve"> 个；社会保险基金预算项目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eastAsia="zh-CN"/>
        </w:rPr>
        <w:t>。</w:t>
      </w:r>
    </w:p>
    <w:p>
      <w:pPr>
        <w:overflowPunct w:val="0"/>
        <w:spacing w:line="600" w:lineRule="exact"/>
        <w:ind w:firstLine="640" w:firstLineChars="200"/>
        <w:rPr>
          <w:rFonts w:ascii="Times New Roman" w:hAnsi="Times New Roman" w:eastAsia="仿宋_GB2312" w:cs="Times New Roman"/>
          <w:bCs/>
          <w:color w:val="auto"/>
          <w:sz w:val="32"/>
          <w:szCs w:val="32"/>
        </w:rPr>
      </w:pPr>
      <w:r>
        <w:rPr>
          <w:rFonts w:ascii="Times New Roman" w:hAnsi="Times New Roman" w:eastAsia="楷体_GB2312" w:cs="Times New Roman"/>
          <w:b/>
          <w:bCs/>
          <w:color w:val="auto"/>
          <w:sz w:val="32"/>
          <w:szCs w:val="32"/>
        </w:rPr>
        <w:t>（二）绩效评价结果。</w:t>
      </w:r>
      <w:r>
        <w:rPr>
          <w:rFonts w:ascii="Times New Roman" w:hAnsi="Times New Roman" w:eastAsia="仿宋_GB2312" w:cs="Times New Roman"/>
          <w:b/>
          <w:bCs/>
          <w:color w:val="auto"/>
          <w:kern w:val="0"/>
          <w:sz w:val="32"/>
          <w:szCs w:val="32"/>
        </w:rPr>
        <w:t>一是绩效自评结果。</w:t>
      </w:r>
      <w:r>
        <w:rPr>
          <w:rFonts w:ascii="Times New Roman" w:hAnsi="Times New Roman" w:eastAsia="仿宋_GB2312" w:cs="Times New Roman"/>
          <w:color w:val="auto"/>
          <w:kern w:val="0"/>
          <w:sz w:val="32"/>
          <w:szCs w:val="32"/>
        </w:rPr>
        <w:t>2024年度本部门（单位）整体支出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sz w:val="32"/>
          <w:szCs w:val="32"/>
          <w:lang w:val="en-US" w:eastAsia="zh-CN"/>
        </w:rPr>
        <w:t>710.9</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859.78</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120.94</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98</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优秀</w:t>
      </w:r>
      <w:r>
        <w:rPr>
          <w:rFonts w:ascii="Times New Roman" w:hAnsi="Times New Roman" w:eastAsia="仿宋_GB2312" w:cs="Times New Roman"/>
          <w:color w:val="auto"/>
          <w:sz w:val="32"/>
          <w:szCs w:val="32"/>
        </w:rPr>
        <w:t>”。</w:t>
      </w:r>
      <w:r>
        <w:rPr>
          <w:rFonts w:hint="eastAsia" w:ascii="Times New Roman" w:hAnsi="Times New Roman" w:eastAsia="仿宋_GB2312" w:cs="黑体"/>
          <w:color w:val="auto"/>
          <w:kern w:val="0"/>
          <w:sz w:val="32"/>
          <w:szCs w:val="32"/>
          <w:lang w:val="en-US" w:eastAsia="zh-CN" w:bidi="ar-SA"/>
        </w:rPr>
        <w:t>（具体见</w:t>
      </w:r>
      <w:r>
        <w:rPr>
          <w:rFonts w:hint="eastAsia" w:ascii="仿宋" w:hAnsi="仿宋" w:eastAsia="仿宋" w:cs="仿宋"/>
          <w:bCs/>
          <w:color w:val="auto"/>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b w:val="0"/>
          <w:bCs w:val="0"/>
          <w:color w:val="auto"/>
          <w:kern w:val="2"/>
          <w:sz w:val="32"/>
          <w:szCs w:val="32"/>
          <w:lang w:val="en-US" w:eastAsia="zh-CN" w:bidi="ar-SA"/>
        </w:rPr>
        <w:t>我站重视绩效自评结果，对于评价结果优秀的项目优先争取财政资金保障，对于评价结果一般的项目进行督促和完善，不断优化财政资源配置，切实提升资金使用效率。及时公开绩效信息，接受社会监督。</w:t>
      </w: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both"/>
        <w:rPr>
          <w:rFonts w:ascii="Times New Roman" w:hAnsi="Times New Roman"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 xml:space="preserve"> </w:t>
      </w:r>
      <w:r>
        <w:rPr>
          <w:rFonts w:hint="eastAsia" w:ascii="Times New Roman" w:hAnsi="Times New Roman" w:eastAsia="方正小标宋_GBK" w:cs="Times New Roman"/>
          <w:color w:val="auto"/>
          <w:sz w:val="52"/>
          <w:szCs w:val="52"/>
          <w:lang w:eastAsia="zh-CN"/>
        </w:rPr>
        <w:t>第四部</w:t>
      </w:r>
    </w:p>
    <w:p>
      <w:pPr>
        <w:pStyle w:val="14"/>
        <w:spacing w:line="360" w:lineRule="auto"/>
        <w:jc w:val="center"/>
        <w:rPr>
          <w:rFonts w:ascii="Times New Roman" w:hAnsi="Times New Roman" w:eastAsia="方正小标宋_GBK" w:cs="Times New Roman"/>
          <w:color w:val="auto"/>
          <w:sz w:val="52"/>
          <w:szCs w:val="52"/>
        </w:rPr>
      </w:pPr>
      <w:r>
        <w:rPr>
          <w:rFonts w:hint="eastAsia" w:ascii="Times New Roman" w:hAnsi="Times New Roman" w:eastAsia="方正小标宋_GBK" w:cs="Times New Roman"/>
          <w:color w:val="auto"/>
          <w:sz w:val="52"/>
          <w:szCs w:val="52"/>
          <w:lang w:val="en-US" w:eastAsia="zh-CN"/>
        </w:rPr>
        <w:t xml:space="preserve"> </w:t>
      </w:r>
      <w:r>
        <w:rPr>
          <w:rFonts w:ascii="Times New Roman" w:hAnsi="Times New Roman" w:eastAsia="方正小标宋_GBK" w:cs="Times New Roman"/>
          <w:color w:val="auto"/>
          <w:sz w:val="52"/>
          <w:szCs w:val="52"/>
        </w:rPr>
        <w:t>名词解释</w:t>
      </w:r>
    </w:p>
    <w:p>
      <w:pPr>
        <w:pStyle w:val="14"/>
        <w:numPr>
          <w:ilvl w:val="0"/>
          <w:numId w:val="0"/>
        </w:numPr>
        <w:spacing w:line="360" w:lineRule="auto"/>
        <w:jc w:val="both"/>
        <w:rPr>
          <w:rFonts w:ascii="Times New Roman" w:hAnsi="Times New Roman" w:eastAsia="方正小标宋_GBK" w:cs="Times New Roman"/>
          <w:color w:val="auto"/>
          <w:sz w:val="52"/>
          <w:szCs w:val="52"/>
        </w:rPr>
      </w:pPr>
    </w:p>
    <w:p>
      <w:pPr>
        <w:widowControl/>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一、</w:t>
      </w:r>
      <w:r>
        <w:rPr>
          <w:rFonts w:hint="eastAsia" w:ascii="Times New Roman" w:hAnsi="Times New Roman" w:eastAsia="仿宋_GB2312" w:cs="Times New Roman"/>
          <w:color w:val="auto"/>
          <w:kern w:val="0"/>
          <w:sz w:val="32"/>
          <w:szCs w:val="32"/>
          <w:lang w:val="en-US" w:eastAsia="zh-CN"/>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ind w:firstLine="640" w:firstLineChars="200"/>
        <w:jc w:val="left"/>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pStyle w:val="14"/>
        <w:jc w:val="both"/>
        <w:rPr>
          <w:rFonts w:ascii="Times New Roman" w:hAnsi="Times New Roman" w:cs="Times New Roman"/>
          <w:color w:val="auto"/>
          <w:sz w:val="72"/>
          <w:szCs w:val="72"/>
        </w:rPr>
      </w:pPr>
    </w:p>
    <w:p>
      <w:pPr>
        <w:pStyle w:val="14"/>
        <w:spacing w:line="360" w:lineRule="auto"/>
        <w:jc w:val="center"/>
        <w:rPr>
          <w:rFonts w:ascii="Times New Roman" w:hAnsi="Times New Roman" w:eastAsia="方正小标宋_GBK" w:cs="Times New Roman"/>
          <w:color w:val="auto"/>
          <w:sz w:val="52"/>
          <w:szCs w:val="52"/>
        </w:rPr>
      </w:pP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 xml:space="preserve">第五部分   </w:t>
      </w:r>
    </w:p>
    <w:p>
      <w:pPr>
        <w:pStyle w:val="14"/>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附 件</w:t>
      </w:r>
    </w:p>
    <w:p>
      <w:pPr>
        <w:rPr>
          <w:rFonts w:ascii="Times New Roman" w:hAnsi="Times New Roman" w:cs="Times New Roman"/>
          <w:color w:val="auto"/>
          <w:sz w:val="72"/>
          <w:szCs w:val="72"/>
        </w:rPr>
      </w:pPr>
    </w:p>
    <w:p>
      <w:pPr>
        <w:ind w:firstLine="640" w:firstLineChars="200"/>
        <w:rPr>
          <w:rFonts w:hint="default" w:ascii="Times New Roman" w:hAnsi="Times New Roman" w:eastAsia="仿宋_GB2312" w:cs="黑体"/>
          <w:color w:val="auto"/>
          <w:kern w:val="0"/>
          <w:sz w:val="32"/>
          <w:szCs w:val="32"/>
          <w:lang w:val="en-US" w:eastAsia="zh-CN" w:bidi="ar-SA"/>
        </w:rPr>
      </w:pPr>
      <w:r>
        <w:rPr>
          <w:rFonts w:ascii="Times New Roman" w:hAnsi="Times New Roman" w:eastAsia="仿宋_GB2312" w:cs="Times New Roman"/>
          <w:b/>
          <w:bCs/>
          <w:color w:val="auto"/>
          <w:sz w:val="32"/>
          <w:szCs w:val="32"/>
        </w:rPr>
        <w:t>一、</w:t>
      </w:r>
      <w:r>
        <w:rPr>
          <w:rFonts w:hint="eastAsia" w:ascii="Times New Roman" w:hAnsi="Times New Roman" w:eastAsia="仿宋_GB2312" w:cs="黑体"/>
          <w:color w:val="auto"/>
          <w:kern w:val="0"/>
          <w:sz w:val="32"/>
          <w:szCs w:val="32"/>
          <w:lang w:val="en-US" w:eastAsia="zh-CN" w:bidi="ar-SA"/>
        </w:rPr>
        <w:t>202</w:t>
      </w:r>
      <w:r>
        <w:rPr>
          <w:rFonts w:hint="default" w:ascii="Times New Roman" w:hAnsi="Times New Roman" w:eastAsia="仿宋_GB2312" w:cs="黑体"/>
          <w:color w:val="auto"/>
          <w:kern w:val="0"/>
          <w:sz w:val="32"/>
          <w:szCs w:val="32"/>
          <w:lang w:val="en" w:eastAsia="zh-CN" w:bidi="ar-SA"/>
        </w:rPr>
        <w:t>4</w:t>
      </w:r>
      <w:r>
        <w:rPr>
          <w:rFonts w:hint="eastAsia" w:ascii="Times New Roman" w:hAnsi="Times New Roman" w:eastAsia="仿宋_GB2312" w:cs="黑体"/>
          <w:color w:val="auto"/>
          <w:kern w:val="0"/>
          <w:sz w:val="32"/>
          <w:szCs w:val="32"/>
          <w:lang w:val="en-US" w:eastAsia="zh-CN" w:bidi="ar-SA"/>
        </w:rPr>
        <w:t>年度怀化市交通建设质量安全监督站决算公开表</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仿宋" w:hAnsi="仿宋" w:eastAsia="仿宋" w:cs="仿宋"/>
          <w:bCs/>
          <w:color w:val="auto"/>
          <w:kern w:val="2"/>
          <w:sz w:val="32"/>
          <w:szCs w:val="32"/>
          <w:highlight w:val="none"/>
          <w:lang w:val="en-US" w:eastAsia="zh-CN" w:bidi="ar-SA"/>
        </w:rPr>
      </w:pPr>
      <w:r>
        <w:rPr>
          <w:rFonts w:hint="eastAsia" w:ascii="楷体" w:hAnsi="楷体" w:eastAsia="楷体" w:cs="楷体"/>
          <w:b/>
          <w:bCs/>
          <w:color w:val="auto"/>
          <w:sz w:val="32"/>
          <w:szCs w:val="32"/>
          <w:lang w:val="en-US" w:eastAsia="zh-CN"/>
        </w:rPr>
        <w:t>二、</w:t>
      </w: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年度怀化市</w:t>
      </w:r>
      <w:r>
        <w:rPr>
          <w:rFonts w:hint="eastAsia" w:ascii="Times New Roman" w:hAnsi="Times New Roman" w:eastAsia="仿宋_GB2312" w:cs="黑体"/>
          <w:color w:val="auto"/>
          <w:kern w:val="0"/>
          <w:sz w:val="32"/>
          <w:szCs w:val="32"/>
          <w:lang w:val="en-US" w:eastAsia="zh-CN" w:bidi="ar-SA"/>
        </w:rPr>
        <w:t>交通建设质量安全监督站</w:t>
      </w:r>
      <w:r>
        <w:rPr>
          <w:rFonts w:hint="eastAsia" w:ascii="Times New Roman" w:hAnsi="Times New Roman" w:eastAsia="仿宋_GB2312"/>
          <w:color w:val="auto"/>
          <w:sz w:val="32"/>
          <w:szCs w:val="32"/>
          <w:lang w:val="en-US" w:eastAsia="zh-CN"/>
        </w:rPr>
        <w:t>整体支出绩效自评报告</w:t>
      </w:r>
    </w:p>
    <w:p>
      <w:pPr>
        <w:pStyle w:val="14"/>
        <w:ind w:firstLine="640" w:firstLineChars="200"/>
        <w:rPr>
          <w:rFonts w:hint="default" w:ascii="Times New Roman" w:hAnsi="Times New Roman" w:eastAsia="仿宋_GB2312"/>
          <w:color w:val="auto"/>
          <w:sz w:val="32"/>
          <w:szCs w:val="32"/>
          <w:lang w:val="en-US" w:eastAsia="zh-CN"/>
        </w:rPr>
      </w:pPr>
      <w:r>
        <w:rPr>
          <w:rFonts w:hint="eastAsia" w:ascii="楷体" w:hAnsi="楷体" w:eastAsia="楷体" w:cs="楷体"/>
          <w:b/>
          <w:bCs/>
          <w:color w:val="auto"/>
          <w:sz w:val="32"/>
          <w:szCs w:val="32"/>
          <w:lang w:val="en-US" w:eastAsia="zh-CN"/>
        </w:rPr>
        <w:t>三、</w:t>
      </w:r>
      <w:r>
        <w:rPr>
          <w:rFonts w:hint="eastAsia" w:ascii="Times New Roman" w:hAnsi="Times New Roman" w:eastAsia="仿宋_GB2312"/>
          <w:color w:val="auto"/>
          <w:sz w:val="32"/>
          <w:szCs w:val="32"/>
          <w:lang w:val="en-US" w:eastAsia="zh-CN"/>
        </w:rPr>
        <w:t>2024年怀化市</w:t>
      </w:r>
      <w:r>
        <w:rPr>
          <w:rFonts w:hint="eastAsia" w:ascii="Times New Roman" w:hAnsi="Times New Roman" w:eastAsia="仿宋_GB2312" w:cs="黑体"/>
          <w:color w:val="auto"/>
          <w:kern w:val="0"/>
          <w:sz w:val="32"/>
          <w:szCs w:val="32"/>
          <w:lang w:val="en-US" w:eastAsia="zh-CN" w:bidi="ar-SA"/>
        </w:rPr>
        <w:t>交通建设质量安全监督站</w:t>
      </w:r>
      <w:r>
        <w:rPr>
          <w:rFonts w:hint="eastAsia" w:ascii="Times New Roman" w:hAnsi="Times New Roman" w:eastAsia="仿宋_GB2312"/>
          <w:color w:val="auto"/>
          <w:sz w:val="32"/>
          <w:szCs w:val="32"/>
          <w:lang w:val="en-US" w:eastAsia="zh-CN"/>
        </w:rPr>
        <w:t>项目支出绩效自评报告</w:t>
      </w:r>
    </w:p>
    <w:p>
      <w:pPr>
        <w:pStyle w:val="14"/>
        <w:spacing w:line="600" w:lineRule="exact"/>
        <w:ind w:firstLine="640" w:firstLineChars="200"/>
        <w:rPr>
          <w:rFonts w:ascii="Times New Roman" w:hAnsi="Times New Roman" w:eastAsia="仿宋_GB2312" w:cs="Times New Roman"/>
          <w:color w:val="auto"/>
          <w:sz w:val="32"/>
          <w:szCs w:val="32"/>
        </w:rPr>
      </w:pPr>
    </w:p>
    <w:p>
      <w:pPr>
        <w:pStyle w:val="14"/>
        <w:spacing w:line="600" w:lineRule="exact"/>
        <w:ind w:firstLine="640" w:firstLineChars="200"/>
        <w:rPr>
          <w:rFonts w:ascii="Times New Roman" w:hAnsi="Times New Roman" w:eastAsia="仿宋_GB2312" w:cs="Times New Roman"/>
          <w:color w:val="auto"/>
          <w:sz w:val="32"/>
          <w:szCs w:val="32"/>
        </w:rPr>
      </w:pPr>
    </w:p>
    <w:p>
      <w:pPr>
        <w:pStyle w:val="14"/>
        <w:jc w:val="center"/>
        <w:rPr>
          <w:rFonts w:ascii="Times New Roman" w:hAnsi="Times New Roman" w:cs="Times New Roman"/>
          <w:color w:val="auto"/>
          <w:sz w:val="72"/>
          <w:szCs w:val="72"/>
        </w:rPr>
      </w:pPr>
    </w:p>
    <w:p>
      <w:pPr>
        <w:pStyle w:val="14"/>
        <w:jc w:val="center"/>
        <w:rPr>
          <w:rFonts w:ascii="Times New Roman" w:hAnsi="Times New Roman" w:cs="Times New Roman"/>
          <w:color w:val="auto"/>
          <w:sz w:val="72"/>
          <w:szCs w:val="72"/>
        </w:rPr>
      </w:pPr>
    </w:p>
    <w:p>
      <w:pPr>
        <w:jc w:val="left"/>
        <w:rPr>
          <w:rFonts w:ascii="Times New Roman" w:hAnsi="Times New Roman" w:cs="Times New Roman"/>
          <w:color w:val="auto"/>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66ADB"/>
    <w:multiLevelType w:val="singleLevel"/>
    <w:tmpl w:val="7BE66ADB"/>
    <w:lvl w:ilvl="0" w:tentative="0">
      <w:start w:val="7"/>
      <w:numFmt w:val="chineseCounting"/>
      <w:suff w:val="nothing"/>
      <w:lvlText w:val="%1、"/>
      <w:lvlJc w:val="left"/>
      <w:rPr>
        <w:rFonts w:hint="eastAsia"/>
      </w:rPr>
    </w:lvl>
  </w:abstractNum>
  <w:abstractNum w:abstractNumId="1">
    <w:nsid w:val="7C613950"/>
    <w:multiLevelType w:val="singleLevel"/>
    <w:tmpl w:val="7C61395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3463B"/>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7671D"/>
    <w:rsid w:val="02423BE4"/>
    <w:rsid w:val="03CF028A"/>
    <w:rsid w:val="04233EB8"/>
    <w:rsid w:val="0494393A"/>
    <w:rsid w:val="04FE18BE"/>
    <w:rsid w:val="09AA235B"/>
    <w:rsid w:val="0B0738C9"/>
    <w:rsid w:val="0E0E2FD5"/>
    <w:rsid w:val="0EEE3A57"/>
    <w:rsid w:val="0EFE2D09"/>
    <w:rsid w:val="0F4A297D"/>
    <w:rsid w:val="0F982260"/>
    <w:rsid w:val="0FDDB456"/>
    <w:rsid w:val="0FDF37B2"/>
    <w:rsid w:val="10BC70B7"/>
    <w:rsid w:val="12E204BF"/>
    <w:rsid w:val="16312EF1"/>
    <w:rsid w:val="179907AA"/>
    <w:rsid w:val="180262EE"/>
    <w:rsid w:val="18F75B10"/>
    <w:rsid w:val="1BAB56E1"/>
    <w:rsid w:val="1D97DEFF"/>
    <w:rsid w:val="1DFF72E5"/>
    <w:rsid w:val="1EF66C6A"/>
    <w:rsid w:val="1EFC6F07"/>
    <w:rsid w:val="201D6F20"/>
    <w:rsid w:val="21FD762F"/>
    <w:rsid w:val="22FC3DD9"/>
    <w:rsid w:val="27DA5702"/>
    <w:rsid w:val="27E70274"/>
    <w:rsid w:val="27FEE6EE"/>
    <w:rsid w:val="27FFBA9E"/>
    <w:rsid w:val="2B947364"/>
    <w:rsid w:val="2BA00A87"/>
    <w:rsid w:val="2EBE4696"/>
    <w:rsid w:val="2F955725"/>
    <w:rsid w:val="2FDF85B8"/>
    <w:rsid w:val="2FE7C4C9"/>
    <w:rsid w:val="2FFFEE04"/>
    <w:rsid w:val="3075207D"/>
    <w:rsid w:val="30F8052E"/>
    <w:rsid w:val="33CF0BF1"/>
    <w:rsid w:val="33FBB88A"/>
    <w:rsid w:val="34DF85B0"/>
    <w:rsid w:val="36B7389B"/>
    <w:rsid w:val="39E15B35"/>
    <w:rsid w:val="3AFB1518"/>
    <w:rsid w:val="3B8F36BC"/>
    <w:rsid w:val="3BDEF804"/>
    <w:rsid w:val="3C270622"/>
    <w:rsid w:val="3CFBFED5"/>
    <w:rsid w:val="3D79B45E"/>
    <w:rsid w:val="3DEF5E2C"/>
    <w:rsid w:val="3DFF9B68"/>
    <w:rsid w:val="3E37C7BC"/>
    <w:rsid w:val="3FBE8034"/>
    <w:rsid w:val="3FF5DEC6"/>
    <w:rsid w:val="3FFAF9F4"/>
    <w:rsid w:val="41FD7738"/>
    <w:rsid w:val="42B90F7D"/>
    <w:rsid w:val="44A84AD0"/>
    <w:rsid w:val="477F1EA7"/>
    <w:rsid w:val="491FF225"/>
    <w:rsid w:val="49BF192D"/>
    <w:rsid w:val="4DD31434"/>
    <w:rsid w:val="4DD36B93"/>
    <w:rsid w:val="4DD7CB33"/>
    <w:rsid w:val="4FFD214C"/>
    <w:rsid w:val="50255B70"/>
    <w:rsid w:val="503E7098"/>
    <w:rsid w:val="508D2CDD"/>
    <w:rsid w:val="517F8FB5"/>
    <w:rsid w:val="5260667C"/>
    <w:rsid w:val="5577F114"/>
    <w:rsid w:val="55AF20EB"/>
    <w:rsid w:val="5777D4F5"/>
    <w:rsid w:val="582227FB"/>
    <w:rsid w:val="58457EF8"/>
    <w:rsid w:val="59DD8326"/>
    <w:rsid w:val="5AA94592"/>
    <w:rsid w:val="5DEF592A"/>
    <w:rsid w:val="5EDC3B45"/>
    <w:rsid w:val="5F7936A0"/>
    <w:rsid w:val="5FC6BB1E"/>
    <w:rsid w:val="5FF720F1"/>
    <w:rsid w:val="629C4D29"/>
    <w:rsid w:val="630562B2"/>
    <w:rsid w:val="64CF9017"/>
    <w:rsid w:val="659F6D2F"/>
    <w:rsid w:val="65AC40EA"/>
    <w:rsid w:val="66172E45"/>
    <w:rsid w:val="67FF5C0B"/>
    <w:rsid w:val="6CDF25A4"/>
    <w:rsid w:val="6E6F203C"/>
    <w:rsid w:val="6E7E9201"/>
    <w:rsid w:val="6EFC0924"/>
    <w:rsid w:val="6EFD5438"/>
    <w:rsid w:val="6FB74722"/>
    <w:rsid w:val="6FEF8B7E"/>
    <w:rsid w:val="6FFD43D4"/>
    <w:rsid w:val="71A6591B"/>
    <w:rsid w:val="737D59BA"/>
    <w:rsid w:val="73BB5331"/>
    <w:rsid w:val="74951586"/>
    <w:rsid w:val="77644C6C"/>
    <w:rsid w:val="77723B2D"/>
    <w:rsid w:val="77C37683"/>
    <w:rsid w:val="77FF1647"/>
    <w:rsid w:val="793A4ABB"/>
    <w:rsid w:val="79D19834"/>
    <w:rsid w:val="79FF515B"/>
    <w:rsid w:val="7A4649A0"/>
    <w:rsid w:val="7A794E95"/>
    <w:rsid w:val="7B051596"/>
    <w:rsid w:val="7BBF191F"/>
    <w:rsid w:val="7BBF429F"/>
    <w:rsid w:val="7BEB3EDB"/>
    <w:rsid w:val="7BFAA011"/>
    <w:rsid w:val="7BFBF3DB"/>
    <w:rsid w:val="7CFA9FB8"/>
    <w:rsid w:val="7D392FA2"/>
    <w:rsid w:val="7DEDAA94"/>
    <w:rsid w:val="7DFF0334"/>
    <w:rsid w:val="7E17E764"/>
    <w:rsid w:val="7E3F95C4"/>
    <w:rsid w:val="7E9E1962"/>
    <w:rsid w:val="7E9F11B4"/>
    <w:rsid w:val="7EE9EE2C"/>
    <w:rsid w:val="7F37EC1E"/>
    <w:rsid w:val="7F6EBA65"/>
    <w:rsid w:val="7F7DCD9D"/>
    <w:rsid w:val="7F7ECAEC"/>
    <w:rsid w:val="7F970A6F"/>
    <w:rsid w:val="7FAEE356"/>
    <w:rsid w:val="7FBD3270"/>
    <w:rsid w:val="7FC1FFF3"/>
    <w:rsid w:val="7FC69637"/>
    <w:rsid w:val="7FDBCB8B"/>
    <w:rsid w:val="7FDF8620"/>
    <w:rsid w:val="7FE8C8F7"/>
    <w:rsid w:val="7FF7A696"/>
    <w:rsid w:val="7FFA10F4"/>
    <w:rsid w:val="7FFB242F"/>
    <w:rsid w:val="7FFDB408"/>
    <w:rsid w:val="7FFE4EEB"/>
    <w:rsid w:val="93DD3F9D"/>
    <w:rsid w:val="95FB2B98"/>
    <w:rsid w:val="9A639BC2"/>
    <w:rsid w:val="9FDF3F66"/>
    <w:rsid w:val="9FF7D786"/>
    <w:rsid w:val="ABBFB23D"/>
    <w:rsid w:val="ABEF78CF"/>
    <w:rsid w:val="ADD66990"/>
    <w:rsid w:val="B0EF89E3"/>
    <w:rsid w:val="B3EDF710"/>
    <w:rsid w:val="BAD754E0"/>
    <w:rsid w:val="BCFDCE79"/>
    <w:rsid w:val="BEFB5156"/>
    <w:rsid w:val="BF7312FB"/>
    <w:rsid w:val="BF987E9E"/>
    <w:rsid w:val="BFEF59CB"/>
    <w:rsid w:val="C3B4DA5A"/>
    <w:rsid w:val="C7FE9EB4"/>
    <w:rsid w:val="CBFF70E0"/>
    <w:rsid w:val="CFF50B82"/>
    <w:rsid w:val="CFFFAD89"/>
    <w:rsid w:val="DDC15178"/>
    <w:rsid w:val="DDFFAC76"/>
    <w:rsid w:val="DFCF7D18"/>
    <w:rsid w:val="DFFC5868"/>
    <w:rsid w:val="DFFE359E"/>
    <w:rsid w:val="DFFE4FFD"/>
    <w:rsid w:val="EADDA7F8"/>
    <w:rsid w:val="EBDED6F2"/>
    <w:rsid w:val="ECCBE614"/>
    <w:rsid w:val="EEABED75"/>
    <w:rsid w:val="EFA7AD2B"/>
    <w:rsid w:val="EFF194AB"/>
    <w:rsid w:val="EFF3A340"/>
    <w:rsid w:val="F0FB3A0D"/>
    <w:rsid w:val="F4FDC2ED"/>
    <w:rsid w:val="F56FDF51"/>
    <w:rsid w:val="F5CF2A5C"/>
    <w:rsid w:val="F6B69F17"/>
    <w:rsid w:val="F77F1D61"/>
    <w:rsid w:val="F7F148FB"/>
    <w:rsid w:val="F7FED3A9"/>
    <w:rsid w:val="F7FF8FBD"/>
    <w:rsid w:val="F8C9DB26"/>
    <w:rsid w:val="F97E8EAE"/>
    <w:rsid w:val="FAFF4901"/>
    <w:rsid w:val="FB36E1A6"/>
    <w:rsid w:val="FB3BE134"/>
    <w:rsid w:val="FB3E29DE"/>
    <w:rsid w:val="FB7EE77E"/>
    <w:rsid w:val="FBBA886A"/>
    <w:rsid w:val="FCFF4275"/>
    <w:rsid w:val="FD7FEEEA"/>
    <w:rsid w:val="FDE588C4"/>
    <w:rsid w:val="FDED03E0"/>
    <w:rsid w:val="FDEF567A"/>
    <w:rsid w:val="FDFFB577"/>
    <w:rsid w:val="FE7F1821"/>
    <w:rsid w:val="FEEA50FE"/>
    <w:rsid w:val="FEF5012F"/>
    <w:rsid w:val="FF1F2849"/>
    <w:rsid w:val="FF6E6CC6"/>
    <w:rsid w:val="FF7D47A9"/>
    <w:rsid w:val="FFCF21CB"/>
    <w:rsid w:val="FFFBD17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Normal Indent"/>
    <w:basedOn w:val="1"/>
    <w:qFormat/>
    <w:uiPriority w:val="0"/>
    <w:pPr>
      <w:ind w:firstLine="20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5083</Words>
  <Characters>5546</Characters>
  <Lines>69</Lines>
  <Paragraphs>19</Paragraphs>
  <TotalTime>24</TotalTime>
  <ScaleCrop>false</ScaleCrop>
  <LinksUpToDate>false</LinksUpToDate>
  <CharactersWithSpaces>5676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yq</cp:lastModifiedBy>
  <cp:lastPrinted>2025-09-24T16:24:00Z</cp:lastPrinted>
  <dcterms:modified xsi:type="dcterms:W3CDTF">2025-09-25T15:52:01Z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BB7B6AA21D207914D6FDA268992A22D6</vt:lpwstr>
  </property>
  <property fmtid="{D5CDD505-2E9C-101B-9397-08002B2CF9AE}" pid="4" name="KSOTemplateDocerSaveRecord">
    <vt:lpwstr>eyJoZGlkIjoiMmZjYjQwYmM1YmU1OGUzZDhlNzBiOTg2OTQ1MDg2NjIiLCJ1c2VySWQiOiIzNTM0MTAxODAifQ==</vt:lpwstr>
  </property>
</Properties>
</file>