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Ansi="黑体"/>
          <w:sz w:val="36"/>
          <w:szCs w:val="36"/>
        </w:rPr>
      </w:pPr>
      <w:r>
        <w:rPr>
          <w:rFonts w:hint="eastAsia" w:hAnsi="黑体"/>
          <w:sz w:val="36"/>
          <w:szCs w:val="36"/>
        </w:rPr>
        <w:t>附件1</w:t>
      </w:r>
    </w:p>
    <w:p>
      <w:pPr>
        <w:pStyle w:val="13"/>
        <w:jc w:val="center"/>
        <w:rPr>
          <w:rFonts w:ascii="Times New Roman" w:hAnsi="Times New Roman" w:cs="Times New Roman"/>
          <w:sz w:val="56"/>
          <w:szCs w:val="56"/>
        </w:rPr>
      </w:pPr>
    </w:p>
    <w:p>
      <w:pPr>
        <w:pStyle w:val="13"/>
        <w:jc w:val="center"/>
        <w:rPr>
          <w:rFonts w:ascii="Times New Roman" w:hAnsi="Times New Roman" w:cs="Times New Roman"/>
          <w:sz w:val="84"/>
          <w:szCs w:val="84"/>
        </w:rPr>
      </w:pPr>
    </w:p>
    <w:p>
      <w:pPr>
        <w:pStyle w:val="13"/>
        <w:jc w:val="center"/>
        <w:rPr>
          <w:rFonts w:ascii="Times New Roman" w:hAnsi="Times New Roman" w:cs="Times New Roman"/>
          <w:sz w:val="84"/>
          <w:szCs w:val="84"/>
        </w:rPr>
      </w:pP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怀化市交通运输指挥中心</w:t>
      </w:r>
    </w:p>
    <w:p>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3"/>
        <w:jc w:val="center"/>
        <w:rPr>
          <w:rFonts w:ascii="Times New Roman" w:hAnsi="Times New Roman" w:eastAsia="方正小标宋_GBK" w:cs="Times New Roman"/>
          <w:sz w:val="56"/>
          <w:szCs w:val="56"/>
        </w:rPr>
      </w:pPr>
    </w:p>
    <w:p>
      <w:pPr>
        <w:pStyle w:val="13"/>
        <w:jc w:val="center"/>
        <w:rPr>
          <w:rFonts w:ascii="Times New Roman" w:hAnsi="Times New Roman" w:cs="Times New Roman"/>
          <w:sz w:val="56"/>
          <w:szCs w:val="56"/>
        </w:rPr>
      </w:pPr>
    </w:p>
    <w:p>
      <w:pPr>
        <w:pStyle w:val="13"/>
        <w:rPr>
          <w:rFonts w:ascii="Times New Roman" w:hAnsi="Times New Roman" w:cs="Times New Roman"/>
          <w:sz w:val="56"/>
          <w:szCs w:val="56"/>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jc w:val="center"/>
        <w:rPr>
          <w:rFonts w:ascii="Times New Roman" w:hAnsi="Times New Roman" w:cs="Times New Roman"/>
          <w:sz w:val="32"/>
          <w:szCs w:val="32"/>
        </w:rPr>
      </w:pPr>
    </w:p>
    <w:p>
      <w:pPr>
        <w:pStyle w:val="13"/>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3"/>
        <w:spacing w:line="600" w:lineRule="exact"/>
        <w:jc w:val="both"/>
        <w:rPr>
          <w:rFonts w:ascii="Times New Roman" w:hAnsi="Times New Roman" w:cs="Times New Roman"/>
          <w:b/>
          <w:sz w:val="36"/>
          <w:szCs w:val="28"/>
        </w:rPr>
      </w:pPr>
    </w:p>
    <w:p>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3"/>
        <w:spacing w:line="600" w:lineRule="exact"/>
        <w:jc w:val="center"/>
        <w:rPr>
          <w:rFonts w:ascii="Times New Roman" w:hAnsi="Times New Roman" w:cs="Times New Roman"/>
          <w:b/>
          <w:sz w:val="36"/>
          <w:szCs w:val="28"/>
        </w:rPr>
      </w:pPr>
    </w:p>
    <w:p>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怀化市交通运输指挥中心</w:t>
      </w:r>
      <w:r>
        <w:rPr>
          <w:rFonts w:ascii="Times New Roman" w:hAnsi="Times New Roman" w:cs="Times New Roman"/>
          <w:bCs/>
          <w:sz w:val="32"/>
          <w:szCs w:val="32"/>
        </w:rPr>
        <w:t>概况</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FF"/>
          <w:kern w:val="0"/>
          <w:sz w:val="32"/>
          <w:szCs w:val="32"/>
        </w:rPr>
      </w:pPr>
      <w:r>
        <w:rPr>
          <w:rFonts w:hint="eastAsia" w:ascii="Times New Roman" w:hAnsi="Times New Roman" w:eastAsia="仿宋_GB2312" w:cs="Times New Roman"/>
          <w:kern w:val="0"/>
          <w:sz w:val="32"/>
          <w:szCs w:val="32"/>
        </w:rPr>
        <w:t>九、</w:t>
      </w:r>
      <w:r>
        <w:rPr>
          <w:rFonts w:hint="eastAsia" w:ascii="仿宋_GB2312" w:hAnsi="仿宋_GB2312" w:eastAsia="仿宋_GB2312" w:cs="仿宋_GB2312"/>
          <w:kern w:val="0"/>
          <w:sz w:val="30"/>
          <w:szCs w:val="30"/>
        </w:rPr>
        <w:t>国有资本经营预算收入支出决算情况</w:t>
      </w:r>
      <w:r>
        <w:rPr>
          <w:rFonts w:ascii="仿宋_GB2312" w:hAnsi="仿宋_GB2312" w:eastAsia="仿宋_GB2312" w:cs="仿宋_GB2312"/>
          <w:color w:val="FF0000"/>
          <w:kern w:val="0"/>
          <w:sz w:val="30"/>
          <w:szCs w:val="30"/>
        </w:rPr>
        <w:t xml:space="preserve"> </w:t>
      </w:r>
    </w:p>
    <w:p>
      <w:pPr>
        <w:autoSpaceDE w:val="0"/>
        <w:autoSpaceDN w:val="0"/>
        <w:adjustRightInd w:val="0"/>
        <w:spacing w:line="600" w:lineRule="exact"/>
        <w:jc w:val="left"/>
      </w:pPr>
      <w:r>
        <w:rPr>
          <w:rFonts w:hint="eastAsia" w:ascii="Times New Roman" w:hAnsi="Times New Roman" w:eastAsia="仿宋_GB2312" w:cs="Times New Roman"/>
          <w:color w:val="000000"/>
          <w:kern w:val="0"/>
          <w:sz w:val="32"/>
          <w:szCs w:val="32"/>
        </w:rPr>
        <w:t>十</w:t>
      </w:r>
      <w:r>
        <w:rPr>
          <w:rFonts w:ascii="Times New Roman" w:hAnsi="Times New Roman" w:eastAsia="仿宋_GB2312" w:cs="Times New Roman"/>
          <w:color w:val="000000"/>
          <w:kern w:val="0"/>
          <w:sz w:val="32"/>
          <w:szCs w:val="32"/>
        </w:rPr>
        <w:t>、关于机关运行经费支出说明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一</w:t>
      </w:r>
      <w:r>
        <w:rPr>
          <w:rFonts w:ascii="Times New Roman" w:hAnsi="Times New Roman" w:eastAsia="仿宋_GB2312" w:cs="Times New Roman"/>
          <w:color w:val="000000"/>
          <w:kern w:val="0"/>
          <w:sz w:val="32"/>
          <w:szCs w:val="32"/>
        </w:rPr>
        <w:t>、一般性支出情况说明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rPr>
        <w:t>二</w:t>
      </w:r>
      <w:r>
        <w:rPr>
          <w:rFonts w:ascii="Times New Roman" w:hAnsi="Times New Roman" w:eastAsia="仿宋_GB2312" w:cs="Times New Roman"/>
          <w:color w:val="000000"/>
          <w:kern w:val="0"/>
          <w:sz w:val="32"/>
          <w:szCs w:val="32"/>
        </w:rPr>
        <w:t>、关于政府采购支出说明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、关于国有资产占用情况说明</w:t>
      </w:r>
    </w:p>
    <w:p>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、关于2024年度预算绩效管理情况的说明</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3"/>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怀化市交通运输指挥中心</w:t>
      </w:r>
      <w:r>
        <w:rPr>
          <w:rFonts w:ascii="Times New Roman" w:hAnsi="Times New Roman" w:eastAsia="方正小标宋_GBK" w:cs="Times New Roman"/>
          <w:sz w:val="52"/>
          <w:szCs w:val="52"/>
        </w:rPr>
        <w:t>概况</w:t>
      </w:r>
    </w:p>
    <w:p>
      <w:pPr>
        <w:pStyle w:val="3"/>
        <w:ind w:left="0" w:leftChars="0" w:firstLine="0" w:firstLineChars="0"/>
        <w:rPr>
          <w:rFonts w:ascii="Times New Roman" w:hAnsi="Times New Roman" w:cs="Times New Roman"/>
        </w:rPr>
      </w:pPr>
    </w:p>
    <w:p>
      <w:pPr>
        <w:pStyle w:val="14"/>
        <w:widowControl/>
        <w:numPr>
          <w:ilvl w:val="0"/>
          <w:numId w:val="1"/>
        </w:numPr>
        <w:spacing w:line="600"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t>部门职责</w:t>
      </w:r>
    </w:p>
    <w:p>
      <w:pPr>
        <w:widowControl/>
        <w:spacing w:line="600" w:lineRule="exact"/>
        <w:ind w:firstLine="790" w:firstLineChars="250"/>
        <w:rPr>
          <w:rStyle w:val="19"/>
          <w:rFonts w:hint="default" w:ascii="仿宋" w:hAnsi="仿宋" w:eastAsia="仿宋" w:cs="仿宋_GB2312"/>
          <w:sz w:val="32"/>
          <w:szCs w:val="32"/>
        </w:rPr>
      </w:pPr>
      <w:r>
        <w:rPr>
          <w:rFonts w:hint="eastAsia" w:ascii="仿宋" w:hAnsi="仿宋" w:eastAsia="仿宋"/>
          <w:spacing w:val="-2"/>
          <w:sz w:val="32"/>
          <w:szCs w:val="32"/>
        </w:rPr>
        <w:t>本单位</w:t>
      </w:r>
      <w:r>
        <w:rPr>
          <w:rStyle w:val="19"/>
          <w:rFonts w:hint="default" w:ascii="仿宋" w:hAnsi="仿宋" w:eastAsia="仿宋" w:cs="仿宋_GB2312"/>
          <w:sz w:val="32"/>
          <w:szCs w:val="32"/>
        </w:rPr>
        <w:t>主要承担市交通运输信息化发展、政务服务、交通信息科技推广等事务性工作。目前年度重点工作是完成交通政务窗口道路运输服务类政务服务事务性工作，协助推进智慧交通项目建设等前期工作，安全管理等日常工作。</w:t>
      </w:r>
    </w:p>
    <w:p>
      <w:pPr>
        <w:pStyle w:val="14"/>
        <w:spacing w:line="600" w:lineRule="exact"/>
        <w:ind w:firstLine="0" w:firstLineChars="0"/>
        <w:jc w:val="left"/>
        <w:rPr>
          <w:rFonts w:ascii="Times New Roman" w:hAnsi="Times New Roman" w:eastAsia="黑体" w:cs="Times New Roman"/>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（一）怀化市交通运输指挥中心属怀化市交通运输局下的二级全额拨款的部门预算单位。</w:t>
      </w:r>
    </w:p>
    <w:p>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（二）决算单位构成。怀化市交通运输指挥中心单位2024年部门决算汇总公开单位构成包括：怀化市交通运输指挥中心单位本级。</w:t>
      </w:r>
    </w:p>
    <w:p>
      <w:pP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w:t>
      </w:r>
      <w:r>
        <w:rPr>
          <w:rFonts w:hint="eastAsia" w:ascii="Times New Roman" w:hAnsi="Times New Roman" w:eastAsia="方正小标宋_GBK" w:cs="Times New Roman"/>
          <w:sz w:val="52"/>
          <w:szCs w:val="52"/>
        </w:rPr>
        <w:t>怀化市交通运输指挥中心</w:t>
      </w:r>
      <w:r>
        <w:rPr>
          <w:rFonts w:ascii="Times New Roman" w:hAnsi="Times New Roman" w:eastAsia="方正小标宋_GBK" w:cs="Times New Roman"/>
          <w:sz w:val="52"/>
          <w:szCs w:val="52"/>
        </w:rPr>
        <w:t>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怀化市交通运输指挥中心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fixed"/>
        <w:tblCellMar>
          <w:top w:w="0" w:type="dxa"/>
          <w:left w:w="108" w:type="dxa"/>
          <w:bottom w:w="0" w:type="dxa"/>
          <w:right w:w="108" w:type="dxa"/>
        </w:tblCellMar>
      </w:tblPr>
      <w:tblGrid>
        <w:gridCol w:w="5763"/>
        <w:gridCol w:w="850"/>
        <w:gridCol w:w="1291"/>
        <w:gridCol w:w="4851"/>
        <w:gridCol w:w="850"/>
        <w:gridCol w:w="1291"/>
      </w:tblGrid>
      <w:tr>
        <w:tblPrEx>
          <w:tblCellMar>
            <w:top w:w="0" w:type="dxa"/>
            <w:left w:w="108" w:type="dxa"/>
            <w:bottom w:w="0" w:type="dxa"/>
            <w:right w:w="108" w:type="dxa"/>
          </w:tblCellMar>
        </w:tblPrEx>
        <w:trPr>
          <w:trHeight w:val="589"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CellMar>
            <w:top w:w="0" w:type="dxa"/>
            <w:left w:w="108" w:type="dxa"/>
            <w:bottom w:w="0" w:type="dxa"/>
            <w:right w:w="108" w:type="dxa"/>
          </w:tblCellMar>
        </w:tblPrEx>
        <w:trPr>
          <w:trHeight w:val="711"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CellMar>
            <w:top w:w="0" w:type="dxa"/>
            <w:left w:w="108" w:type="dxa"/>
            <w:bottom w:w="0" w:type="dxa"/>
            <w:right w:w="108" w:type="dxa"/>
          </w:tblCellMar>
        </w:tblPrEx>
        <w:trPr>
          <w:trHeight w:val="655"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kern w:val="0"/>
                <w:sz w:val="24"/>
                <w:szCs w:val="24"/>
              </w:rPr>
              <w:t>七、交通运输支出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368.43</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368.43</w:t>
            </w: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rPr>
        <w:t>怀化市交通运输指挥中心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214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交通运输支出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368.43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368.43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怀化市交通运输指挥中心</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14" w:type="dxa"/>
        <w:jc w:val="center"/>
        <w:tblLayout w:type="fixed"/>
        <w:tblCellMar>
          <w:top w:w="0" w:type="dxa"/>
          <w:left w:w="108" w:type="dxa"/>
          <w:bottom w:w="0" w:type="dxa"/>
          <w:right w:w="108" w:type="dxa"/>
        </w:tblCellMar>
      </w:tblPr>
      <w:tblGrid>
        <w:gridCol w:w="2426"/>
        <w:gridCol w:w="1337"/>
        <w:gridCol w:w="1877"/>
        <w:gridCol w:w="1334"/>
        <w:gridCol w:w="1333"/>
        <w:gridCol w:w="1876"/>
        <w:gridCol w:w="1333"/>
        <w:gridCol w:w="2698"/>
      </w:tblGrid>
      <w:tr>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337"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595" w:hRule="atLeast"/>
          <w:jc w:val="center"/>
        </w:trPr>
        <w:tc>
          <w:tcPr>
            <w:tcW w:w="3763"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214</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交通运输支出</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368.43</w:t>
            </w: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368.43</w:t>
            </w: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7" w:type="dxa"/>
            <w:tcBorders>
              <w:top w:val="nil"/>
              <w:left w:val="nil"/>
              <w:bottom w:val="single" w:color="auto" w:sz="4" w:space="0"/>
              <w:right w:val="single" w:color="auto" w:sz="4" w:space="0"/>
            </w:tcBorders>
            <w:shd w:val="clear" w:color="000000" w:fill="FFFFFF"/>
            <w:noWrap/>
            <w:vAlign w:val="center"/>
          </w:tcPr>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3"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8"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怀化市交通运输指挥中心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Layout w:type="fixed"/>
        <w:tblCellMar>
          <w:top w:w="0" w:type="dxa"/>
          <w:left w:w="108" w:type="dxa"/>
          <w:bottom w:w="0" w:type="dxa"/>
          <w:right w:w="108" w:type="dxa"/>
        </w:tblCellMar>
      </w:tblPr>
      <w:tblGrid>
        <w:gridCol w:w="3516"/>
        <w:gridCol w:w="616"/>
        <w:gridCol w:w="696"/>
        <w:gridCol w:w="2636"/>
        <w:gridCol w:w="616"/>
        <w:gridCol w:w="696"/>
        <w:gridCol w:w="1678"/>
        <w:gridCol w:w="1815"/>
        <w:gridCol w:w="1951"/>
      </w:tblGrid>
      <w:tr>
        <w:tblPrEx>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81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七、交通运输支出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69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69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78"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1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69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69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p>
        </w:tc>
        <w:tc>
          <w:tcPr>
            <w:tcW w:w="1678"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368.43</w:t>
            </w:r>
          </w:p>
        </w:tc>
        <w:tc>
          <w:tcPr>
            <w:tcW w:w="181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951"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ind w:left="11760" w:hanging="11760" w:hangingChars="56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w:t>
      </w:r>
      <w:r>
        <w:rPr>
          <w:rFonts w:hint="eastAsia" w:ascii="Times New Roman" w:hAnsi="Times New Roman" w:eastAsia="仿宋_GB2312" w:cs="Times New Roman"/>
          <w:color w:val="000000"/>
          <w:kern w:val="0"/>
          <w:sz w:val="20"/>
          <w:szCs w:val="20"/>
          <w:lang w:eastAsia="zh-CN"/>
        </w:rPr>
        <w:t>运输指挥中心</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fixed"/>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214</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交通运输支出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368.43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368.43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pPr>
        <w:widowControl/>
        <w:tabs>
          <w:tab w:val="left" w:pos="1315"/>
          <w:tab w:val="right" w:pos="14124"/>
        </w:tabs>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怀化市交通运输指挥中心</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329.92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333333333333332329329.92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28.28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122.62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111111111111112122122.62</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7.03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20.27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29.67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67.09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34.36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26.83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0.68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26.33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0.44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10.22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0.46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9.56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15.39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3.21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340.15</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28.28</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怀化市交通运输指挥中心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2429"/>
        <w:gridCol w:w="709"/>
        <w:gridCol w:w="1554"/>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6"/>
                <w:rFonts w:hint="default" w:ascii="Times New Roman" w:hAnsi="Times New Roman" w:eastAsia="仿宋_GB2312" w:cs="Times New Roman"/>
                <w:b/>
                <w:bCs/>
              </w:rPr>
              <w:t xml:space="preserve">   </w:t>
            </w:r>
            <w:r>
              <w:rPr>
                <w:rStyle w:val="17"/>
                <w:rFonts w:hint="default" w:ascii="Times New Roman" w:hAnsi="Times New Roman" w:eastAsia="仿宋_GB2312" w:cs="Times New Roman"/>
                <w:b/>
                <w:bCs/>
              </w:rPr>
              <w:t>目</w:t>
            </w: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CellMar>
            <w:top w:w="0" w:type="dxa"/>
            <w:left w:w="108" w:type="dxa"/>
            <w:bottom w:w="0" w:type="dxa"/>
            <w:right w:w="108" w:type="dxa"/>
          </w:tblCellMar>
        </w:tblPrEx>
        <w:trPr>
          <w:trHeight w:val="312" w:hRule="exact"/>
          <w:jc w:val="center"/>
        </w:trPr>
        <w:tc>
          <w:tcPr>
            <w:tcW w:w="2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2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CellMar>
            <w:top w:w="0" w:type="dxa"/>
            <w:left w:w="108" w:type="dxa"/>
            <w:bottom w:w="0" w:type="dxa"/>
            <w:right w:w="108" w:type="dxa"/>
          </w:tblCellMar>
        </w:tblPrEx>
        <w:trPr>
          <w:trHeight w:val="509" w:hRule="atLeast"/>
          <w:jc w:val="center"/>
        </w:trPr>
        <w:tc>
          <w:tcPr>
            <w:tcW w:w="31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18" w:hRule="atLeast"/>
          <w:jc w:val="center"/>
        </w:trPr>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4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rPr>
      </w:pPr>
    </w:p>
    <w:p>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rPr>
        <w:t>怀化市交通运输指挥中心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bookmarkStart w:id="8" w:name="_GoBack"/>
      <w:bookmarkEnd w:id="8"/>
      <w:r>
        <w:rPr>
          <w:rFonts w:ascii="Times New Roman" w:hAnsi="Times New Roman" w:eastAsia="仿宋_GB2312" w:cs="Times New Roman"/>
          <w:color w:val="000000"/>
          <w:kern w:val="0"/>
          <w:sz w:val="20"/>
          <w:szCs w:val="20"/>
        </w:rPr>
        <w:t>单位：万元</w:t>
      </w:r>
    </w:p>
    <w:tbl>
      <w:tblPr>
        <w:tblStyle w:val="9"/>
        <w:tblW w:w="14217" w:type="dxa"/>
        <w:tblInd w:w="0" w:type="dxa"/>
        <w:tblLayout w:type="fixed"/>
        <w:tblCellMar>
          <w:top w:w="0" w:type="dxa"/>
          <w:left w:w="108" w:type="dxa"/>
          <w:bottom w:w="0" w:type="dxa"/>
          <w:right w:w="108" w:type="dxa"/>
        </w:tblCellMar>
      </w:tblPr>
      <w:tblGrid>
        <w:gridCol w:w="3369"/>
        <w:gridCol w:w="2823"/>
        <w:gridCol w:w="1832"/>
        <w:gridCol w:w="3097"/>
        <w:gridCol w:w="3096"/>
      </w:tblGrid>
      <w:tr>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8"/>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CellMar>
            <w:top w:w="0" w:type="dxa"/>
            <w:left w:w="108" w:type="dxa"/>
            <w:bottom w:w="0" w:type="dxa"/>
            <w:right w:w="108" w:type="dxa"/>
          </w:tblCellMar>
        </w:tblPrEx>
        <w:trPr>
          <w:trHeight w:val="312" w:hRule="exact"/>
        </w:trPr>
        <w:tc>
          <w:tcPr>
            <w:tcW w:w="3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2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CellMar>
            <w:top w:w="0" w:type="dxa"/>
            <w:left w:w="108" w:type="dxa"/>
            <w:bottom w:w="0" w:type="dxa"/>
            <w:right w:w="108" w:type="dxa"/>
          </w:tblCellMar>
        </w:tblPrEx>
        <w:trPr>
          <w:trHeight w:val="312" w:hRule="exact"/>
        </w:trPr>
        <w:tc>
          <w:tcPr>
            <w:tcW w:w="3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3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r>
              <w:rPr>
                <w:rFonts w:hint="eastAsia" w:ascii="楷体" w:hAnsi="楷体" w:eastAsia="楷体" w:cs="楷体"/>
                <w:b/>
                <w:bCs/>
                <w:kern w:val="0"/>
                <w:sz w:val="24"/>
                <w:szCs w:val="24"/>
              </w:rPr>
              <w:t>我单位没有使用国有资本经营预算安排的支出，故本表无数据。</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71"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278"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33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center"/>
        <w:textAlignment w:val="center"/>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kern w:val="0"/>
          <w:sz w:val="20"/>
          <w:szCs w:val="20"/>
          <w:lang w:val="en-US" w:eastAsia="zh-CN"/>
        </w:rPr>
        <w:t xml:space="preserve">                                                                                                              </w:t>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怀化市交通运输指挥中心通运输指挥中心</w:t>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3.50</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3.50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0.50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0.07</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eastAsia="方正小标宋_GBK"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11.33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职工工资正常调级增加了工资。</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37.51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11.33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职工工资正常调级增加了工资。</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37.51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11.33</w:t>
      </w:r>
      <w:r>
        <w:rPr>
          <w:rFonts w:ascii="Times New Roman" w:hAnsi="Times New Roman" w:eastAsia="仿宋_GB2312" w:cs="Times New Roman"/>
          <w:sz w:val="32"/>
          <w:szCs w:val="32"/>
        </w:rPr>
        <w:t>%，主要是</w:t>
      </w:r>
      <w:bookmarkStart w:id="3" w:name="OLE_LINK1"/>
      <w:r>
        <w:rPr>
          <w:rFonts w:ascii="Times New Roman" w:hAnsi="Times New Roman" w:eastAsia="仿宋_GB2312" w:cs="Times New Roman"/>
          <w:sz w:val="32"/>
          <w:szCs w:val="32"/>
        </w:rPr>
        <w:t>因为</w:t>
      </w:r>
      <w:r>
        <w:rPr>
          <w:rFonts w:hint="eastAsia" w:ascii="Times New Roman" w:hAnsi="Times New Roman" w:eastAsia="仿宋_GB2312" w:cs="Times New Roman"/>
          <w:sz w:val="32"/>
          <w:szCs w:val="32"/>
        </w:rPr>
        <w:t>职工工资正常调级增加了工资。</w:t>
      </w:r>
      <w:bookmarkEnd w:id="3"/>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交通运输</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362.45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101.64</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行政运行支出</w:t>
      </w:r>
      <w:r>
        <w:rPr>
          <w:rFonts w:ascii="Times New Roman" w:hAnsi="Times New Roman" w:eastAsia="仿宋_GB2312" w:cs="Times New Roman"/>
          <w:sz w:val="32"/>
          <w:szCs w:val="32"/>
        </w:rPr>
        <w:t>（项）。</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362.45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101.64</w:t>
      </w:r>
      <w:r>
        <w:rPr>
          <w:rFonts w:ascii="Times New Roman" w:hAnsi="Times New Roman" w:eastAsia="仿宋_GB2312" w:cs="Times New Roman"/>
          <w:sz w:val="32"/>
          <w:szCs w:val="32"/>
        </w:rPr>
        <w:t>%，决算数大于年初预算数的主要原因是：因为</w:t>
      </w:r>
      <w:r>
        <w:rPr>
          <w:rFonts w:hint="eastAsia" w:ascii="Times New Roman" w:hAnsi="Times New Roman" w:eastAsia="仿宋_GB2312" w:cs="Times New Roman"/>
          <w:sz w:val="32"/>
          <w:szCs w:val="32"/>
        </w:rPr>
        <w:t>职工工资正常调级增加了工资。</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rPr>
        <w:t>368.43</w:t>
      </w:r>
      <w:r>
        <w:rPr>
          <w:rFonts w:ascii="Times New Roman" w:hAnsi="Times New Roman" w:eastAsia="仿宋_GB2312" w:cs="Times New Roman"/>
          <w:color w:val="auto"/>
          <w:sz w:val="32"/>
          <w:szCs w:val="32"/>
        </w:rPr>
        <w:t>万元，其中：</w:t>
      </w:r>
    </w:p>
    <w:p>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rPr>
        <w:t>340.15</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92.32</w:t>
      </w:r>
      <w:r>
        <w:rPr>
          <w:rFonts w:ascii="Times New Roman" w:hAnsi="Times New Roman" w:eastAsia="仿宋_GB2312" w:cs="Times New Roman"/>
          <w:color w:val="auto"/>
          <w:sz w:val="32"/>
          <w:szCs w:val="32"/>
        </w:rPr>
        <w:t>%,主要包括基本工资、津贴补贴、奖金、</w:t>
      </w:r>
      <w:r>
        <w:rPr>
          <w:rFonts w:hint="eastAsia" w:ascii="Times New Roman" w:hAnsi="Times New Roman" w:eastAsia="仿宋_GB2312" w:cs="Times New Roman"/>
          <w:color w:val="auto"/>
          <w:sz w:val="32"/>
          <w:szCs w:val="32"/>
        </w:rPr>
        <w:t>绩效工资</w:t>
      </w:r>
      <w:r>
        <w:rPr>
          <w:rFonts w:ascii="Times New Roman" w:hAnsi="Times New Roman" w:eastAsia="仿宋_GB2312" w:cs="Times New Roman"/>
          <w:color w:val="auto"/>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rPr>
        <w:t>28.28</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rPr>
        <w:t>7.68</w:t>
      </w:r>
      <w:r>
        <w:rPr>
          <w:rFonts w:ascii="Times New Roman" w:hAnsi="Times New Roman" w:eastAsia="仿宋_GB2312" w:cs="Times New Roman"/>
          <w:color w:val="auto"/>
          <w:sz w:val="32"/>
          <w:szCs w:val="32"/>
        </w:rPr>
        <w:t>%，主要包括办公费、印刷费、咨询费、手续费</w:t>
      </w:r>
      <w:r>
        <w:rPr>
          <w:rFonts w:hint="eastAsia" w:ascii="Times New Roman" w:hAnsi="Times New Roman" w:eastAsia="仿宋_GB2312" w:cs="Times New Roman"/>
          <w:color w:val="auto"/>
          <w:sz w:val="32"/>
          <w:szCs w:val="32"/>
        </w:rPr>
        <w:t>、电费、差旅费、工会经费。</w:t>
      </w:r>
    </w:p>
    <w:p>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3.50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30.57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0.46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30.06</w:t>
      </w:r>
      <w:r>
        <w:rPr>
          <w:rFonts w:ascii="Times New Roman" w:hAnsi="Times New Roman" w:eastAsia="仿宋_GB2312" w:cs="Times New Roman"/>
          <w:sz w:val="32"/>
          <w:szCs w:val="32"/>
        </w:rPr>
        <w:t>%。决算数小于预算数的主要原因是</w:t>
      </w:r>
      <w:bookmarkStart w:id="4" w:name="OLE_LINK3"/>
      <w:bookmarkStart w:id="5" w:name="OLE_LINK2"/>
      <w:r>
        <w:rPr>
          <w:rFonts w:hint="eastAsia" w:ascii="Times New Roman" w:hAnsi="Times New Roman" w:eastAsia="仿宋_GB2312" w:cs="Times New Roman"/>
          <w:sz w:val="32"/>
          <w:szCs w:val="32"/>
        </w:rPr>
        <w:t>严格控制三公经费支出</w:t>
      </w:r>
      <w:bookmarkEnd w:id="4"/>
      <w:bookmarkEnd w:id="5"/>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严格控制三公经费支出</w:t>
      </w:r>
      <w:r>
        <w:rPr>
          <w:rFonts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33.33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34.64</w:t>
      </w:r>
      <w:r>
        <w:rPr>
          <w:rFonts w:ascii="Times New Roman" w:hAnsi="Times New Roman" w:eastAsia="仿宋_GB2312" w:cs="Times New Roman"/>
          <w:sz w:val="32"/>
          <w:szCs w:val="32"/>
        </w:rPr>
        <w:t>%。其中：</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0.00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3.00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万元，</w:t>
      </w:r>
    </w:p>
    <w:p>
      <w:pPr>
        <w:pStyle w:val="13"/>
        <w:overflowPunct w:val="0"/>
        <w:autoSpaceDE/>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车辆保险、燃油费、车辆维修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33.33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34.64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严格控制三公经费支出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rPr>
        <w:t>严格控制三公经费支出。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辆。</w:t>
      </w:r>
    </w:p>
    <w:p>
      <w:pPr>
        <w:pStyle w:val="13"/>
        <w:overflowPunct w:val="0"/>
        <w:autoSpaceDE/>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14.00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100.00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严格控制三公经费支出。</w:t>
      </w:r>
      <w:r>
        <w:rPr>
          <w:rFonts w:ascii="Times New Roman" w:hAnsi="Times New Roman" w:eastAsia="仿宋_GB2312" w:cs="Times New Roman"/>
          <w:sz w:val="32"/>
          <w:szCs w:val="32"/>
        </w:rPr>
        <w:t>决算数大于上年数的主要原因是。2024年度共接待来访团组</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开展高效办成一件事测试调研</w:t>
      </w:r>
      <w:r>
        <w:rPr>
          <w:rFonts w:ascii="Times New Roman" w:hAnsi="Times New Roman" w:eastAsia="仿宋_GB2312" w:cs="Times New Roman"/>
          <w:sz w:val="32"/>
          <w:szCs w:val="32"/>
        </w:rPr>
        <w:t>发生的接待支出。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3"/>
        <w:overflowPunct w:val="0"/>
        <w:autoSpaceDE/>
        <w:autoSpaceDN/>
        <w:spacing w:line="60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我单位没有政府性基金收入，也没有使用政府性基金安排的支出。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九、国有资本经营预算收入支出决算情况</w:t>
      </w:r>
    </w:p>
    <w:p>
      <w:pPr>
        <w:pStyle w:val="13"/>
        <w:spacing w:line="600" w:lineRule="exact"/>
        <w:ind w:firstLine="636"/>
        <w:rPr>
          <w:rFonts w:ascii="仿宋" w:hAnsi="仿宋" w:eastAsia="仿宋"/>
          <w:sz w:val="32"/>
          <w:szCs w:val="32"/>
        </w:rPr>
      </w:pPr>
      <w:r>
        <w:rPr>
          <w:rFonts w:hint="eastAsia" w:ascii="仿宋" w:hAnsi="仿宋" w:eastAsia="仿宋"/>
          <w:sz w:val="32"/>
          <w:szCs w:val="32"/>
        </w:rPr>
        <w:t>我单位没有国有资本经营预算财政拨款收入，也没有国有资本经营预算财政拨款支出。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rPr>
        <w:t>十</w:t>
      </w:r>
      <w:r>
        <w:rPr>
          <w:rFonts w:ascii="Times New Roman" w:hAnsi="Times New Roman" w:cs="Times New Roman"/>
          <w:bCs/>
          <w:sz w:val="32"/>
          <w:szCs w:val="32"/>
        </w:rPr>
        <w:t>、关于机关运行经费支出说明</w:t>
      </w:r>
    </w:p>
    <w:p>
      <w:pPr>
        <w:pStyle w:val="13"/>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sz w:val="32"/>
          <w:szCs w:val="32"/>
        </w:rPr>
        <w:t>我单位没有使用机关运行经费安排的支出。</w:t>
      </w: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一</w:t>
      </w:r>
      <w:r>
        <w:rPr>
          <w:rFonts w:ascii="Times New Roman" w:hAnsi="Times New Roman" w:cs="Times New Roman"/>
          <w:bCs/>
          <w:sz w:val="32"/>
          <w:szCs w:val="32"/>
        </w:rPr>
        <w:t>、一般性支出情况说明</w:t>
      </w:r>
    </w:p>
    <w:p>
      <w:pPr>
        <w:pStyle w:val="13"/>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2024年本部门开支</w:t>
      </w:r>
      <w:r>
        <w:rPr>
          <w:rFonts w:hint="eastAsia" w:ascii="Times New Roman" w:hAnsi="Times New Roman" w:eastAsia="仿宋_GB2312"/>
          <w:color w:val="auto"/>
          <w:sz w:val="32"/>
          <w:szCs w:val="32"/>
        </w:rPr>
        <w:t>会议费0.00万元，年初预算数0.50万元，培训费开支0.45万元，年初预算数1.00万元</w:t>
      </w:r>
      <w:r>
        <w:rPr>
          <w:rFonts w:hint="eastAsia" w:ascii="Times New Roman" w:hAnsi="Times New Roman" w:eastAsia="仿宋_GB2312"/>
          <w:sz w:val="32"/>
          <w:szCs w:val="32"/>
        </w:rPr>
        <w:t>，用于开展湖南省事业单位工作人员培训，人数24人，内容为公共科目和交通专业科目培训。</w:t>
      </w:r>
    </w:p>
    <w:p>
      <w:pPr>
        <w:pStyle w:val="13"/>
        <w:overflowPunct w:val="0"/>
        <w:autoSpaceDE/>
        <w:autoSpaceDN/>
        <w:spacing w:line="600" w:lineRule="exact"/>
        <w:ind w:firstLine="640" w:firstLineChars="200"/>
        <w:jc w:val="both"/>
        <w:rPr>
          <w:rFonts w:ascii="Times New Roman" w:hAnsi="Times New Roman" w:cs="Times New Roman"/>
          <w:bCs/>
          <w:sz w:val="32"/>
          <w:szCs w:val="32"/>
        </w:rPr>
      </w:pPr>
    </w:p>
    <w:p>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rPr>
        <w:t>二</w:t>
      </w:r>
      <w:r>
        <w:rPr>
          <w:rFonts w:ascii="Times New Roman" w:hAnsi="Times New Roman" w:cs="Times New Roman"/>
          <w:bCs/>
          <w:sz w:val="32"/>
          <w:szCs w:val="32"/>
        </w:rPr>
        <w:t>、关于政府采购支出说明</w:t>
      </w:r>
    </w:p>
    <w:p>
      <w:pPr>
        <w:pStyle w:val="13"/>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本部门2024年度政府采购支出总额0.00万元，其中：政府采购货物支出0.00万元、政府采购工程支出0.00万元、政府采购服务支出0.00万元。</w:t>
      </w:r>
    </w:p>
    <w:p>
      <w:pPr>
        <w:pStyle w:val="13"/>
        <w:overflowPunct w:val="0"/>
        <w:autoSpaceDE/>
        <w:autoSpaceDN/>
        <w:spacing w:line="600" w:lineRule="exact"/>
        <w:ind w:firstLine="480" w:firstLineChars="15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三</w:t>
      </w:r>
      <w:r>
        <w:rPr>
          <w:rFonts w:ascii="Times New Roman" w:hAnsi="Times New Roman" w:cs="Times New Roman"/>
          <w:bCs/>
          <w:color w:val="auto"/>
          <w:sz w:val="32"/>
          <w:szCs w:val="32"/>
        </w:rPr>
        <w:t>、关于国有资产占用情况说明</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rPr>
        <w:t>本单位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单位价值100万元以上设备</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hint="eastAsia"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rPr>
        <w:t>怀化市交通运输指挥中心</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9.00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rPr>
        <w:t>2.44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rPr>
        <w:t>0.00</w:t>
      </w:r>
      <w:r>
        <w:rPr>
          <w:rFonts w:ascii="Times New Roman" w:hAnsi="Times New Roman" w:eastAsia="仿宋_GB2312" w:cs="Times New Roman"/>
          <w:kern w:val="0"/>
          <w:sz w:val="32"/>
          <w:szCs w:val="32"/>
        </w:rPr>
        <w:t>%。</w:t>
      </w:r>
    </w:p>
    <w:p>
      <w:pPr>
        <w:widowControl/>
        <w:spacing w:line="560" w:lineRule="exact"/>
        <w:ind w:firstLine="640" w:firstLineChars="200"/>
        <w:jc w:val="left"/>
        <w:rPr>
          <w:rFonts w:ascii="仿宋" w:hAnsi="仿宋" w:eastAsia="仿宋" w:cs="仿宋_GB2312"/>
          <w:sz w:val="32"/>
          <w:szCs w:val="32"/>
          <w:shd w:val="clear" w:color="auto" w:fill="FFFFFF"/>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rPr>
        <w:t>怀化市交通运输指挥中心</w:t>
      </w:r>
      <w:r>
        <w:rPr>
          <w:rFonts w:ascii="Times New Roman" w:hAnsi="Times New Roman" w:eastAsia="仿宋_GB2312" w:cs="Times New Roman"/>
          <w:kern w:val="0"/>
          <w:sz w:val="32"/>
          <w:szCs w:val="32"/>
        </w:rPr>
        <w:t>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368.43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优秀</w:t>
      </w:r>
      <w:r>
        <w:rPr>
          <w:rFonts w:ascii="Times New Roman" w:hAnsi="Times New Roman" w:eastAsia="仿宋_GB2312" w:cs="Times New Roman"/>
          <w:sz w:val="32"/>
          <w:szCs w:val="32"/>
        </w:rPr>
        <w:t>”。绩效目标完成情况：一是</w:t>
      </w:r>
      <w:r>
        <w:rPr>
          <w:rFonts w:hint="eastAsia" w:ascii="仿宋_GB2312" w:hAnsi="仿宋_GB2312" w:eastAsia="仿宋_GB2312" w:cs="仿宋_GB2312"/>
          <w:spacing w:val="8"/>
          <w:sz w:val="32"/>
          <w:szCs w:val="32"/>
          <w:shd w:val="clear" w:color="auto" w:fill="FFFFFF"/>
        </w:rPr>
        <w:t>全年办理各类政务服务事项</w:t>
      </w:r>
      <w:r>
        <w:rPr>
          <w:rFonts w:hint="eastAsia" w:ascii="仿宋_GB2312" w:hAnsi="仿宋_GB2312" w:eastAsia="仿宋_GB2312" w:cs="仿宋_GB2312"/>
          <w:sz w:val="32"/>
          <w:szCs w:val="32"/>
        </w:rPr>
        <w:t>6万余件</w:t>
      </w:r>
      <w:r>
        <w:rPr>
          <w:rFonts w:ascii="Times New Roman" w:hAnsi="Times New Roman" w:eastAsia="仿宋_GB2312" w:cs="Times New Roman"/>
          <w:sz w:val="32"/>
          <w:szCs w:val="32"/>
        </w:rPr>
        <w:t>；二是</w:t>
      </w:r>
      <w:r>
        <w:rPr>
          <w:rFonts w:hint="eastAsia" w:ascii="仿宋_GB2312" w:hAnsi="仿宋_GB2312" w:eastAsia="仿宋_GB2312" w:cs="仿宋_GB2312"/>
          <w:sz w:val="32"/>
          <w:szCs w:val="32"/>
        </w:rPr>
        <w:t>从未出现损坏行政效能超时办件“红黄牌”预警，损害营商环境案例为0，市级政务平台办件率、好评率均为100%，在全市政务服务行政考评中名列全市前列。完成智慧交通建设项目设计工作。</w:t>
      </w:r>
      <w:r>
        <w:rPr>
          <w:rFonts w:ascii="Times New Roman" w:hAnsi="Times New Roman" w:eastAsia="仿宋_GB2312" w:cs="Times New Roman"/>
          <w:sz w:val="32"/>
          <w:szCs w:val="32"/>
        </w:rPr>
        <w:t>发现的主要问题及原因：一是</w:t>
      </w:r>
      <w:r>
        <w:rPr>
          <w:rFonts w:hint="eastAsia" w:ascii="仿宋" w:hAnsi="仿宋" w:eastAsia="仿宋" w:cs="仿宋_GB2312"/>
          <w:sz w:val="32"/>
          <w:szCs w:val="32"/>
          <w:shd w:val="clear" w:color="auto" w:fill="FFFFFF"/>
        </w:rPr>
        <w:t>由于公用经费预算不足，对整体工作提质增效产生一定影响，一是单位机构改革后，由多个单位人员组建而成，办公设施、设备已达到报废年限，无法及时进行更新；二是受经费影响，一些年初安排的工作难以充分开展到位，对工作中创先争优，促进工作有效开展产生一定程度影响。</w:t>
      </w:r>
      <w:r>
        <w:rPr>
          <w:rFonts w:ascii="Times New Roman" w:hAnsi="Times New Roman" w:eastAsia="仿宋_GB2312" w:cs="Times New Roman"/>
          <w:sz w:val="32"/>
          <w:szCs w:val="32"/>
        </w:rPr>
        <w:t>二是</w:t>
      </w:r>
      <w:r>
        <w:rPr>
          <w:rFonts w:hint="eastAsia" w:ascii="仿宋" w:hAnsi="仿宋" w:eastAsia="仿宋" w:cs="仿宋_GB2312"/>
          <w:sz w:val="32"/>
          <w:szCs w:val="32"/>
          <w:shd w:val="clear" w:color="auto" w:fill="FFFFFF"/>
        </w:rPr>
        <w:t>公用经费还需支出工作人员“五险一金”财政预算安排差额部分，在优先保障公务开支前题下，工作人员政策性福利未能到位，对工作积极性产生一定影响。</w:t>
      </w:r>
    </w:p>
    <w:p>
      <w:pPr>
        <w:pStyle w:val="8"/>
        <w:widowControl/>
        <w:shd w:val="clear" w:color="auto" w:fill="FFFFFF"/>
        <w:spacing w:before="0" w:beforeAutospacing="0" w:after="0" w:afterAutospacing="0" w:line="560" w:lineRule="exact"/>
        <w:ind w:firstLine="640" w:firstLineChars="200"/>
        <w:rPr>
          <w:rFonts w:ascii="仿宋" w:hAnsi="仿宋" w:eastAsia="仿宋" w:cs="仿宋_GB2312"/>
          <w:sz w:val="32"/>
          <w:szCs w:val="32"/>
        </w:rPr>
      </w:pPr>
      <w:r>
        <w:rPr>
          <w:rFonts w:eastAsia="仿宋_GB2312"/>
          <w:sz w:val="32"/>
          <w:szCs w:val="32"/>
        </w:rPr>
        <w:t>下一步改进措施：</w:t>
      </w:r>
      <w:bookmarkStart w:id="6" w:name="OLE_LINK14"/>
      <w:bookmarkStart w:id="7" w:name="OLE_LINK15"/>
      <w:r>
        <w:rPr>
          <w:rFonts w:eastAsia="仿宋_GB2312"/>
          <w:sz w:val="32"/>
          <w:szCs w:val="32"/>
        </w:rPr>
        <w:t>一是</w:t>
      </w:r>
      <w:r>
        <w:rPr>
          <w:rFonts w:hint="eastAsia" w:ascii="仿宋" w:hAnsi="仿宋" w:eastAsia="仿宋" w:cs="仿宋_GB2312"/>
          <w:sz w:val="32"/>
          <w:szCs w:val="32"/>
          <w:shd w:val="clear" w:color="auto" w:fill="FFFFFF"/>
        </w:rPr>
        <w:t>认真做好预算的编制。进一步加强单位内部机构的预算管理意识，严格按照预算编制的相关制度和要求进行预算编制。</w:t>
      </w:r>
      <w:r>
        <w:rPr>
          <w:rFonts w:eastAsia="仿宋_GB2312"/>
          <w:sz w:val="32"/>
          <w:szCs w:val="32"/>
        </w:rPr>
        <w:t>二是</w:t>
      </w:r>
      <w:r>
        <w:rPr>
          <w:rFonts w:hint="eastAsia" w:ascii="仿宋" w:hAnsi="仿宋" w:eastAsia="仿宋" w:cs="仿宋_GB2312"/>
          <w:sz w:val="32"/>
          <w:szCs w:val="32"/>
          <w:shd w:val="clear" w:color="auto" w:fill="FFFFFF"/>
        </w:rPr>
        <w:t>加强财务管理，严格财务审核。加强单位财务管理，健全单位财务管理制度体系，规范单位财务行为。在费用报账支付时，按照预算规定的费用项目和用途进行资金使用审核、列报支付、财务核算，杜绝超支现象的发生。</w:t>
      </w:r>
      <w:r>
        <w:rPr>
          <w:rFonts w:hint="eastAsia" w:eastAsia="仿宋_GB2312"/>
          <w:sz w:val="32"/>
          <w:szCs w:val="32"/>
        </w:rPr>
        <w:t>三是</w:t>
      </w:r>
      <w:r>
        <w:rPr>
          <w:rFonts w:hint="eastAsia" w:ascii="仿宋" w:hAnsi="仿宋" w:eastAsia="仿宋" w:cs="仿宋_GB2312"/>
          <w:sz w:val="32"/>
          <w:szCs w:val="32"/>
          <w:shd w:val="clear" w:color="auto" w:fill="FFFFFF"/>
        </w:rPr>
        <w:t>完善资产管理，抓好“三公”经费控制。严格规范各类资产的购置审批、采购、处置等，加强单位内部的资产管理工作。严格控制“三公”经费的规模和比例，把关“三公”经费支出的审核、审批。</w:t>
      </w:r>
      <w:r>
        <w:rPr>
          <w:rFonts w:hint="eastAsia" w:eastAsia="仿宋_GB2312"/>
          <w:bCs/>
          <w:sz w:val="32"/>
          <w:szCs w:val="32"/>
        </w:rPr>
        <w:t>四是</w:t>
      </w:r>
      <w:r>
        <w:rPr>
          <w:rFonts w:hint="eastAsia" w:ascii="仿宋" w:hAnsi="仿宋" w:eastAsia="仿宋" w:cs="仿宋_GB2312"/>
          <w:sz w:val="32"/>
          <w:szCs w:val="32"/>
          <w:shd w:val="clear" w:color="auto" w:fill="FFFFFF"/>
        </w:rPr>
        <w:t>积极筹措工作经费。积极向财政汇报重点工作情况，争取专项工作经费，促进工作效果提升。</w:t>
      </w:r>
      <w:bookmarkEnd w:id="6"/>
      <w:bookmarkEnd w:id="7"/>
    </w:p>
    <w:p>
      <w:pPr>
        <w:pStyle w:val="13"/>
        <w:overflowPunct w:val="0"/>
        <w:autoSpaceDE/>
        <w:autoSpaceDN/>
        <w:spacing w:line="600" w:lineRule="exact"/>
        <w:ind w:firstLine="640" w:firstLineChars="200"/>
        <w:jc w:val="both"/>
        <w:rPr>
          <w:rFonts w:hint="eastAsia"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hint="eastAsia" w:ascii="Times New Roman" w:hAnsi="Times New Roman" w:eastAsia="仿宋_GB2312" w:cs="Times New Roman"/>
          <w:sz w:val="32"/>
          <w:szCs w:val="32"/>
        </w:rPr>
        <w:t>2025年要</w:t>
      </w:r>
      <w:r>
        <w:rPr>
          <w:rFonts w:hint="eastAsia" w:ascii="仿宋" w:hAnsi="仿宋" w:eastAsia="仿宋" w:cs="仿宋_GB2312"/>
          <w:sz w:val="32"/>
          <w:szCs w:val="32"/>
          <w:shd w:val="clear" w:color="auto" w:fill="FFFFFF"/>
        </w:rPr>
        <w:t>认真做好预算的编制。进一步加强单位内部机构的预算管理意识，严格按照预算编制的相关制度和要求进行预算编制。加强财务管理，严格财务审核。加强单位财务管理，健全单位财务管理制度体系，规范单位财务行为。在费用报账支付时，按照预算规定的费用项目和用途进行资金使用审核、列报支付、财务核算，杜绝超支现象的发生。完善资产管理，抓好“三公”经费控制。严格规范各类资产的购置审批、采购、处置等，加强单位内部的资产管理工作。严格控制“三公”经费的规模和比例，把关“三公”经费支出的审核、审批。积极筹措工作经费。积极向财政汇报重点工作情况，争取专项工作经费，促进工作效果提升。</w:t>
      </w:r>
    </w:p>
    <w:p>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pPr>
        <w:pStyle w:val="13"/>
        <w:ind w:firstLine="640" w:firstLineChars="200"/>
        <w:rPr>
          <w:rFonts w:ascii="仿宋" w:hAnsi="仿宋" w:eastAsia="仿宋"/>
          <w:color w:val="auto"/>
          <w:sz w:val="32"/>
          <w:szCs w:val="32"/>
        </w:rPr>
      </w:pPr>
      <w:r>
        <w:rPr>
          <w:rFonts w:hint="eastAsia" w:ascii="仿宋" w:hAnsi="仿宋" w:eastAsia="仿宋"/>
          <w:color w:val="auto"/>
          <w:sz w:val="32"/>
          <w:szCs w:val="32"/>
        </w:rPr>
        <w:t>1.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pPr>
        <w:pStyle w:val="13"/>
        <w:ind w:firstLine="640"/>
        <w:jc w:val="center"/>
        <w:rPr>
          <w:rFonts w:ascii="仿宋" w:hAnsi="仿宋" w:eastAsia="仿宋"/>
          <w:sz w:val="72"/>
          <w:szCs w:val="72"/>
        </w:rPr>
      </w:pPr>
      <w:r>
        <w:rPr>
          <w:rFonts w:hint="eastAsia" w:ascii="仿宋" w:hAnsi="仿宋" w:eastAsia="仿宋"/>
          <w:color w:val="auto"/>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widowControl/>
        <w:jc w:val="left"/>
        <w:rPr>
          <w:rFonts w:ascii="Times New Roman" w:hAnsi="Times New Roman" w:cs="Times New Roman"/>
          <w:color w:val="000000"/>
          <w:kern w:val="0"/>
          <w:sz w:val="32"/>
          <w:szCs w:val="3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center"/>
        <w:rPr>
          <w:rFonts w:ascii="Times New Roman" w:hAnsi="Times New Roman" w:cs="Times New Roman"/>
          <w:sz w:val="72"/>
          <w:szCs w:val="72"/>
        </w:rPr>
      </w:pPr>
    </w:p>
    <w:p>
      <w:pPr>
        <w:pStyle w:val="13"/>
        <w:jc w:val="both"/>
        <w:rPr>
          <w:rFonts w:ascii="Times New Roman" w:hAnsi="Times New Roman" w:cs="Times New Roman"/>
          <w:sz w:val="72"/>
          <w:szCs w:val="72"/>
        </w:rPr>
      </w:pPr>
    </w:p>
    <w:p>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 件</w:t>
      </w:r>
    </w:p>
    <w:p>
      <w:pPr>
        <w:rPr>
          <w:rFonts w:ascii="Times New Roman" w:hAnsi="Times New Roman" w:cs="Times New Roman"/>
          <w:sz w:val="72"/>
          <w:szCs w:val="72"/>
        </w:rPr>
      </w:pPr>
    </w:p>
    <w:p>
      <w:pPr>
        <w:pStyle w:val="13"/>
        <w:ind w:firstLine="640" w:firstLineChars="200"/>
        <w:rPr>
          <w:rFonts w:hint="eastAsia" w:ascii="仿宋" w:hAnsi="仿宋" w:eastAsia="仿宋"/>
          <w:color w:val="4F81BD" w:themeColor="accent1"/>
          <w:sz w:val="32"/>
          <w:szCs w:val="32"/>
        </w:rPr>
      </w:pPr>
      <w:r>
        <w:rPr>
          <w:rFonts w:hint="eastAsia" w:ascii="仿宋" w:hAnsi="仿宋" w:eastAsia="仿宋"/>
          <w:color w:val="4F81BD" w:themeColor="accent1"/>
          <w:sz w:val="32"/>
          <w:szCs w:val="32"/>
        </w:rPr>
        <w:t>一、</w:t>
      </w:r>
      <w:r>
        <w:rPr>
          <w:rFonts w:hint="eastAsia" w:ascii="仿宋" w:hAnsi="仿宋" w:eastAsia="仿宋"/>
          <w:color w:val="4F81BD" w:themeColor="accent1"/>
          <w:sz w:val="32"/>
          <w:szCs w:val="32"/>
          <w:lang w:val="en-US" w:eastAsia="zh-CN"/>
        </w:rPr>
        <w:t>2</w:t>
      </w:r>
      <w:r>
        <w:rPr>
          <w:rFonts w:hint="eastAsia" w:ascii="仿宋" w:hAnsi="仿宋" w:eastAsia="仿宋"/>
          <w:color w:val="4F81BD" w:themeColor="accent1"/>
          <w:sz w:val="32"/>
          <w:szCs w:val="32"/>
        </w:rPr>
        <w:t>024年怀化市交通运输指挥中心</w:t>
      </w:r>
      <w:r>
        <w:rPr>
          <w:rFonts w:hint="eastAsia" w:ascii="仿宋" w:hAnsi="仿宋" w:eastAsia="仿宋"/>
          <w:color w:val="4F81BD" w:themeColor="accent1"/>
          <w:sz w:val="32"/>
          <w:szCs w:val="32"/>
          <w:lang w:eastAsia="zh-CN"/>
        </w:rPr>
        <w:t>整体支出</w:t>
      </w:r>
      <w:r>
        <w:rPr>
          <w:rFonts w:hint="eastAsia" w:ascii="仿宋" w:hAnsi="仿宋" w:eastAsia="仿宋"/>
          <w:color w:val="4F81BD" w:themeColor="accent1"/>
          <w:sz w:val="32"/>
          <w:szCs w:val="32"/>
        </w:rPr>
        <w:t>绩效报告</w:t>
      </w:r>
    </w:p>
    <w:p>
      <w:pPr>
        <w:pStyle w:val="13"/>
        <w:ind w:firstLine="640" w:firstLineChars="200"/>
        <w:rPr>
          <w:rFonts w:hint="eastAsia" w:ascii="仿宋" w:hAnsi="仿宋" w:eastAsia="仿宋"/>
          <w:color w:val="4F81BD" w:themeColor="accent1"/>
          <w:sz w:val="32"/>
          <w:szCs w:val="32"/>
          <w:lang w:eastAsia="zh-CN"/>
        </w:rPr>
      </w:pPr>
      <w:r>
        <w:rPr>
          <w:rFonts w:hint="eastAsia" w:ascii="仿宋" w:hAnsi="仿宋" w:eastAsia="仿宋"/>
          <w:color w:val="4F81BD" w:themeColor="accent1"/>
          <w:sz w:val="32"/>
          <w:szCs w:val="32"/>
          <w:lang w:eastAsia="zh-CN"/>
        </w:rPr>
        <w:t>二、2024年怀化市交通运输指挥中心专项资金绩效自评报告</w:t>
      </w:r>
    </w:p>
    <w:p>
      <w:pPr>
        <w:pStyle w:val="13"/>
        <w:jc w:val="both"/>
        <w:rPr>
          <w:rFonts w:hint="eastAsia" w:ascii="Times New Roman" w:hAnsi="Times New Roman" w:eastAsia="仿宋_GB2312" w:cs="Times New Roman"/>
          <w:b/>
          <w:bCs/>
          <w:sz w:val="32"/>
          <w:szCs w:val="32"/>
          <w:lang w:eastAsia="zh-CN"/>
        </w:rPr>
      </w:pPr>
    </w:p>
    <w:p>
      <w:pPr>
        <w:pStyle w:val="13"/>
        <w:jc w:val="both"/>
        <w:rPr>
          <w:rFonts w:ascii="Times New Roman" w:hAnsi="Times New Roman" w:eastAsia="仿宋_GB2312" w:cs="Times New Roman"/>
          <w:b/>
          <w:bCs/>
          <w:sz w:val="32"/>
          <w:szCs w:val="32"/>
        </w:rPr>
      </w:pPr>
    </w:p>
    <w:p>
      <w:pPr>
        <w:pStyle w:val="13"/>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452652"/>
    <w:multiLevelType w:val="multilevel"/>
    <w:tmpl w:val="5B45265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05C"/>
    <w:rsid w:val="000658A3"/>
    <w:rsid w:val="00074155"/>
    <w:rsid w:val="00080785"/>
    <w:rsid w:val="000857E3"/>
    <w:rsid w:val="000A3F69"/>
    <w:rsid w:val="000B20F1"/>
    <w:rsid w:val="000C5742"/>
    <w:rsid w:val="00103957"/>
    <w:rsid w:val="00152C6D"/>
    <w:rsid w:val="00162D39"/>
    <w:rsid w:val="00167736"/>
    <w:rsid w:val="001678BD"/>
    <w:rsid w:val="00182373"/>
    <w:rsid w:val="001A67DB"/>
    <w:rsid w:val="001B67D1"/>
    <w:rsid w:val="001C3C29"/>
    <w:rsid w:val="001C69E4"/>
    <w:rsid w:val="001D2B79"/>
    <w:rsid w:val="001D51E5"/>
    <w:rsid w:val="001E080D"/>
    <w:rsid w:val="001E53D0"/>
    <w:rsid w:val="001F0C3B"/>
    <w:rsid w:val="00202C82"/>
    <w:rsid w:val="00214427"/>
    <w:rsid w:val="00220689"/>
    <w:rsid w:val="00221AFD"/>
    <w:rsid w:val="00226CB7"/>
    <w:rsid w:val="00241548"/>
    <w:rsid w:val="00252450"/>
    <w:rsid w:val="00264552"/>
    <w:rsid w:val="00264EF9"/>
    <w:rsid w:val="00265724"/>
    <w:rsid w:val="0027426B"/>
    <w:rsid w:val="00296D60"/>
    <w:rsid w:val="002E0A30"/>
    <w:rsid w:val="002F109C"/>
    <w:rsid w:val="0030077D"/>
    <w:rsid w:val="003130C4"/>
    <w:rsid w:val="00316C4B"/>
    <w:rsid w:val="0032192B"/>
    <w:rsid w:val="0033283E"/>
    <w:rsid w:val="003479BD"/>
    <w:rsid w:val="0037197D"/>
    <w:rsid w:val="003768D5"/>
    <w:rsid w:val="003926B9"/>
    <w:rsid w:val="003B6E18"/>
    <w:rsid w:val="003C2E17"/>
    <w:rsid w:val="003C47E6"/>
    <w:rsid w:val="003C4FC2"/>
    <w:rsid w:val="00401F9A"/>
    <w:rsid w:val="00416E61"/>
    <w:rsid w:val="00426732"/>
    <w:rsid w:val="0042790C"/>
    <w:rsid w:val="004506F9"/>
    <w:rsid w:val="004519C1"/>
    <w:rsid w:val="00462315"/>
    <w:rsid w:val="004717A2"/>
    <w:rsid w:val="00473DF3"/>
    <w:rsid w:val="00487911"/>
    <w:rsid w:val="00490F48"/>
    <w:rsid w:val="00491741"/>
    <w:rsid w:val="004B0CEE"/>
    <w:rsid w:val="004B46F9"/>
    <w:rsid w:val="004C2A0A"/>
    <w:rsid w:val="004F5EFB"/>
    <w:rsid w:val="00500E5F"/>
    <w:rsid w:val="005122EF"/>
    <w:rsid w:val="0051441A"/>
    <w:rsid w:val="00515900"/>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31E6"/>
    <w:rsid w:val="006171EE"/>
    <w:rsid w:val="0062378F"/>
    <w:rsid w:val="00630A72"/>
    <w:rsid w:val="00631425"/>
    <w:rsid w:val="00641842"/>
    <w:rsid w:val="00651EEC"/>
    <w:rsid w:val="00675D3E"/>
    <w:rsid w:val="00686673"/>
    <w:rsid w:val="00691E8C"/>
    <w:rsid w:val="006950A8"/>
    <w:rsid w:val="006A22C4"/>
    <w:rsid w:val="006A351B"/>
    <w:rsid w:val="006B0422"/>
    <w:rsid w:val="006B046C"/>
    <w:rsid w:val="006C1B53"/>
    <w:rsid w:val="006D7730"/>
    <w:rsid w:val="006E5284"/>
    <w:rsid w:val="006F3EB5"/>
    <w:rsid w:val="006F56C8"/>
    <w:rsid w:val="006F6B53"/>
    <w:rsid w:val="00702E34"/>
    <w:rsid w:val="00704395"/>
    <w:rsid w:val="00705CB3"/>
    <w:rsid w:val="00710FE7"/>
    <w:rsid w:val="00712D17"/>
    <w:rsid w:val="00717621"/>
    <w:rsid w:val="00720FF1"/>
    <w:rsid w:val="00727A53"/>
    <w:rsid w:val="007502DE"/>
    <w:rsid w:val="00787B42"/>
    <w:rsid w:val="007A124E"/>
    <w:rsid w:val="007C4539"/>
    <w:rsid w:val="007E6F58"/>
    <w:rsid w:val="007F3657"/>
    <w:rsid w:val="00810F0C"/>
    <w:rsid w:val="00811AA2"/>
    <w:rsid w:val="00812ED5"/>
    <w:rsid w:val="00821A03"/>
    <w:rsid w:val="008277D9"/>
    <w:rsid w:val="0084478C"/>
    <w:rsid w:val="0086638C"/>
    <w:rsid w:val="00871CB1"/>
    <w:rsid w:val="008764FA"/>
    <w:rsid w:val="00882D5B"/>
    <w:rsid w:val="00885743"/>
    <w:rsid w:val="008A1079"/>
    <w:rsid w:val="008A3E8D"/>
    <w:rsid w:val="008A5055"/>
    <w:rsid w:val="008B76A6"/>
    <w:rsid w:val="008D17F4"/>
    <w:rsid w:val="009150D8"/>
    <w:rsid w:val="009237C4"/>
    <w:rsid w:val="00944C48"/>
    <w:rsid w:val="00950252"/>
    <w:rsid w:val="00967F5D"/>
    <w:rsid w:val="00982466"/>
    <w:rsid w:val="009A0F95"/>
    <w:rsid w:val="009B3ADF"/>
    <w:rsid w:val="009C31C5"/>
    <w:rsid w:val="009C3B52"/>
    <w:rsid w:val="009E6817"/>
    <w:rsid w:val="009E6E9A"/>
    <w:rsid w:val="00A01D2B"/>
    <w:rsid w:val="00A1392A"/>
    <w:rsid w:val="00A42218"/>
    <w:rsid w:val="00A55FB8"/>
    <w:rsid w:val="00A70249"/>
    <w:rsid w:val="00A70B02"/>
    <w:rsid w:val="00A71D9F"/>
    <w:rsid w:val="00A92E9F"/>
    <w:rsid w:val="00AB18FF"/>
    <w:rsid w:val="00B26269"/>
    <w:rsid w:val="00B33BEA"/>
    <w:rsid w:val="00B57C9F"/>
    <w:rsid w:val="00B63572"/>
    <w:rsid w:val="00B845B3"/>
    <w:rsid w:val="00B85D8B"/>
    <w:rsid w:val="00B94B84"/>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13A9C"/>
    <w:rsid w:val="00E37D6C"/>
    <w:rsid w:val="00E55B68"/>
    <w:rsid w:val="00E561AE"/>
    <w:rsid w:val="00E67BE6"/>
    <w:rsid w:val="00E8683C"/>
    <w:rsid w:val="00EA2B72"/>
    <w:rsid w:val="00EB4BBA"/>
    <w:rsid w:val="00F74360"/>
    <w:rsid w:val="00FB462F"/>
    <w:rsid w:val="00FE16FA"/>
    <w:rsid w:val="00FE328A"/>
    <w:rsid w:val="00FE45CA"/>
    <w:rsid w:val="00FE6269"/>
    <w:rsid w:val="00FF5CD6"/>
    <w:rsid w:val="16312EF1"/>
    <w:rsid w:val="1D97DEFF"/>
    <w:rsid w:val="1DFF72E5"/>
    <w:rsid w:val="1EFC6F07"/>
    <w:rsid w:val="2EF70772"/>
    <w:rsid w:val="2FDF85B8"/>
    <w:rsid w:val="2FFFEE04"/>
    <w:rsid w:val="34DF85B0"/>
    <w:rsid w:val="35AE17D4"/>
    <w:rsid w:val="3B8F36BC"/>
    <w:rsid w:val="3BFD4B5A"/>
    <w:rsid w:val="3CF74F48"/>
    <w:rsid w:val="491FF225"/>
    <w:rsid w:val="4FFD214C"/>
    <w:rsid w:val="5777D4F5"/>
    <w:rsid w:val="58457EF8"/>
    <w:rsid w:val="59DD8326"/>
    <w:rsid w:val="5DEF592A"/>
    <w:rsid w:val="5FC6BB1E"/>
    <w:rsid w:val="5FF720F1"/>
    <w:rsid w:val="67FF5C0B"/>
    <w:rsid w:val="6EFC0924"/>
    <w:rsid w:val="6F3D6C51"/>
    <w:rsid w:val="6FB74722"/>
    <w:rsid w:val="6FEF8B7E"/>
    <w:rsid w:val="71A6591B"/>
    <w:rsid w:val="737D59BA"/>
    <w:rsid w:val="77C37683"/>
    <w:rsid w:val="77FF055A"/>
    <w:rsid w:val="79D19834"/>
    <w:rsid w:val="79FF515B"/>
    <w:rsid w:val="7D3B81AF"/>
    <w:rsid w:val="7E9E1962"/>
    <w:rsid w:val="7E9F11B4"/>
    <w:rsid w:val="7F37EC1E"/>
    <w:rsid w:val="7F3D3D6D"/>
    <w:rsid w:val="7F7DCD9D"/>
    <w:rsid w:val="7F970A6F"/>
    <w:rsid w:val="7FC1FFF3"/>
    <w:rsid w:val="7FC69637"/>
    <w:rsid w:val="7FDF8620"/>
    <w:rsid w:val="7FE8C8F7"/>
    <w:rsid w:val="7FFB242F"/>
    <w:rsid w:val="7FFDB408"/>
    <w:rsid w:val="7FFE4EEB"/>
    <w:rsid w:val="95FB2B98"/>
    <w:rsid w:val="9A639BC2"/>
    <w:rsid w:val="9FF7D786"/>
    <w:rsid w:val="ABBFB23D"/>
    <w:rsid w:val="BEA005D1"/>
    <w:rsid w:val="C3B4DA5A"/>
    <w:rsid w:val="CBFF70E0"/>
    <w:rsid w:val="CFF50B82"/>
    <w:rsid w:val="CFFFAD89"/>
    <w:rsid w:val="DFB53C9A"/>
    <w:rsid w:val="DFFE359E"/>
    <w:rsid w:val="DFFE4FFD"/>
    <w:rsid w:val="DFFF05DB"/>
    <w:rsid w:val="EEABED75"/>
    <w:rsid w:val="EF786D2F"/>
    <w:rsid w:val="F56FDF51"/>
    <w:rsid w:val="F6B69F17"/>
    <w:rsid w:val="F6FF7154"/>
    <w:rsid w:val="F77F1D61"/>
    <w:rsid w:val="F7BF3C35"/>
    <w:rsid w:val="F7FED3A9"/>
    <w:rsid w:val="F8C9DB26"/>
    <w:rsid w:val="F97E8EAE"/>
    <w:rsid w:val="FB36E1A6"/>
    <w:rsid w:val="FB3BE134"/>
    <w:rsid w:val="FCFF4275"/>
    <w:rsid w:val="FD4FEB3A"/>
    <w:rsid w:val="FD7FEEEA"/>
    <w:rsid w:val="FDFFB577"/>
    <w:rsid w:val="FEEA50FE"/>
    <w:rsid w:val="FF7D47A9"/>
    <w:rsid w:val="FFCF21CB"/>
    <w:rsid w:val="FFFADD3F"/>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rFonts w:ascii="Times New Roman" w:hAnsi="Times New Roman" w:eastAsia="宋体" w:cs="Times New Roman"/>
      <w:kern w:val="0"/>
      <w:sz w:val="24"/>
      <w:szCs w:val="24"/>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21"/>
    <w:basedOn w:val="10"/>
    <w:qFormat/>
    <w:uiPriority w:val="0"/>
    <w:rPr>
      <w:rFonts w:hint="eastAsia" w:ascii="Times New Roman" w:eastAsia="楷体_GB2312" w:cs="楷体_GB231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1491</Words>
  <Characters>8504</Characters>
  <Lines>70</Lines>
  <Paragraphs>19</Paragraphs>
  <TotalTime>2</TotalTime>
  <ScaleCrop>false</ScaleCrop>
  <LinksUpToDate>false</LinksUpToDate>
  <CharactersWithSpaces>9976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2025-09-25T18:17:00Z</dcterms:created>
  <dc:creator>李航 null</dc:creator>
  <cp:lastModifiedBy>yq</cp:lastModifiedBy>
  <cp:lastPrinted>2024-08-09T18:20:00Z</cp:lastPrinted>
  <dcterms:modified xsi:type="dcterms:W3CDTF">2025-09-25T10:56:11Z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BB7B6AA21D207914D6FDA268992A22D6</vt:lpwstr>
  </property>
</Properties>
</file>