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5F1AC">
      <w:pPr>
        <w:pStyle w:val="7"/>
        <w:widowControl/>
        <w:shd w:val="clear" w:color="auto" w:fill="FFFFFF"/>
        <w:spacing w:beforeAutospacing="0" w:afterAutospacing="0" w:line="480" w:lineRule="atLeast"/>
        <w:jc w:val="both"/>
        <w:rPr>
          <w:rFonts w:ascii="仿宋" w:hAnsi="仿宋" w:eastAsia="仿宋" w:cs="仿宋"/>
          <w:color w:val="000000"/>
          <w:sz w:val="32"/>
          <w:szCs w:val="32"/>
          <w:shd w:val="clear" w:color="auto" w:fill="FFFFFF"/>
        </w:rPr>
      </w:pPr>
    </w:p>
    <w:p w14:paraId="563E63B9">
      <w:pPr>
        <w:jc w:val="center"/>
        <w:rPr>
          <w:rFonts w:ascii="仿宋" w:hAnsi="仿宋" w:eastAsia="仿宋" w:cs="仿宋"/>
          <w:b/>
          <w:bCs/>
          <w:sz w:val="52"/>
          <w:szCs w:val="52"/>
        </w:rPr>
      </w:pPr>
      <w:r>
        <w:rPr>
          <w:rFonts w:hint="eastAsia" w:ascii="仿宋" w:hAnsi="仿宋" w:eastAsia="仿宋" w:cs="仿宋"/>
          <w:b/>
          <w:bCs/>
          <w:sz w:val="52"/>
          <w:szCs w:val="52"/>
        </w:rPr>
        <w:t>2024年度怀化市综合交通运输协调服务中心专项资金绩效自评报告</w:t>
      </w:r>
    </w:p>
    <w:p w14:paraId="06F968E8">
      <w:pPr>
        <w:rPr>
          <w:rFonts w:ascii="仿宋" w:hAnsi="仿宋" w:eastAsia="仿宋" w:cs="仿宋"/>
          <w:b/>
          <w:sz w:val="52"/>
          <w:szCs w:val="52"/>
        </w:rPr>
      </w:pPr>
    </w:p>
    <w:p w14:paraId="44B4B4FE">
      <w:pPr>
        <w:jc w:val="center"/>
        <w:rPr>
          <w:rFonts w:ascii="仿宋" w:hAnsi="仿宋" w:eastAsia="仿宋" w:cs="仿宋"/>
          <w:sz w:val="32"/>
          <w:szCs w:val="32"/>
        </w:rPr>
      </w:pPr>
    </w:p>
    <w:p w14:paraId="0EA41357">
      <w:pPr>
        <w:jc w:val="center"/>
        <w:rPr>
          <w:rFonts w:ascii="仿宋" w:hAnsi="仿宋" w:eastAsia="仿宋" w:cs="仿宋"/>
          <w:sz w:val="32"/>
          <w:szCs w:val="32"/>
        </w:rPr>
      </w:pPr>
    </w:p>
    <w:p w14:paraId="3AEB34A0">
      <w:pPr>
        <w:jc w:val="center"/>
        <w:rPr>
          <w:rFonts w:ascii="仿宋" w:hAnsi="仿宋" w:eastAsia="仿宋" w:cs="仿宋"/>
          <w:sz w:val="32"/>
          <w:szCs w:val="32"/>
        </w:rPr>
      </w:pPr>
    </w:p>
    <w:p w14:paraId="42A971A3">
      <w:pPr>
        <w:jc w:val="center"/>
        <w:rPr>
          <w:rFonts w:ascii="仿宋" w:hAnsi="仿宋" w:eastAsia="仿宋" w:cs="仿宋"/>
          <w:sz w:val="32"/>
          <w:szCs w:val="32"/>
        </w:rPr>
      </w:pPr>
    </w:p>
    <w:p w14:paraId="61FC7DF8">
      <w:pPr>
        <w:jc w:val="center"/>
        <w:rPr>
          <w:rFonts w:ascii="仿宋" w:hAnsi="仿宋" w:eastAsia="仿宋" w:cs="仿宋"/>
          <w:sz w:val="32"/>
          <w:szCs w:val="32"/>
        </w:rPr>
      </w:pPr>
    </w:p>
    <w:p w14:paraId="36B795DD">
      <w:pPr>
        <w:jc w:val="center"/>
        <w:rPr>
          <w:rFonts w:ascii="仿宋" w:hAnsi="仿宋" w:eastAsia="仿宋" w:cs="仿宋"/>
          <w:sz w:val="32"/>
          <w:szCs w:val="32"/>
        </w:rPr>
      </w:pPr>
    </w:p>
    <w:p w14:paraId="663DD3F9">
      <w:pPr>
        <w:rPr>
          <w:rFonts w:ascii="仿宋" w:hAnsi="仿宋" w:eastAsia="仿宋" w:cs="仿宋"/>
          <w:sz w:val="32"/>
          <w:szCs w:val="32"/>
        </w:rPr>
      </w:pPr>
    </w:p>
    <w:p w14:paraId="4092BBCA">
      <w:pPr>
        <w:rPr>
          <w:rFonts w:ascii="仿宋" w:hAnsi="仿宋" w:eastAsia="仿宋" w:cs="仿宋"/>
          <w:sz w:val="32"/>
          <w:szCs w:val="32"/>
        </w:rPr>
      </w:pPr>
    </w:p>
    <w:p w14:paraId="70B31E70">
      <w:pPr>
        <w:rPr>
          <w:rFonts w:ascii="仿宋" w:hAnsi="仿宋" w:eastAsia="仿宋" w:cs="仿宋"/>
          <w:sz w:val="32"/>
          <w:szCs w:val="32"/>
        </w:rPr>
      </w:pPr>
    </w:p>
    <w:p w14:paraId="2CBC7BDC">
      <w:pPr>
        <w:rPr>
          <w:rFonts w:ascii="仿宋" w:hAnsi="仿宋" w:eastAsia="仿宋" w:cs="仿宋"/>
          <w:sz w:val="32"/>
          <w:szCs w:val="32"/>
        </w:rPr>
      </w:pPr>
    </w:p>
    <w:p w14:paraId="01D80EE2">
      <w:pPr>
        <w:jc w:val="center"/>
        <w:rPr>
          <w:rFonts w:ascii="仿宋" w:hAnsi="仿宋" w:eastAsia="仿宋" w:cs="仿宋"/>
          <w:sz w:val="32"/>
          <w:szCs w:val="32"/>
        </w:rPr>
      </w:pPr>
    </w:p>
    <w:p w14:paraId="394D6448">
      <w:pPr>
        <w:spacing w:line="600" w:lineRule="exact"/>
        <w:ind w:firstLine="1920" w:firstLineChars="600"/>
        <w:rPr>
          <w:rFonts w:ascii="仿宋" w:hAnsi="仿宋" w:eastAsia="仿宋" w:cs="仿宋"/>
          <w:sz w:val="32"/>
          <w:szCs w:val="32"/>
          <w:u w:val="single"/>
        </w:rPr>
      </w:pPr>
      <w:r>
        <w:rPr>
          <w:rFonts w:hint="eastAsia" w:ascii="仿宋" w:hAnsi="仿宋" w:eastAsia="仿宋" w:cs="仿宋"/>
          <w:sz w:val="32"/>
          <w:szCs w:val="32"/>
        </w:rPr>
        <w:t>单位名称：</w:t>
      </w:r>
      <w:r>
        <w:rPr>
          <w:rFonts w:hint="eastAsia" w:ascii="仿宋" w:hAnsi="仿宋" w:eastAsia="仿宋" w:cs="仿宋"/>
          <w:sz w:val="32"/>
          <w:szCs w:val="32"/>
          <w:u w:val="single"/>
        </w:rPr>
        <w:t>怀化市综合交通运输协调服务中心</w:t>
      </w:r>
    </w:p>
    <w:p w14:paraId="04EE6682">
      <w:pPr>
        <w:spacing w:line="600" w:lineRule="exact"/>
        <w:ind w:firstLine="2240" w:firstLineChars="700"/>
        <w:jc w:val="center"/>
        <w:rPr>
          <w:rFonts w:ascii="仿宋" w:hAnsi="仿宋" w:eastAsia="仿宋" w:cs="仿宋"/>
          <w:sz w:val="32"/>
          <w:szCs w:val="32"/>
        </w:rPr>
      </w:pPr>
      <w:r>
        <w:rPr>
          <w:rFonts w:hint="eastAsia" w:ascii="仿宋" w:hAnsi="仿宋" w:eastAsia="仿宋" w:cs="仿宋"/>
          <w:sz w:val="32"/>
          <w:szCs w:val="32"/>
        </w:rPr>
        <w:t>2025年06月20日</w:t>
      </w:r>
    </w:p>
    <w:p w14:paraId="2C53DC32">
      <w:pPr>
        <w:jc w:val="center"/>
        <w:rPr>
          <w:rFonts w:ascii="仿宋" w:hAnsi="仿宋" w:eastAsia="仿宋" w:cs="仿宋"/>
          <w:sz w:val="32"/>
          <w:szCs w:val="32"/>
        </w:rPr>
      </w:pPr>
    </w:p>
    <w:p w14:paraId="42F6CCC9">
      <w:pPr>
        <w:pStyle w:val="7"/>
        <w:widowControl/>
        <w:shd w:val="clear" w:color="auto" w:fill="FFFFFF"/>
        <w:spacing w:beforeAutospacing="0" w:afterAutospacing="0" w:line="480" w:lineRule="atLeast"/>
        <w:jc w:val="both"/>
        <w:rPr>
          <w:rFonts w:ascii="仿宋" w:hAnsi="仿宋" w:eastAsia="仿宋" w:cs="仿宋"/>
          <w:color w:val="000000"/>
          <w:sz w:val="32"/>
          <w:szCs w:val="32"/>
          <w:shd w:val="clear" w:color="auto" w:fill="FFFFFF"/>
        </w:rPr>
      </w:pPr>
      <w:r>
        <w:rPr>
          <w:rFonts w:hint="eastAsia" w:ascii="仿宋" w:hAnsi="仿宋" w:eastAsia="仿宋" w:cs="仿宋"/>
          <w:sz w:val="32"/>
          <w:szCs w:val="32"/>
        </w:rPr>
        <w:br w:type="page"/>
      </w:r>
    </w:p>
    <w:p w14:paraId="6664FD50">
      <w:pPr>
        <w:pStyle w:val="16"/>
        <w:jc w:val="center"/>
        <w:rPr>
          <w:rFonts w:ascii="黑体" w:eastAsia="黑体"/>
          <w:sz w:val="44"/>
          <w:szCs w:val="44"/>
        </w:rPr>
      </w:pPr>
      <w:r>
        <w:rPr>
          <w:rFonts w:hint="eastAsia" w:ascii="黑体" w:eastAsia="黑体"/>
          <w:sz w:val="44"/>
          <w:szCs w:val="44"/>
        </w:rPr>
        <w:t>怀化市综合交通运输协调服务中心</w:t>
      </w:r>
    </w:p>
    <w:p w14:paraId="6B406763">
      <w:pPr>
        <w:pStyle w:val="16"/>
        <w:jc w:val="center"/>
        <w:rPr>
          <w:rFonts w:ascii="黑体" w:eastAsia="黑体"/>
          <w:sz w:val="44"/>
          <w:szCs w:val="44"/>
        </w:rPr>
      </w:pPr>
      <w:r>
        <w:rPr>
          <w:rFonts w:hint="eastAsia" w:ascii="黑体" w:eastAsia="黑体"/>
          <w:sz w:val="44"/>
          <w:szCs w:val="44"/>
        </w:rPr>
        <w:t>专项资金绩效评价报告</w:t>
      </w:r>
    </w:p>
    <w:p w14:paraId="69F21EB8">
      <w:pPr>
        <w:pStyle w:val="16"/>
        <w:jc w:val="center"/>
        <w:rPr>
          <w:rFonts w:ascii="黑体" w:eastAsia="黑体"/>
          <w:sz w:val="44"/>
          <w:szCs w:val="44"/>
        </w:rPr>
      </w:pPr>
    </w:p>
    <w:p w14:paraId="55E3317D">
      <w:pPr>
        <w:pStyle w:val="16"/>
        <w:spacing w:line="360" w:lineRule="auto"/>
        <w:ind w:firstLine="643" w:firstLineChars="200"/>
        <w:rPr>
          <w:rFonts w:ascii="楷体" w:eastAsia="楷体"/>
          <w:b/>
          <w:sz w:val="32"/>
          <w:szCs w:val="32"/>
        </w:rPr>
      </w:pPr>
      <w:r>
        <w:rPr>
          <w:rFonts w:hint="eastAsia" w:ascii="楷体" w:eastAsia="楷体"/>
          <w:b/>
          <w:sz w:val="32"/>
          <w:szCs w:val="32"/>
        </w:rPr>
        <w:t>一、项目基本情况</w:t>
      </w:r>
    </w:p>
    <w:p w14:paraId="5FED5A51">
      <w:pPr>
        <w:pStyle w:val="16"/>
        <w:spacing w:line="360" w:lineRule="auto"/>
        <w:ind w:firstLine="643" w:firstLineChars="200"/>
        <w:rPr>
          <w:rFonts w:ascii="楷体" w:eastAsia="楷体"/>
          <w:b/>
          <w:sz w:val="32"/>
          <w:szCs w:val="32"/>
        </w:rPr>
      </w:pPr>
      <w:r>
        <w:rPr>
          <w:rFonts w:hint="eastAsia" w:ascii="楷体" w:eastAsia="楷体"/>
          <w:b/>
          <w:sz w:val="32"/>
          <w:szCs w:val="32"/>
        </w:rPr>
        <w:t>（一）项目概况</w:t>
      </w:r>
    </w:p>
    <w:p w14:paraId="43266649">
      <w:pPr>
        <w:pStyle w:val="16"/>
        <w:spacing w:line="360" w:lineRule="auto"/>
        <w:ind w:firstLine="640" w:firstLineChars="200"/>
        <w:rPr>
          <w:rFonts w:ascii="仿宋" w:eastAsia="仿宋"/>
          <w:sz w:val="32"/>
          <w:szCs w:val="32"/>
        </w:rPr>
      </w:pPr>
      <w:r>
        <w:rPr>
          <w:rFonts w:hint="eastAsia" w:ascii="仿宋" w:eastAsia="仿宋"/>
          <w:sz w:val="32"/>
          <w:szCs w:val="32"/>
        </w:rPr>
        <w:t>1、单位基本情况</w:t>
      </w:r>
    </w:p>
    <w:p w14:paraId="4139D727">
      <w:pPr>
        <w:spacing w:line="560" w:lineRule="exact"/>
        <w:ind w:firstLine="640" w:firstLineChars="200"/>
        <w:rPr>
          <w:rFonts w:ascii="仿宋" w:hAnsi="仿宋" w:eastAsia="仿宋" w:cs="Malgun Gothic Semilight"/>
          <w:sz w:val="32"/>
          <w:szCs w:val="32"/>
        </w:rPr>
      </w:pPr>
      <w:r>
        <w:rPr>
          <w:rFonts w:hint="eastAsia" w:ascii="仿宋" w:hAnsi="仿宋" w:eastAsia="仿宋" w:cs="宋体"/>
          <w:sz w:val="32"/>
          <w:szCs w:val="32"/>
        </w:rPr>
        <w:t>本单位为正科级单位</w:t>
      </w:r>
      <w:r>
        <w:rPr>
          <w:rFonts w:hint="eastAsia" w:ascii="仿宋" w:hAnsi="仿宋" w:eastAsia="仿宋" w:cs="Malgun Gothic Semilight"/>
          <w:sz w:val="32"/>
          <w:szCs w:val="32"/>
        </w:rPr>
        <w:t>。</w:t>
      </w:r>
      <w:r>
        <w:rPr>
          <w:rFonts w:hint="eastAsia" w:ascii="仿宋" w:hAnsi="仿宋" w:eastAsia="仿宋" w:cs="宋体"/>
          <w:sz w:val="32"/>
          <w:szCs w:val="32"/>
        </w:rPr>
        <w:t>现有全额拨款事业编制</w:t>
      </w:r>
      <w:r>
        <w:rPr>
          <w:rFonts w:hint="eastAsia" w:ascii="仿宋" w:hAnsi="仿宋" w:eastAsia="仿宋"/>
          <w:sz w:val="32"/>
          <w:szCs w:val="32"/>
        </w:rPr>
        <w:t>20</w:t>
      </w:r>
      <w:r>
        <w:rPr>
          <w:rFonts w:hint="eastAsia" w:ascii="仿宋" w:hAnsi="仿宋" w:eastAsia="仿宋" w:cs="宋体"/>
          <w:sz w:val="32"/>
          <w:szCs w:val="32"/>
        </w:rPr>
        <w:t>名</w:t>
      </w:r>
      <w:r>
        <w:rPr>
          <w:rFonts w:hint="eastAsia" w:ascii="仿宋" w:hAnsi="仿宋" w:eastAsia="仿宋" w:cs="Malgun Gothic Semilight"/>
          <w:sz w:val="32"/>
          <w:szCs w:val="32"/>
        </w:rPr>
        <w:t>，</w:t>
      </w:r>
      <w:r>
        <w:rPr>
          <w:rFonts w:hint="eastAsia" w:ascii="仿宋" w:hAnsi="仿宋" w:eastAsia="仿宋"/>
          <w:sz w:val="32"/>
          <w:szCs w:val="32"/>
        </w:rPr>
        <w:t>2024</w:t>
      </w:r>
      <w:r>
        <w:rPr>
          <w:rFonts w:hint="eastAsia" w:ascii="仿宋" w:hAnsi="仿宋" w:eastAsia="仿宋" w:cs="宋体"/>
          <w:sz w:val="32"/>
          <w:szCs w:val="32"/>
        </w:rPr>
        <w:t>年末实有在职职工</w:t>
      </w:r>
      <w:r>
        <w:rPr>
          <w:rFonts w:hint="eastAsia" w:ascii="仿宋" w:hAnsi="仿宋" w:eastAsia="仿宋"/>
          <w:sz w:val="32"/>
          <w:szCs w:val="32"/>
        </w:rPr>
        <w:t>20</w:t>
      </w:r>
      <w:r>
        <w:rPr>
          <w:rFonts w:hint="eastAsia" w:ascii="仿宋" w:hAnsi="仿宋" w:eastAsia="仿宋" w:cs="宋体"/>
          <w:sz w:val="32"/>
          <w:szCs w:val="32"/>
        </w:rPr>
        <w:t>人</w:t>
      </w:r>
      <w:r>
        <w:rPr>
          <w:rFonts w:hint="eastAsia" w:ascii="仿宋" w:hAnsi="仿宋" w:eastAsia="仿宋" w:cs="Malgun Gothic Semilight"/>
          <w:sz w:val="32"/>
          <w:szCs w:val="32"/>
        </w:rPr>
        <w:t>。</w:t>
      </w:r>
    </w:p>
    <w:p w14:paraId="6A4937E7">
      <w:pPr>
        <w:pStyle w:val="16"/>
        <w:spacing w:line="360" w:lineRule="auto"/>
        <w:ind w:firstLine="640" w:firstLineChars="200"/>
        <w:rPr>
          <w:rFonts w:ascii="仿宋" w:eastAsia="仿宋"/>
          <w:sz w:val="32"/>
          <w:szCs w:val="32"/>
        </w:rPr>
      </w:pPr>
      <w:r>
        <w:rPr>
          <w:rFonts w:hint="eastAsia" w:ascii="仿宋" w:hAnsi="仿宋" w:eastAsia="仿宋" w:cs="宋体"/>
          <w:sz w:val="32"/>
          <w:szCs w:val="32"/>
        </w:rPr>
        <w:t>单位的主要职责为：负责全市公路、铁路、航空、邮政综合协调；参与全市综合交通运输发展规划和政策拟定，指导县市区做好综合交通运输协调和服务工作，协调航空、铁路、高速公路、邮政物流及地方政府的相关工作。</w:t>
      </w:r>
    </w:p>
    <w:p w14:paraId="2256F139">
      <w:pPr>
        <w:pStyle w:val="16"/>
        <w:numPr>
          <w:ilvl w:val="0"/>
          <w:numId w:val="1"/>
        </w:numPr>
        <w:spacing w:line="360" w:lineRule="auto"/>
        <w:ind w:firstLine="640" w:firstLineChars="200"/>
        <w:rPr>
          <w:rFonts w:ascii="仿宋" w:eastAsia="仿宋"/>
          <w:sz w:val="32"/>
          <w:szCs w:val="32"/>
        </w:rPr>
      </w:pPr>
      <w:r>
        <w:rPr>
          <w:rFonts w:hint="eastAsia" w:ascii="仿宋" w:eastAsia="仿宋"/>
          <w:sz w:val="32"/>
          <w:szCs w:val="32"/>
        </w:rPr>
        <w:t>项目的实施依据</w:t>
      </w:r>
    </w:p>
    <w:p w14:paraId="45C13ADF">
      <w:pPr>
        <w:pStyle w:val="16"/>
        <w:spacing w:line="360" w:lineRule="auto"/>
        <w:ind w:firstLine="640" w:firstLineChars="200"/>
        <w:rPr>
          <w:rFonts w:ascii="仿宋" w:hAnsi="仿宋" w:eastAsia="仿宋" w:cs="仿宋"/>
          <w:sz w:val="32"/>
          <w:szCs w:val="32"/>
        </w:rPr>
      </w:pPr>
      <w:r>
        <w:rPr>
          <w:rFonts w:hint="eastAsia" w:ascii="仿宋" w:hAnsi="仿宋" w:eastAsia="仿宋" w:cs="宋体"/>
          <w:sz w:val="32"/>
          <w:szCs w:val="32"/>
        </w:rPr>
        <w:t>（1）铁路安全环境整治专项业务费：根据</w:t>
      </w:r>
      <w:r>
        <w:rPr>
          <w:rFonts w:eastAsia="仿宋_GB2312"/>
          <w:sz w:val="32"/>
          <w:szCs w:val="32"/>
        </w:rPr>
        <w:t>湘</w:t>
      </w:r>
      <w:r>
        <w:rPr>
          <w:rFonts w:hint="eastAsia" w:eastAsia="仿宋_GB2312"/>
          <w:sz w:val="32"/>
          <w:szCs w:val="32"/>
        </w:rPr>
        <w:t>铁整治</w:t>
      </w:r>
      <w:r>
        <w:rPr>
          <w:rFonts w:hint="eastAsia" w:ascii="仿宋" w:hAnsi="仿宋" w:eastAsia="仿宋" w:cs="仿宋"/>
          <w:sz w:val="32"/>
          <w:szCs w:val="32"/>
        </w:rPr>
        <w:t>﹝2020﹞2号</w:t>
      </w:r>
      <w:r>
        <w:rPr>
          <w:rFonts w:hint="eastAsia" w:ascii="仿宋" w:eastAsia="仿宋"/>
          <w:sz w:val="32"/>
          <w:szCs w:val="32"/>
        </w:rPr>
        <w:t>《关于湖南省铁路安全环境综合整治“双段长”责任制的实施意见（第8页落实经费保障）的通知》</w:t>
      </w:r>
      <w:r>
        <w:rPr>
          <w:rFonts w:hint="eastAsia" w:ascii="仿宋" w:hAnsi="仿宋" w:eastAsia="仿宋" w:cs="仿宋"/>
          <w:sz w:val="32"/>
          <w:szCs w:val="32"/>
        </w:rPr>
        <w:t>；</w:t>
      </w:r>
      <w:r>
        <w:rPr>
          <w:rFonts w:eastAsia="仿宋_GB2312"/>
          <w:sz w:val="32"/>
          <w:szCs w:val="32"/>
        </w:rPr>
        <w:t>湘</w:t>
      </w:r>
      <w:r>
        <w:rPr>
          <w:rFonts w:hint="eastAsia" w:eastAsia="仿宋_GB2312"/>
          <w:sz w:val="32"/>
          <w:szCs w:val="32"/>
        </w:rPr>
        <w:t>铁治理</w:t>
      </w:r>
      <w:r>
        <w:rPr>
          <w:rFonts w:hint="eastAsia" w:ascii="仿宋" w:hAnsi="仿宋" w:eastAsia="仿宋" w:cs="仿宋"/>
          <w:sz w:val="32"/>
          <w:szCs w:val="32"/>
        </w:rPr>
        <w:t>﹝2023﹞1号</w:t>
      </w:r>
      <w:r>
        <w:rPr>
          <w:rFonts w:hint="eastAsia" w:ascii="仿宋" w:eastAsia="仿宋"/>
          <w:sz w:val="32"/>
          <w:szCs w:val="32"/>
        </w:rPr>
        <w:t>《湖南省铁路安全环境治理协调小组关于印发湖南省铁路沿线环境综合整治三年行动方案的通知》；</w:t>
      </w:r>
      <w:r>
        <w:rPr>
          <w:rFonts w:hint="eastAsia" w:eastAsia="仿宋_GB2312"/>
          <w:sz w:val="32"/>
          <w:szCs w:val="32"/>
        </w:rPr>
        <w:t>怀铁整治</w:t>
      </w:r>
      <w:r>
        <w:rPr>
          <w:rFonts w:hint="eastAsia" w:ascii="仿宋" w:hAnsi="仿宋" w:eastAsia="仿宋" w:cs="仿宋"/>
          <w:sz w:val="32"/>
          <w:szCs w:val="32"/>
        </w:rPr>
        <w:t>﹝2023﹞01号</w:t>
      </w:r>
      <w:r>
        <w:rPr>
          <w:rFonts w:hint="eastAsia" w:ascii="仿宋" w:eastAsia="仿宋"/>
          <w:sz w:val="32"/>
          <w:szCs w:val="32"/>
        </w:rPr>
        <w:t>《怀化市铁路安全环境整治领导小组关于印发怀化市铁路沿线环境综合整治三年行动方案的通知》。</w:t>
      </w:r>
    </w:p>
    <w:p w14:paraId="68B65415">
      <w:pPr>
        <w:pStyle w:val="16"/>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（2）芷江机场航线开发培育专项业务费专项业务费：根据怀化市人民政府常务会议纪要。</w:t>
      </w:r>
    </w:p>
    <w:p w14:paraId="7F959510">
      <w:pPr>
        <w:pStyle w:val="16"/>
        <w:ind w:firstLine="640" w:firstLineChars="200"/>
        <w:rPr>
          <w:rFonts w:ascii="仿宋" w:eastAsia="仿宋"/>
          <w:sz w:val="32"/>
          <w:szCs w:val="32"/>
        </w:rPr>
      </w:pPr>
      <w:r>
        <w:rPr>
          <w:rFonts w:hint="eastAsia" w:ascii="仿宋" w:eastAsia="仿宋"/>
          <w:sz w:val="32"/>
          <w:szCs w:val="32"/>
        </w:rPr>
        <w:t>3、项目基本性质、用途和主要内容、涉及范围</w:t>
      </w:r>
    </w:p>
    <w:p w14:paraId="63E428BA">
      <w:pPr>
        <w:pStyle w:val="16"/>
        <w:ind w:firstLine="960" w:firstLineChars="300"/>
        <w:rPr>
          <w:rFonts w:ascii="仿宋" w:hAnsi="仿宋" w:eastAsia="仿宋" w:cs="宋体"/>
          <w:sz w:val="32"/>
          <w:szCs w:val="32"/>
        </w:rPr>
      </w:pPr>
      <w:r>
        <w:rPr>
          <w:rFonts w:hint="eastAsia" w:ascii="仿宋" w:hAnsi="仿宋" w:eastAsia="仿宋" w:cs="宋体"/>
          <w:sz w:val="32"/>
          <w:szCs w:val="32"/>
        </w:rPr>
        <w:t>铁路安全环境整治专项业务费：持续开展铁路沿线安全环境常态化宣传和隐患排查治理工作，推进地方政府与铁路运输企业联防联控工作机制，遏制铁路路外事故，营造铁路安全良好的外部环境；组织实施“双段长”各项工作，推进铁路沿线环境综合整治，打造铁路沿线“安、畅、绿、美”的风景线。</w:t>
      </w:r>
    </w:p>
    <w:p w14:paraId="784ADEE1">
      <w:pPr>
        <w:spacing w:line="600" w:lineRule="exact"/>
        <w:ind w:firstLine="640" w:firstLineChars="200"/>
        <w:rPr>
          <w:rFonts w:ascii="楷体" w:hAnsi="楷体" w:eastAsia="楷体" w:cs="Times New Roman"/>
          <w:b/>
          <w:sz w:val="32"/>
          <w:szCs w:val="32"/>
        </w:rPr>
      </w:pPr>
      <w:r>
        <w:rPr>
          <w:rFonts w:hint="eastAsia" w:ascii="仿宋" w:hAnsi="仿宋" w:eastAsia="仿宋" w:cs="宋体"/>
          <w:sz w:val="32"/>
          <w:szCs w:val="32"/>
        </w:rPr>
        <w:t>芷江机场航线开发培育专项业务费专项业务费：</w:t>
      </w:r>
      <w:r>
        <w:rPr>
          <w:rFonts w:hint="eastAsia" w:cs="Times New Roman" w:asciiTheme="minorEastAsia" w:hAnsiTheme="minorEastAsia"/>
          <w:bCs/>
          <w:sz w:val="32"/>
          <w:szCs w:val="32"/>
        </w:rPr>
        <w:t>一是</w:t>
      </w:r>
      <w:r>
        <w:rPr>
          <w:rFonts w:hint="eastAsia" w:ascii="仿宋_GB2312" w:hAnsi="Calibri" w:eastAsia="仿宋_GB2312" w:cs="Times New Roman"/>
          <w:bCs/>
          <w:sz w:val="32"/>
          <w:szCs w:val="32"/>
        </w:rPr>
        <w:t>保存</w:t>
      </w:r>
      <w:r>
        <w:rPr>
          <w:rFonts w:hint="eastAsia" w:ascii="仿宋_GB2312" w:hAnsi="Calibri" w:eastAsia="仿宋_GB2312" w:cs="Times New Roman"/>
          <w:sz w:val="32"/>
          <w:szCs w:val="32"/>
        </w:rPr>
        <w:t>量，着力稳定正常执飞的6条航线。其次促增量，积极对接“昆明＝怀化＝南京”航线，立争春运前首飞，同时，加强沟通对接工作。</w:t>
      </w:r>
      <w:r>
        <w:rPr>
          <w:rFonts w:hint="eastAsia" w:cs="Times New Roman" w:asciiTheme="minorEastAsia" w:hAnsiTheme="minorEastAsia"/>
          <w:bCs/>
          <w:sz w:val="32"/>
          <w:szCs w:val="32"/>
        </w:rPr>
        <w:t>二是</w:t>
      </w:r>
      <w:r>
        <w:rPr>
          <w:rFonts w:hint="eastAsia" w:ascii="仿宋_GB2312" w:hAnsi="Calibri" w:eastAsia="仿宋_GB2312" w:cs="Times New Roman"/>
          <w:sz w:val="32"/>
          <w:szCs w:val="32"/>
        </w:rPr>
        <w:t>牵头组织市财政局、市司法局、芷江机场等部门，主动作为，进一步强化与相关航司的有效沟通衔接，或加强与航空公司招商洽谈。继续稳固、持续优化</w:t>
      </w:r>
      <w:r>
        <w:rPr>
          <w:rFonts w:hint="eastAsia" w:ascii="仿宋" w:hAnsi="仿宋" w:eastAsia="仿宋" w:cs="Times New Roman"/>
          <w:sz w:val="32"/>
          <w:szCs w:val="32"/>
        </w:rPr>
        <w:t>既有航线网络布局，创造条件，尽力优化既有航班的时刻资源，不断改善航班航线上座率，努力提升财政补贴资金使用效益。</w:t>
      </w:r>
      <w:r>
        <w:rPr>
          <w:rFonts w:hint="eastAsia" w:cs="Times New Roman" w:asciiTheme="minorEastAsia" w:hAnsiTheme="minorEastAsia"/>
          <w:bCs/>
          <w:sz w:val="32"/>
          <w:szCs w:val="32"/>
        </w:rPr>
        <w:t>三是</w:t>
      </w:r>
      <w:r>
        <w:rPr>
          <w:rFonts w:hint="eastAsia" w:ascii="仿宋" w:hAnsi="仿宋" w:eastAsia="仿宋" w:cs="Times New Roman"/>
          <w:bCs/>
          <w:sz w:val="32"/>
          <w:szCs w:val="32"/>
        </w:rPr>
        <w:t>加</w:t>
      </w:r>
      <w:r>
        <w:rPr>
          <w:rFonts w:hint="eastAsia" w:ascii="仿宋" w:hAnsi="仿宋" w:eastAsia="仿宋" w:cs="Times New Roman"/>
          <w:sz w:val="32"/>
          <w:szCs w:val="32"/>
        </w:rPr>
        <w:t>强宣传，扩大影响，全力提高航线信息知晓率，为进一步夯实怀化全国性综合交通枢纽城市地位提供民航支撑，有效助力“五新四城”战略和怀化的国际陆港建设。</w:t>
      </w:r>
    </w:p>
    <w:p w14:paraId="66E7FA88">
      <w:pPr>
        <w:pStyle w:val="16"/>
        <w:spacing w:line="360" w:lineRule="auto"/>
        <w:ind w:firstLine="643" w:firstLineChars="200"/>
        <w:rPr>
          <w:rFonts w:ascii="楷体" w:eastAsia="楷体"/>
          <w:b/>
          <w:sz w:val="32"/>
          <w:szCs w:val="32"/>
        </w:rPr>
      </w:pPr>
      <w:r>
        <w:rPr>
          <w:rFonts w:hint="eastAsia" w:ascii="楷体" w:eastAsia="楷体"/>
          <w:b/>
          <w:sz w:val="32"/>
          <w:szCs w:val="32"/>
        </w:rPr>
        <w:t>（二）项目绩效目标</w:t>
      </w:r>
    </w:p>
    <w:p w14:paraId="35DB80A7">
      <w:pPr>
        <w:pStyle w:val="16"/>
        <w:spacing w:line="360" w:lineRule="auto"/>
        <w:ind w:firstLine="640" w:firstLineChars="200"/>
        <w:rPr>
          <w:rFonts w:ascii="仿宋" w:eastAsia="仿宋"/>
          <w:sz w:val="32"/>
          <w:szCs w:val="32"/>
        </w:rPr>
      </w:pPr>
      <w:r>
        <w:rPr>
          <w:rFonts w:hint="eastAsia" w:ascii="仿宋" w:eastAsia="仿宋"/>
          <w:sz w:val="32"/>
          <w:szCs w:val="32"/>
        </w:rPr>
        <w:t>1、项目绩效总目标和阶段性目标</w:t>
      </w:r>
    </w:p>
    <w:p w14:paraId="49C00612">
      <w:pPr>
        <w:pStyle w:val="16"/>
        <w:spacing w:line="360" w:lineRule="auto"/>
        <w:ind w:firstLine="640" w:firstLineChars="200"/>
        <w:rPr>
          <w:rFonts w:ascii="仿宋" w:eastAsia="仿宋"/>
          <w:sz w:val="32"/>
          <w:szCs w:val="32"/>
        </w:rPr>
      </w:pPr>
      <w:r>
        <w:rPr>
          <w:rFonts w:hint="eastAsia" w:ascii="仿宋" w:eastAsia="仿宋"/>
          <w:sz w:val="32"/>
          <w:szCs w:val="32"/>
        </w:rPr>
        <w:t>（1）年度总目标：按照上级工作部署，完成铁路专用线、口岸建设等方面的协调沟通工作。全面牵头整治我市国家铁路，铁路专用线沿线安全隐患问题，严厉打击和整治危害铁路安全的违法违规行为，建立健全铁路沿线安全隐患整治长效机制，确保铁路运营安全和人民群众生命财产安全。加强对航线航班的开发培育，开展航线航班的宣传工作,努力提升市民对航空的知晓度，完成对航线补贴的审核工作。协调交通部门与高速公路的工作沟通，共同解决高速公路在管理中存在的问题。</w:t>
      </w:r>
    </w:p>
    <w:p w14:paraId="6443EB7C">
      <w:pPr>
        <w:pStyle w:val="16"/>
        <w:spacing w:line="360" w:lineRule="auto"/>
        <w:ind w:firstLine="640" w:firstLineChars="200"/>
        <w:rPr>
          <w:rFonts w:ascii="仿宋" w:eastAsia="仿宋"/>
          <w:sz w:val="32"/>
          <w:szCs w:val="32"/>
        </w:rPr>
      </w:pPr>
      <w:r>
        <w:rPr>
          <w:rFonts w:hint="eastAsia" w:ascii="仿宋" w:eastAsia="仿宋"/>
          <w:sz w:val="32"/>
          <w:szCs w:val="32"/>
        </w:rPr>
        <w:t>（2）阶段性目标</w:t>
      </w:r>
    </w:p>
    <w:p w14:paraId="609A98C6">
      <w:pPr>
        <w:spacing w:line="600" w:lineRule="exact"/>
        <w:ind w:firstLine="672" w:firstLineChars="200"/>
        <w:rPr>
          <w:rFonts w:ascii="仿宋" w:hAnsi="仿宋" w:eastAsia="仿宋" w:cs="Times New Roman"/>
          <w:spacing w:val="8"/>
          <w:sz w:val="32"/>
          <w:szCs w:val="32"/>
          <w:shd w:val="clear" w:color="auto" w:fill="FFFFFF"/>
        </w:rPr>
      </w:pPr>
      <w:r>
        <w:rPr>
          <w:rFonts w:hint="eastAsia" w:ascii="仿宋" w:hAnsi="仿宋" w:eastAsia="仿宋" w:cs="Times New Roman"/>
          <w:spacing w:val="8"/>
          <w:sz w:val="32"/>
          <w:szCs w:val="32"/>
          <w:shd w:val="clear" w:color="auto" w:fill="FFFFFF"/>
        </w:rPr>
        <w:t>自“新三年行动”开展以来，我中心继续以最高站位、最强力量、最严标准推进综合整治工作。制定了《怀化市2024年铁路沿线安全及环境综合整治工作要点》，及时召开全市“双段长”联席会议。今年以来，协调联动相关部门召开推进会、协调会9次，市领导现场调研督导7次，解决难点、堵点问题21个。在市交通运输局的筹领导下，深入现场，高频调度，督办协调，全力推进铁路安全整治和示范点创建。围绕路外安全“人不进去”的目标，积极开展铁路安全法规“五进”宣传，着力提高群众安全意识，筑牢铁路安全第一道防线。全年累计开展铁路安全相关知识“五进”宣传活动40余场次，受益群众20万余人。组织百余名路地“二级段长”进行业务集中培训，有效提升了安全隐患的快查快处和源头管控水平。与铁路部门实行联席周例会制度，遇到重大问题，随时召开碰头会、商讨会和推进会，及时会商，协调解决问题。同时，通过联合办公，联动协调，深度融合三级段长与铁路护路联防组织,确保“双段长”制落到实处。</w:t>
      </w:r>
    </w:p>
    <w:p w14:paraId="18201DB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为有效提升航线开发工作效率，进一步优化芷江机场航线网络布局，不断</w:t>
      </w:r>
      <w:r>
        <w:rPr>
          <w:rFonts w:hint="eastAsia" w:ascii="仿宋" w:hAnsi="仿宋" w:eastAsia="仿宋" w:cs="Times New Roman"/>
          <w:spacing w:val="8"/>
          <w:sz w:val="32"/>
          <w:szCs w:val="32"/>
          <w:shd w:val="clear" w:color="auto" w:fill="FFFFFF"/>
        </w:rPr>
        <w:t>创新工作方式方法。今年打破原我市航线补贴项目耗时长、航司响应少的招采机制，通过借鉴国内同类支线机场航线开发培育经验，采取对航司邀约磋商，成员单位集体会商，综合评估后，报市政府常务会研究确定等方式，成功合作南方航空等航司，今年来，芷江机场累计运营9条航线，正常执飞6条航线，通达北京、深圳、南京、西安等11个城市，累计支付财政补助10050万元，预计年旅客吞吐量44万人次，比上年增加7.1万人次，为进一步夯实我市全国性综合交通枢纽地位提供了有力的民航支撑</w:t>
      </w:r>
      <w:r>
        <w:rPr>
          <w:rFonts w:hint="eastAsia" w:ascii="仿宋" w:hAnsi="仿宋" w:eastAsia="仿宋" w:cs="仿宋"/>
          <w:sz w:val="32"/>
          <w:szCs w:val="32"/>
        </w:rPr>
        <w:t>。</w:t>
      </w:r>
    </w:p>
    <w:p w14:paraId="5CC8008C">
      <w:pPr>
        <w:pStyle w:val="3"/>
        <w:ind w:firstLine="313" w:firstLineChars="98"/>
        <w:rPr>
          <w:rFonts w:ascii="仿宋" w:hAnsi="仿宋" w:eastAsia="仿宋"/>
          <w:b w:val="0"/>
          <w:sz w:val="32"/>
          <w:szCs w:val="32"/>
        </w:rPr>
      </w:pPr>
      <w:r>
        <w:rPr>
          <w:rFonts w:hint="eastAsia" w:ascii="仿宋" w:hAnsi="仿宋" w:eastAsia="仿宋"/>
          <w:b w:val="0"/>
          <w:sz w:val="32"/>
          <w:szCs w:val="32"/>
        </w:rPr>
        <w:t>铁路沿线安全环境综合整治奖励工作，着力提升铁路沿线安全运营环境，2023年在全省铁路沿线环境综合整治调度推进电视电话会议上，怀化作为市州唯一代表作典型经验介绍；在全省率先完成了第一、二批共913处隐患任务的整治销号；高效完成了省整治办督办的高铁南站环境问题整治；首创辖区铁路路外伤亡事故创“0”佳绩；全市在国家及省级报刊、媒体平台发表经验推介宣传报道达55篇等……</w:t>
      </w:r>
    </w:p>
    <w:p w14:paraId="1B30627F">
      <w:pPr>
        <w:pStyle w:val="3"/>
        <w:ind w:firstLine="315" w:firstLineChars="98"/>
        <w:rPr>
          <w:rFonts w:ascii="仿宋" w:hAnsi="仿宋" w:eastAsia="仿宋"/>
          <w:b w:val="0"/>
          <w:sz w:val="32"/>
          <w:szCs w:val="32"/>
        </w:rPr>
      </w:pPr>
      <w:r>
        <w:rPr>
          <w:rFonts w:hint="eastAsia" w:ascii="仿宋" w:eastAsia="仿宋"/>
          <w:sz w:val="32"/>
          <w:szCs w:val="32"/>
        </w:rPr>
        <w:t>2、预期主要的生态、社会和经济效益</w:t>
      </w:r>
    </w:p>
    <w:p w14:paraId="56F5DE3B">
      <w:pPr>
        <w:pStyle w:val="16"/>
        <w:ind w:firstLine="480" w:firstLineChars="150"/>
        <w:rPr>
          <w:rFonts w:ascii="仿宋" w:eastAsia="仿宋"/>
          <w:sz w:val="32"/>
          <w:szCs w:val="32"/>
        </w:rPr>
      </w:pPr>
      <w:r>
        <w:rPr>
          <w:rFonts w:hint="eastAsia" w:ascii="仿宋" w:hAnsi="仿宋" w:eastAsia="仿宋"/>
          <w:sz w:val="32"/>
          <w:szCs w:val="32"/>
        </w:rPr>
        <w:t>坚持以习近平新时代中国特色社会主义思想为指导，深入学习贯彻党的二十大精神，全面落实局党组工作部署，以“真抓实干督查激励”为抓手，锚定“争先保优”目标，凝心聚力，真抓实干。圆满完成各项工作目标任务，进一步提升和夯实我市全国性综合交通枢纽地位，保障人民的生命财产安全，大力提高群众的满意度。</w:t>
      </w:r>
    </w:p>
    <w:p w14:paraId="5003246B">
      <w:pPr>
        <w:pStyle w:val="16"/>
        <w:spacing w:line="360" w:lineRule="auto"/>
        <w:ind w:firstLine="643" w:firstLineChars="200"/>
        <w:rPr>
          <w:rFonts w:ascii="楷体" w:eastAsia="楷体"/>
          <w:b/>
          <w:sz w:val="32"/>
          <w:szCs w:val="32"/>
        </w:rPr>
      </w:pPr>
      <w:r>
        <w:rPr>
          <w:rFonts w:hint="eastAsia" w:ascii="楷体" w:eastAsia="楷体"/>
          <w:b/>
          <w:sz w:val="32"/>
          <w:szCs w:val="32"/>
        </w:rPr>
        <w:t>二、绩效评价工作情况</w:t>
      </w:r>
    </w:p>
    <w:p w14:paraId="3399365C">
      <w:pPr>
        <w:pStyle w:val="16"/>
        <w:spacing w:line="360" w:lineRule="auto"/>
        <w:ind w:firstLine="640" w:firstLineChars="200"/>
        <w:rPr>
          <w:rFonts w:ascii="仿宋" w:eastAsia="仿宋"/>
          <w:sz w:val="32"/>
          <w:szCs w:val="32"/>
        </w:rPr>
      </w:pPr>
      <w:r>
        <w:rPr>
          <w:rFonts w:hint="eastAsia" w:ascii="仿宋" w:eastAsia="仿宋"/>
          <w:sz w:val="32"/>
          <w:szCs w:val="32"/>
        </w:rPr>
        <w:t>绩效评价工作过程：前期准备、组织实施、分析评价</w:t>
      </w:r>
    </w:p>
    <w:p w14:paraId="6A52F596">
      <w:pPr>
        <w:pStyle w:val="16"/>
        <w:spacing w:line="360" w:lineRule="auto"/>
        <w:ind w:firstLine="640" w:firstLineChars="200"/>
        <w:rPr>
          <w:rFonts w:ascii="仿宋" w:eastAsia="仿宋"/>
          <w:sz w:val="32"/>
          <w:szCs w:val="32"/>
        </w:rPr>
      </w:pPr>
      <w:r>
        <w:rPr>
          <w:rFonts w:hint="eastAsia" w:ascii="仿宋" w:eastAsia="仿宋"/>
          <w:sz w:val="32"/>
          <w:szCs w:val="32"/>
        </w:rPr>
        <w:t>前期准备工作：根据财政局文件要求，及上级工作部署，我中心组织部门负责人学习相关内容。</w:t>
      </w:r>
    </w:p>
    <w:p w14:paraId="4EB2F2A7">
      <w:pPr>
        <w:pStyle w:val="16"/>
        <w:spacing w:line="360" w:lineRule="auto"/>
        <w:ind w:firstLine="640" w:firstLineChars="200"/>
        <w:rPr>
          <w:rFonts w:ascii="仿宋" w:eastAsia="仿宋"/>
          <w:sz w:val="32"/>
          <w:szCs w:val="32"/>
        </w:rPr>
      </w:pPr>
      <w:r>
        <w:rPr>
          <w:rFonts w:hint="eastAsia" w:ascii="仿宋" w:eastAsia="仿宋"/>
          <w:sz w:val="32"/>
          <w:szCs w:val="32"/>
        </w:rPr>
        <w:t>组织实施：组织相关人员，认真总结项目工作的开展情况，根据分工和工作内容及预算情况，收集佐证材料，确保绩效评价工作的真实客观，有据可依。</w:t>
      </w:r>
    </w:p>
    <w:p w14:paraId="4C259521">
      <w:pPr>
        <w:pStyle w:val="16"/>
        <w:spacing w:line="360" w:lineRule="auto"/>
        <w:rPr>
          <w:rFonts w:ascii="仿宋" w:eastAsia="仿宋"/>
          <w:sz w:val="32"/>
          <w:szCs w:val="32"/>
        </w:rPr>
      </w:pPr>
      <w:r>
        <w:rPr>
          <w:rFonts w:hint="eastAsia" w:ascii="仿宋" w:eastAsia="仿宋"/>
          <w:sz w:val="32"/>
          <w:szCs w:val="32"/>
        </w:rPr>
        <w:t xml:space="preserve">   分析评价：根据市财政局安排的预算项目资金，按部门职责、分工明确严格实行支出审核，确保资金支出合理、合法、合规，专款专用，资金使用效益良好。</w:t>
      </w:r>
    </w:p>
    <w:p w14:paraId="65B71EA6">
      <w:pPr>
        <w:pStyle w:val="16"/>
        <w:spacing w:line="360" w:lineRule="auto"/>
        <w:ind w:firstLine="643" w:firstLineChars="200"/>
        <w:rPr>
          <w:rFonts w:ascii="楷体" w:eastAsia="楷体"/>
          <w:b/>
          <w:sz w:val="32"/>
          <w:szCs w:val="32"/>
        </w:rPr>
      </w:pPr>
      <w:r>
        <w:rPr>
          <w:rFonts w:hint="eastAsia" w:ascii="楷体" w:eastAsia="楷体"/>
          <w:b/>
          <w:sz w:val="32"/>
          <w:szCs w:val="32"/>
        </w:rPr>
        <w:t>三、绩效评价指标分析情况</w:t>
      </w:r>
    </w:p>
    <w:p w14:paraId="3D7D1A25">
      <w:pPr>
        <w:pStyle w:val="16"/>
        <w:spacing w:line="360" w:lineRule="auto"/>
        <w:ind w:firstLine="643" w:firstLineChars="200"/>
        <w:rPr>
          <w:rFonts w:ascii="楷体" w:eastAsia="楷体"/>
          <w:b/>
          <w:sz w:val="32"/>
          <w:szCs w:val="32"/>
        </w:rPr>
      </w:pPr>
      <w:r>
        <w:rPr>
          <w:rFonts w:hint="eastAsia" w:ascii="楷体" w:eastAsia="楷体"/>
          <w:b/>
          <w:sz w:val="32"/>
          <w:szCs w:val="32"/>
        </w:rPr>
        <w:t>（一）项目资金情况分析</w:t>
      </w:r>
    </w:p>
    <w:p w14:paraId="4225B6E0">
      <w:pPr>
        <w:pStyle w:val="16"/>
        <w:spacing w:line="360" w:lineRule="auto"/>
        <w:ind w:firstLine="640" w:firstLineChars="200"/>
        <w:rPr>
          <w:rFonts w:ascii="仿宋" w:eastAsia="仿宋"/>
          <w:sz w:val="32"/>
          <w:szCs w:val="32"/>
        </w:rPr>
      </w:pPr>
      <w:r>
        <w:rPr>
          <w:rFonts w:hint="eastAsia" w:ascii="仿宋" w:eastAsia="仿宋"/>
          <w:sz w:val="32"/>
          <w:szCs w:val="32"/>
        </w:rPr>
        <w:t>1、项目资金到位情况分析</w:t>
      </w:r>
    </w:p>
    <w:p w14:paraId="287BC6D0">
      <w:pPr>
        <w:ind w:firstLine="632" w:firstLineChars="200"/>
        <w:rPr>
          <w:rFonts w:ascii="仿宋" w:hAnsi="仿宋" w:eastAsia="仿宋"/>
          <w:sz w:val="32"/>
          <w:szCs w:val="32"/>
        </w:rPr>
      </w:pPr>
      <w:r>
        <w:rPr>
          <w:rFonts w:hint="eastAsia" w:ascii="仿宋" w:hAnsi="仿宋" w:eastAsia="仿宋"/>
          <w:spacing w:val="-2"/>
          <w:sz w:val="32"/>
          <w:szCs w:val="32"/>
        </w:rPr>
        <w:t>2024年专项预算收入41.00万元，总支出41.00万元，主要用于</w:t>
      </w:r>
      <w:r>
        <w:rPr>
          <w:rFonts w:hint="eastAsia" w:ascii="仿宋" w:hAnsi="仿宋" w:eastAsia="仿宋" w:cs="宋体"/>
          <w:sz w:val="32"/>
          <w:szCs w:val="32"/>
        </w:rPr>
        <w:t>铁路安全环境整治专项业务费27.00万元，芷江机场航线开发培育专项业务费专项业务费10.00万元，</w:t>
      </w:r>
      <w:r>
        <w:rPr>
          <w:rFonts w:hint="eastAsia" w:ascii="仿宋" w:hAnsi="仿宋" w:eastAsia="仿宋"/>
          <w:b/>
          <w:bCs/>
          <w:sz w:val="32"/>
          <w:szCs w:val="32"/>
        </w:rPr>
        <w:t>铁路沿线安全环境综合整治真抓实干</w:t>
      </w:r>
      <w:r>
        <w:rPr>
          <w:rFonts w:hint="eastAsia" w:ascii="仿宋" w:hAnsi="仿宋" w:eastAsia="仿宋"/>
          <w:b/>
          <w:sz w:val="32"/>
          <w:szCs w:val="32"/>
        </w:rPr>
        <w:t>奖励工作经费4.00万元</w:t>
      </w:r>
      <w:r>
        <w:rPr>
          <w:rFonts w:hint="eastAsia" w:ascii="仿宋" w:hAnsi="仿宋" w:eastAsia="仿宋"/>
          <w:sz w:val="32"/>
          <w:szCs w:val="32"/>
        </w:rPr>
        <w:t>。</w:t>
      </w:r>
    </w:p>
    <w:p w14:paraId="2652BB12">
      <w:pPr>
        <w:pStyle w:val="16"/>
        <w:spacing w:line="360" w:lineRule="auto"/>
        <w:ind w:firstLine="640" w:firstLineChars="200"/>
        <w:rPr>
          <w:rFonts w:ascii="仿宋" w:eastAsia="仿宋"/>
          <w:sz w:val="32"/>
          <w:szCs w:val="32"/>
        </w:rPr>
      </w:pPr>
      <w:r>
        <w:rPr>
          <w:rFonts w:hint="eastAsia" w:ascii="仿宋" w:eastAsia="仿宋"/>
          <w:sz w:val="32"/>
          <w:szCs w:val="32"/>
        </w:rPr>
        <w:t>2、项目资金使用情况分析</w:t>
      </w:r>
    </w:p>
    <w:p w14:paraId="234E84E7">
      <w:pPr>
        <w:ind w:left="210" w:leftChars="100" w:firstLine="640" w:firstLineChars="200"/>
        <w:rPr>
          <w:rFonts w:ascii="仿宋" w:hAnsi="仿宋" w:eastAsia="仿宋"/>
          <w:sz w:val="32"/>
          <w:szCs w:val="32"/>
        </w:rPr>
      </w:pPr>
      <w:r>
        <w:rPr>
          <w:rFonts w:hint="eastAsia" w:ascii="仿宋" w:hAnsi="仿宋" w:eastAsia="仿宋"/>
          <w:sz w:val="32"/>
          <w:szCs w:val="32"/>
        </w:rPr>
        <w:t>2024年专项资金全年财政拨款收入共计41.00万元，年度可用资金41.00万元，支出41.00万元，年末结余0万元，综合预算执行率100%。</w:t>
      </w:r>
    </w:p>
    <w:p w14:paraId="58E2BA87">
      <w:pPr>
        <w:numPr>
          <w:ilvl w:val="0"/>
          <w:numId w:val="2"/>
        </w:numPr>
        <w:rPr>
          <w:rFonts w:ascii="仿宋" w:hAnsi="仿宋" w:eastAsia="仿宋"/>
          <w:sz w:val="32"/>
          <w:szCs w:val="32"/>
        </w:rPr>
      </w:pPr>
      <w:r>
        <w:rPr>
          <w:rFonts w:hint="eastAsia" w:ascii="仿宋" w:hAnsi="仿宋" w:eastAsia="仿宋" w:cs="宋体"/>
          <w:sz w:val="32"/>
          <w:szCs w:val="32"/>
        </w:rPr>
        <w:t>铁路安全环境整治专项业务费27.00万元，支出27.00万元，执行率</w:t>
      </w:r>
      <w:r>
        <w:rPr>
          <w:rFonts w:hint="eastAsia" w:ascii="仿宋" w:hAnsi="仿宋" w:eastAsia="仿宋"/>
          <w:sz w:val="32"/>
          <w:szCs w:val="32"/>
        </w:rPr>
        <w:t>100%。</w:t>
      </w:r>
    </w:p>
    <w:p w14:paraId="73DD5263">
      <w:pPr>
        <w:numPr>
          <w:ilvl w:val="0"/>
          <w:numId w:val="2"/>
        </w:numPr>
        <w:rPr>
          <w:rFonts w:ascii="仿宋" w:hAnsi="仿宋" w:eastAsia="仿宋"/>
          <w:sz w:val="32"/>
          <w:szCs w:val="32"/>
        </w:rPr>
      </w:pPr>
      <w:r>
        <w:rPr>
          <w:rFonts w:hint="eastAsia" w:ascii="仿宋" w:hAnsi="仿宋" w:eastAsia="仿宋" w:cs="宋体"/>
          <w:sz w:val="32"/>
          <w:szCs w:val="32"/>
        </w:rPr>
        <w:t>芷江机场航线开发培育专项业务费10.00万元，支出10.00万元，执行率</w:t>
      </w:r>
      <w:r>
        <w:rPr>
          <w:rFonts w:hint="eastAsia" w:ascii="仿宋" w:hAnsi="仿宋" w:eastAsia="仿宋"/>
          <w:sz w:val="32"/>
          <w:szCs w:val="32"/>
        </w:rPr>
        <w:t>100%。</w:t>
      </w:r>
    </w:p>
    <w:p w14:paraId="4562B7DF">
      <w:pPr>
        <w:numPr>
          <w:ilvl w:val="0"/>
          <w:numId w:val="2"/>
        </w:numPr>
        <w:rPr>
          <w:rFonts w:ascii="仿宋" w:hAnsi="仿宋" w:eastAsia="仿宋"/>
          <w:sz w:val="32"/>
          <w:szCs w:val="32"/>
        </w:rPr>
      </w:pPr>
      <w:r>
        <w:rPr>
          <w:rFonts w:hint="eastAsia" w:ascii="仿宋" w:hAnsi="仿宋" w:eastAsia="仿宋"/>
          <w:b/>
          <w:bCs/>
          <w:sz w:val="32"/>
          <w:szCs w:val="32"/>
        </w:rPr>
        <w:t>铁路沿线安全环境综合整治真抓实干</w:t>
      </w:r>
      <w:r>
        <w:rPr>
          <w:rFonts w:hint="eastAsia" w:ascii="仿宋" w:hAnsi="仿宋" w:eastAsia="仿宋"/>
          <w:b/>
          <w:sz w:val="32"/>
          <w:szCs w:val="32"/>
        </w:rPr>
        <w:t>奖励工作经费4.00万元</w:t>
      </w:r>
      <w:r>
        <w:rPr>
          <w:rFonts w:hint="eastAsia" w:ascii="仿宋" w:hAnsi="仿宋" w:eastAsia="仿宋" w:cs="宋体"/>
          <w:sz w:val="32"/>
          <w:szCs w:val="32"/>
        </w:rPr>
        <w:t>，支出4.00万元，执行率</w:t>
      </w:r>
      <w:r>
        <w:rPr>
          <w:rFonts w:hint="eastAsia" w:ascii="仿宋" w:hAnsi="仿宋" w:eastAsia="仿宋"/>
          <w:sz w:val="32"/>
          <w:szCs w:val="32"/>
        </w:rPr>
        <w:t>100%。</w:t>
      </w:r>
    </w:p>
    <w:p w14:paraId="389C5F68">
      <w:pPr>
        <w:pStyle w:val="16"/>
        <w:numPr>
          <w:ilvl w:val="0"/>
          <w:numId w:val="1"/>
        </w:numPr>
        <w:spacing w:line="360" w:lineRule="auto"/>
        <w:ind w:firstLine="640" w:firstLineChars="200"/>
        <w:rPr>
          <w:rFonts w:ascii="仿宋" w:eastAsia="仿宋"/>
          <w:sz w:val="32"/>
          <w:szCs w:val="32"/>
        </w:rPr>
      </w:pPr>
      <w:r>
        <w:rPr>
          <w:rFonts w:hint="eastAsia" w:ascii="仿宋" w:eastAsia="仿宋"/>
          <w:sz w:val="32"/>
          <w:szCs w:val="32"/>
        </w:rPr>
        <w:t>项目资金管理情况分析</w:t>
      </w:r>
    </w:p>
    <w:p w14:paraId="319EC88D">
      <w:pPr>
        <w:ind w:firstLine="640" w:firstLineChars="200"/>
        <w:rPr>
          <w:rFonts w:ascii="仿宋" w:hAnsi="仿宋" w:eastAsia="仿宋"/>
          <w:sz w:val="32"/>
          <w:szCs w:val="32"/>
        </w:rPr>
      </w:pPr>
      <w:r>
        <w:rPr>
          <w:rFonts w:hint="eastAsia" w:ascii="仿宋" w:hAnsi="仿宋" w:eastAsia="仿宋"/>
          <w:sz w:val="32"/>
          <w:szCs w:val="32"/>
        </w:rPr>
        <w:t>我中心专项资金根据预算统一安排，分管领导负责组织协调各项工作的开展，会计针对资金开支凭证严格审核，保障专款专用。</w:t>
      </w:r>
    </w:p>
    <w:p w14:paraId="0103E221">
      <w:pPr>
        <w:pStyle w:val="16"/>
        <w:spacing w:line="360" w:lineRule="auto"/>
        <w:ind w:firstLine="321" w:firstLineChars="100"/>
        <w:rPr>
          <w:rFonts w:ascii="楷体" w:eastAsia="楷体"/>
          <w:b/>
          <w:sz w:val="32"/>
          <w:szCs w:val="32"/>
        </w:rPr>
      </w:pPr>
      <w:r>
        <w:rPr>
          <w:rFonts w:hint="eastAsia" w:ascii="楷体" w:eastAsia="楷体"/>
          <w:b/>
          <w:sz w:val="32"/>
          <w:szCs w:val="32"/>
        </w:rPr>
        <w:t>（二）项目实施情况分析</w:t>
      </w:r>
    </w:p>
    <w:p w14:paraId="5EDF0CAC">
      <w:pPr>
        <w:pStyle w:val="16"/>
        <w:spacing w:line="360" w:lineRule="auto"/>
        <w:ind w:firstLine="640" w:firstLineChars="200"/>
        <w:rPr>
          <w:rFonts w:ascii="仿宋" w:eastAsia="仿宋"/>
          <w:sz w:val="32"/>
          <w:szCs w:val="32"/>
        </w:rPr>
      </w:pPr>
      <w:r>
        <w:rPr>
          <w:rFonts w:hint="eastAsia" w:ascii="仿宋" w:eastAsia="仿宋"/>
          <w:sz w:val="32"/>
          <w:szCs w:val="32"/>
        </w:rPr>
        <w:t>1、项目组织情况分析</w:t>
      </w:r>
    </w:p>
    <w:p w14:paraId="64E5DB8E">
      <w:pPr>
        <w:ind w:firstLine="640"/>
        <w:rPr>
          <w:rFonts w:ascii="仿宋" w:hAnsi="仿宋" w:eastAsia="仿宋" w:cs="仿宋"/>
          <w:bCs/>
          <w:sz w:val="32"/>
          <w:szCs w:val="32"/>
        </w:rPr>
      </w:pPr>
      <w:r>
        <w:rPr>
          <w:rFonts w:hint="eastAsia" w:ascii="仿宋" w:hAnsi="仿宋" w:eastAsia="仿宋" w:cs="仿宋"/>
          <w:bCs/>
          <w:sz w:val="32"/>
          <w:szCs w:val="32"/>
        </w:rPr>
        <w:t>我中心严格执行《怀化市本级财政专项资金管理办法》等相关制度做好项目支出预算工作目标，有制度作制度，有措施做保障，如期圆满完成上级布置的各项考核任务。</w:t>
      </w:r>
    </w:p>
    <w:p w14:paraId="2CD26CA6">
      <w:pPr>
        <w:pStyle w:val="16"/>
        <w:numPr>
          <w:ilvl w:val="0"/>
          <w:numId w:val="3"/>
        </w:numPr>
        <w:spacing w:line="360" w:lineRule="auto"/>
        <w:ind w:firstLine="640" w:firstLineChars="200"/>
        <w:rPr>
          <w:rFonts w:ascii="仿宋" w:eastAsia="仿宋"/>
          <w:sz w:val="32"/>
          <w:szCs w:val="32"/>
        </w:rPr>
      </w:pPr>
      <w:r>
        <w:rPr>
          <w:rFonts w:hint="eastAsia" w:ascii="仿宋" w:eastAsia="仿宋"/>
          <w:sz w:val="32"/>
          <w:szCs w:val="32"/>
        </w:rPr>
        <w:t>项目管理情况分析</w:t>
      </w:r>
    </w:p>
    <w:p w14:paraId="5E5609A0">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val="sq-AL"/>
        </w:rPr>
        <w:t>专项经费实行专账管理、专账核算、专款专用，用于铁路安全整治工作，</w:t>
      </w:r>
      <w:r>
        <w:rPr>
          <w:rFonts w:hint="eastAsia" w:ascii="仿宋" w:hAnsi="仿宋" w:eastAsia="仿宋" w:cs="宋体"/>
          <w:sz w:val="32"/>
          <w:szCs w:val="32"/>
        </w:rPr>
        <w:t>航线专项工作、</w:t>
      </w:r>
      <w:r>
        <w:rPr>
          <w:rFonts w:hint="eastAsia" w:ascii="仿宋" w:hAnsi="仿宋" w:eastAsia="仿宋"/>
          <w:sz w:val="32"/>
          <w:szCs w:val="32"/>
        </w:rPr>
        <w:t>柔性人才引进工作，</w:t>
      </w:r>
      <w:r>
        <w:rPr>
          <w:rFonts w:hint="eastAsia" w:ascii="仿宋" w:hAnsi="仿宋" w:eastAsia="仿宋" w:cs="宋体"/>
          <w:sz w:val="32"/>
          <w:szCs w:val="32"/>
          <w:lang w:val="sq-AL"/>
        </w:rPr>
        <w:t>没有截留、侵占、挪用和超范围使用，接受市交通运输局、市财政局等单位的监督管理。</w:t>
      </w:r>
    </w:p>
    <w:p w14:paraId="05E944DC">
      <w:pPr>
        <w:pStyle w:val="16"/>
        <w:spacing w:line="360" w:lineRule="auto"/>
        <w:ind w:firstLine="321" w:firstLineChars="100"/>
        <w:rPr>
          <w:rFonts w:ascii="楷体" w:eastAsia="楷体"/>
          <w:b/>
          <w:sz w:val="32"/>
          <w:szCs w:val="32"/>
        </w:rPr>
      </w:pPr>
      <w:r>
        <w:rPr>
          <w:rFonts w:hint="eastAsia" w:ascii="楷体" w:eastAsia="楷体"/>
          <w:b/>
          <w:sz w:val="32"/>
          <w:szCs w:val="32"/>
        </w:rPr>
        <w:t xml:space="preserve">（三）项目绩效情况分析 </w:t>
      </w:r>
    </w:p>
    <w:p w14:paraId="7B45AE66">
      <w:pPr>
        <w:pStyle w:val="16"/>
        <w:spacing w:line="360" w:lineRule="auto"/>
        <w:ind w:firstLine="643" w:firstLineChars="200"/>
        <w:rPr>
          <w:rFonts w:ascii="楷体" w:eastAsia="楷体"/>
          <w:b/>
          <w:sz w:val="32"/>
          <w:szCs w:val="32"/>
        </w:rPr>
      </w:pPr>
      <w:r>
        <w:rPr>
          <w:rFonts w:hint="eastAsia" w:ascii="楷体" w:eastAsia="楷体"/>
          <w:b/>
          <w:sz w:val="32"/>
          <w:szCs w:val="32"/>
        </w:rPr>
        <w:t>1、项目经济性分析</w:t>
      </w:r>
    </w:p>
    <w:p w14:paraId="20568215">
      <w:pPr>
        <w:pStyle w:val="16"/>
        <w:spacing w:line="360" w:lineRule="auto"/>
        <w:ind w:firstLine="640" w:firstLineChars="200"/>
        <w:rPr>
          <w:rFonts w:ascii="仿宋" w:eastAsia="仿宋"/>
          <w:sz w:val="32"/>
          <w:szCs w:val="32"/>
        </w:rPr>
      </w:pPr>
      <w:r>
        <w:rPr>
          <w:rFonts w:hint="eastAsia" w:ascii="仿宋" w:eastAsia="仿宋"/>
          <w:sz w:val="32"/>
          <w:szCs w:val="32"/>
        </w:rPr>
        <w:t>（1）项目成本（预算）控制情况</w:t>
      </w:r>
    </w:p>
    <w:p w14:paraId="20D0EB9B">
      <w:pPr>
        <w:pStyle w:val="16"/>
        <w:spacing w:line="360" w:lineRule="auto"/>
        <w:ind w:firstLine="640" w:firstLineChars="200"/>
        <w:rPr>
          <w:rFonts w:ascii="仿宋" w:eastAsia="仿宋"/>
          <w:sz w:val="32"/>
          <w:szCs w:val="32"/>
        </w:rPr>
      </w:pPr>
      <w:r>
        <w:rPr>
          <w:rFonts w:hint="eastAsia" w:ascii="仿宋" w:hAnsi="仿宋" w:eastAsia="仿宋" w:cs="宋体"/>
          <w:sz w:val="32"/>
          <w:szCs w:val="32"/>
          <w:lang w:val="sq-AL"/>
        </w:rPr>
        <w:t>专项经费实行专账管理、专账核算、专款专用，用于铁路安全整治工作、</w:t>
      </w:r>
      <w:r>
        <w:rPr>
          <w:rFonts w:hint="eastAsia" w:ascii="仿宋" w:hAnsi="仿宋" w:eastAsia="仿宋" w:cs="宋体"/>
          <w:sz w:val="32"/>
          <w:szCs w:val="32"/>
        </w:rPr>
        <w:t>航线专项工作，</w:t>
      </w:r>
      <w:r>
        <w:rPr>
          <w:rFonts w:hint="eastAsia" w:ascii="仿宋" w:hAnsi="仿宋" w:eastAsia="仿宋" w:cs="宋体"/>
          <w:sz w:val="32"/>
          <w:szCs w:val="32"/>
          <w:lang w:val="sq-AL"/>
        </w:rPr>
        <w:t>没有截留、侵占、挪用和超范围使用。建立健全项目资金监管机制，定期、不定期地对项目资金使用情况进行检查，并对检查发现的问题进行整改。</w:t>
      </w:r>
    </w:p>
    <w:p w14:paraId="328BEB8C">
      <w:pPr>
        <w:pStyle w:val="16"/>
        <w:spacing w:line="360" w:lineRule="auto"/>
        <w:ind w:firstLine="640" w:firstLineChars="200"/>
        <w:rPr>
          <w:rFonts w:ascii="仿宋" w:eastAsia="仿宋"/>
          <w:sz w:val="32"/>
          <w:szCs w:val="32"/>
        </w:rPr>
      </w:pPr>
      <w:r>
        <w:rPr>
          <w:rFonts w:hint="eastAsia" w:ascii="仿宋" w:eastAsia="仿宋"/>
          <w:sz w:val="32"/>
          <w:szCs w:val="32"/>
        </w:rPr>
        <w:t>（2）项目成本（预算）节约情况</w:t>
      </w:r>
    </w:p>
    <w:p w14:paraId="241D47BF">
      <w:pPr>
        <w:pStyle w:val="16"/>
        <w:spacing w:line="360" w:lineRule="auto"/>
        <w:ind w:firstLine="640" w:firstLineChars="200"/>
        <w:rPr>
          <w:rFonts w:ascii="仿宋" w:eastAsia="仿宋"/>
          <w:sz w:val="32"/>
          <w:szCs w:val="32"/>
        </w:rPr>
      </w:pPr>
      <w:r>
        <w:rPr>
          <w:rFonts w:hint="eastAsia" w:ascii="仿宋" w:eastAsia="仿宋"/>
          <w:sz w:val="32"/>
          <w:szCs w:val="32"/>
        </w:rPr>
        <w:t>进一步规范项目资金账务审批程序，坚持勤俭节约、非必要不采购和廉洁自律要求。</w:t>
      </w:r>
    </w:p>
    <w:p w14:paraId="19F257FB">
      <w:pPr>
        <w:pStyle w:val="16"/>
        <w:spacing w:line="360" w:lineRule="auto"/>
        <w:ind w:firstLine="643" w:firstLineChars="200"/>
        <w:rPr>
          <w:rFonts w:ascii="楷体" w:eastAsia="楷体"/>
          <w:b/>
          <w:sz w:val="32"/>
          <w:szCs w:val="32"/>
        </w:rPr>
      </w:pPr>
      <w:r>
        <w:rPr>
          <w:rFonts w:hint="eastAsia" w:ascii="楷体" w:eastAsia="楷体"/>
          <w:b/>
          <w:sz w:val="32"/>
          <w:szCs w:val="32"/>
        </w:rPr>
        <w:t>2、项目的效率性分析</w:t>
      </w:r>
    </w:p>
    <w:p w14:paraId="180479DE">
      <w:pPr>
        <w:pStyle w:val="16"/>
        <w:spacing w:line="360" w:lineRule="auto"/>
        <w:ind w:firstLine="640" w:firstLineChars="200"/>
        <w:rPr>
          <w:rFonts w:ascii="仿宋" w:eastAsia="仿宋"/>
          <w:sz w:val="32"/>
          <w:szCs w:val="32"/>
        </w:rPr>
      </w:pPr>
      <w:r>
        <w:rPr>
          <w:rFonts w:hint="eastAsia" w:ascii="仿宋" w:eastAsia="仿宋"/>
          <w:sz w:val="32"/>
          <w:szCs w:val="32"/>
        </w:rPr>
        <w:t>（1）项目的实施进度</w:t>
      </w:r>
    </w:p>
    <w:p w14:paraId="29402C45">
      <w:pPr>
        <w:pStyle w:val="16"/>
        <w:spacing w:line="360" w:lineRule="auto"/>
        <w:ind w:firstLine="640" w:firstLineChars="200"/>
        <w:rPr>
          <w:rFonts w:ascii="仿宋" w:eastAsia="仿宋"/>
          <w:sz w:val="32"/>
          <w:szCs w:val="32"/>
        </w:rPr>
      </w:pPr>
      <w:r>
        <w:rPr>
          <w:rFonts w:hint="eastAsia" w:ascii="仿宋" w:eastAsia="仿宋"/>
          <w:sz w:val="32"/>
          <w:szCs w:val="32"/>
        </w:rPr>
        <w:t>2024年专项工作于12月底全部完成。</w:t>
      </w:r>
    </w:p>
    <w:p w14:paraId="3EC85FAC">
      <w:pPr>
        <w:pStyle w:val="16"/>
        <w:ind w:firstLine="640" w:firstLineChars="200"/>
        <w:rPr>
          <w:rFonts w:ascii="仿宋" w:eastAsia="仿宋"/>
          <w:sz w:val="32"/>
          <w:szCs w:val="32"/>
        </w:rPr>
      </w:pPr>
      <w:r>
        <w:rPr>
          <w:rFonts w:hint="eastAsia" w:ascii="仿宋" w:eastAsia="仿宋"/>
          <w:sz w:val="32"/>
          <w:szCs w:val="32"/>
        </w:rPr>
        <w:t>（2）项目完成质量</w:t>
      </w:r>
    </w:p>
    <w:p w14:paraId="2CF20972">
      <w:pPr>
        <w:spacing w:line="600" w:lineRule="exact"/>
        <w:ind w:firstLine="672" w:firstLineChars="200"/>
        <w:rPr>
          <w:rFonts w:ascii="仿宋" w:hAnsi="仿宋" w:eastAsia="仿宋" w:cs="Times New Roman"/>
          <w:spacing w:val="8"/>
          <w:sz w:val="32"/>
          <w:szCs w:val="32"/>
          <w:shd w:val="clear" w:color="auto" w:fill="FFFFFF"/>
        </w:rPr>
      </w:pPr>
      <w:r>
        <w:rPr>
          <w:rFonts w:hint="eastAsia" w:ascii="仿宋" w:hAnsi="仿宋" w:eastAsia="仿宋" w:cs="Times New Roman"/>
          <w:spacing w:val="8"/>
          <w:sz w:val="32"/>
          <w:szCs w:val="32"/>
          <w:shd w:val="clear" w:color="auto" w:fill="FFFFFF"/>
        </w:rPr>
        <w:t>全面摸排，深入推进隐患动态清零。根据省厅工作部署，迅速启动铁路沿线安全隐患环境问题排查建档。组织路地双方对市域内1001公里铁路沿线问题隐患进行全面排查、核实，汇总清单，采取边排查边整治，梳理建立问题隐患整治任务清单共计273处，其中地方牵头127处均在规定时间内完成整治销号工作，累计拆除或加固彩钢瓦3.44万平米，清除建筑及生活垃圾300余吨、违规菜地20余亩，拆除农膜350平米、砍伐危树危竹1700多棵，拆除大型广告牌2处。</w:t>
      </w:r>
    </w:p>
    <w:p w14:paraId="5043B81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为有效提升航线开发工作效率，进一步优化芷江机场航线网络布局，不断</w:t>
      </w:r>
      <w:r>
        <w:rPr>
          <w:rFonts w:hint="eastAsia" w:ascii="仿宋" w:hAnsi="仿宋" w:eastAsia="仿宋" w:cs="Times New Roman"/>
          <w:spacing w:val="8"/>
          <w:sz w:val="32"/>
          <w:szCs w:val="32"/>
          <w:shd w:val="clear" w:color="auto" w:fill="FFFFFF"/>
        </w:rPr>
        <w:t>创新工作方式方法。今年来，芷江机场累计运营9条航线，正常执飞6条航线，通达北京、深圳、南京、西安等11个城市，累计支付财政补助10050万元，预计年旅客吞吐量44万人次，比上年增加7.1万人次，为进一步夯实我市全国性综合交通枢纽地位提供了有力的民航支撑</w:t>
      </w:r>
      <w:r>
        <w:rPr>
          <w:rFonts w:hint="eastAsia" w:ascii="仿宋" w:hAnsi="仿宋" w:eastAsia="仿宋" w:cs="仿宋"/>
          <w:sz w:val="32"/>
          <w:szCs w:val="32"/>
        </w:rPr>
        <w:t>。</w:t>
      </w:r>
    </w:p>
    <w:p w14:paraId="77AB0F5B">
      <w:pPr>
        <w:pStyle w:val="16"/>
        <w:spacing w:line="360" w:lineRule="auto"/>
        <w:ind w:firstLine="643" w:firstLineChars="200"/>
        <w:rPr>
          <w:rFonts w:ascii="楷体" w:eastAsia="楷体"/>
          <w:b/>
          <w:sz w:val="32"/>
          <w:szCs w:val="32"/>
        </w:rPr>
      </w:pPr>
      <w:r>
        <w:rPr>
          <w:rFonts w:hint="eastAsia" w:ascii="楷体" w:eastAsia="楷体"/>
          <w:b/>
          <w:sz w:val="32"/>
          <w:szCs w:val="32"/>
        </w:rPr>
        <w:t>3、项目的效益性分析</w:t>
      </w:r>
    </w:p>
    <w:p w14:paraId="55B9B8D3">
      <w:pPr>
        <w:pStyle w:val="16"/>
        <w:spacing w:line="360" w:lineRule="auto"/>
        <w:ind w:firstLine="640" w:firstLineChars="200"/>
        <w:rPr>
          <w:rFonts w:ascii="仿宋" w:eastAsia="仿宋"/>
          <w:sz w:val="32"/>
          <w:szCs w:val="32"/>
        </w:rPr>
      </w:pPr>
      <w:r>
        <w:rPr>
          <w:rFonts w:hint="eastAsia" w:ascii="仿宋" w:eastAsia="仿宋"/>
          <w:sz w:val="32"/>
          <w:szCs w:val="32"/>
        </w:rPr>
        <w:t>（1）项目预期目标完成程度</w:t>
      </w:r>
    </w:p>
    <w:p w14:paraId="69A9E6C3">
      <w:pPr>
        <w:pStyle w:val="16"/>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铁路安全环境整治工作目标及完成程度</w:t>
      </w:r>
    </w:p>
    <w:p w14:paraId="271E6021">
      <w:pPr>
        <w:spacing w:line="450" w:lineRule="atLeast"/>
        <w:ind w:firstLine="640" w:firstLineChars="200"/>
        <w:rPr>
          <w:rFonts w:ascii="仿宋" w:hAnsi="仿宋" w:eastAsia="仿宋"/>
          <w:spacing w:val="8"/>
          <w:sz w:val="32"/>
          <w:szCs w:val="32"/>
          <w:shd w:val="clear" w:color="auto" w:fill="FFFFFF"/>
        </w:rPr>
      </w:pPr>
      <w:r>
        <w:rPr>
          <w:rFonts w:hint="eastAsia" w:ascii="仿宋" w:hAnsi="仿宋" w:eastAsia="仿宋" w:cs="仿宋"/>
          <w:sz w:val="32"/>
          <w:szCs w:val="32"/>
        </w:rPr>
        <w:t>怀化市境内有沪昆、焦柳、渝怀3条普铁和沪昆、怀邵衡、张吉怀3条高铁，铁路总里程达1455.27公里，是湖南省铁路线最长的市州。</w:t>
      </w:r>
      <w:r>
        <w:rPr>
          <w:rFonts w:hint="eastAsia" w:ascii="仿宋" w:hAnsi="仿宋" w:eastAsia="仿宋"/>
          <w:spacing w:val="8"/>
          <w:sz w:val="32"/>
          <w:szCs w:val="32"/>
          <w:shd w:val="clear" w:color="auto" w:fill="FFFFFF"/>
        </w:rPr>
        <w:t>制定了《怀化市2024年铁路沿线安全及环境综合整治工作要点》，及时召开全市“双段长”联席会议。今年以来，协调联动相关部门召开推进会、协调会9次，市领导现场调研督导7次，解决难点、堵点问题21个。在市交通运输局的筹领导下，深入现场，高频调度，督办协调，全力推进铁路安全整治和示范点创建。围绕路外安全“人不进去”的目标，积极开展铁路安全法规“五进”宣传，着力提高群众安全意识，筑牢铁路安全第一道防线。全年累计开展铁路安全相关知识“五进”宣传活动40余场次，受益群众20万余人。组织百余名路地“二级段长”进行业务集中培训，有效提升了安全隐患的快查快处和源头管控水平。与铁路部门实行联席周例会制度，遇到重大问题，随时召开碰头会、商讨会和推进会，及时会商，协调解决问题。同时，通过联合办公，联动协调，深度融合三级段长与铁路护路联防组织,确保“双段长”制落到实处</w:t>
      </w:r>
      <w:r>
        <w:rPr>
          <w:rFonts w:hint="eastAsia" w:ascii="仿宋" w:hAnsi="仿宋" w:eastAsia="仿宋"/>
          <w:sz w:val="32"/>
          <w:szCs w:val="32"/>
        </w:rPr>
        <w:t>。</w:t>
      </w:r>
      <w:r>
        <w:rPr>
          <w:rFonts w:hint="eastAsia" w:ascii="仿宋" w:hAnsi="仿宋" w:eastAsia="仿宋" w:cs="宋体"/>
          <w:sz w:val="32"/>
          <w:szCs w:val="32"/>
        </w:rPr>
        <w:t>铁路安全环境整治专项业务费27.00万元，支出27.00万元，执行率</w:t>
      </w:r>
      <w:r>
        <w:rPr>
          <w:rFonts w:hint="eastAsia" w:ascii="仿宋" w:hAnsi="仿宋" w:eastAsia="仿宋"/>
          <w:sz w:val="32"/>
          <w:szCs w:val="32"/>
        </w:rPr>
        <w:t>100%.</w:t>
      </w:r>
    </w:p>
    <w:p w14:paraId="7F1AEFDD">
      <w:pPr>
        <w:pStyle w:val="16"/>
        <w:spacing w:line="360" w:lineRule="auto"/>
        <w:ind w:firstLine="640" w:firstLineChars="200"/>
        <w:rPr>
          <w:rFonts w:ascii="仿宋" w:hAnsi="仿宋" w:eastAsia="仿宋" w:cs="宋体"/>
          <w:sz w:val="32"/>
          <w:szCs w:val="32"/>
        </w:rPr>
      </w:pPr>
      <w:r>
        <w:rPr>
          <w:rFonts w:hint="eastAsia" w:ascii="仿宋" w:hAnsi="仿宋" w:eastAsia="仿宋" w:cs="宋体"/>
          <w:sz w:val="32"/>
          <w:szCs w:val="32"/>
        </w:rPr>
        <w:t>芷江机场航线开发培育专项业务目标及完成程度</w:t>
      </w:r>
    </w:p>
    <w:p w14:paraId="074DDDD5">
      <w:pPr>
        <w:spacing w:line="600" w:lineRule="exact"/>
        <w:ind w:firstLine="640" w:firstLineChars="200"/>
        <w:rPr>
          <w:rFonts w:ascii="仿宋" w:hAnsi="仿宋" w:eastAsia="仿宋"/>
          <w:sz w:val="32"/>
          <w:szCs w:val="32"/>
        </w:rPr>
      </w:pPr>
      <w:r>
        <w:rPr>
          <w:rFonts w:hint="eastAsia" w:ascii="仿宋" w:hAnsi="仿宋" w:eastAsia="仿宋" w:cs="仿宋"/>
          <w:sz w:val="32"/>
          <w:szCs w:val="32"/>
        </w:rPr>
        <w:t>进一步优化芷江机场航线网络布局，不断</w:t>
      </w:r>
      <w:r>
        <w:rPr>
          <w:rFonts w:hint="eastAsia" w:ascii="仿宋" w:hAnsi="仿宋" w:eastAsia="仿宋" w:cs="Times New Roman"/>
          <w:spacing w:val="8"/>
          <w:sz w:val="32"/>
          <w:szCs w:val="32"/>
          <w:shd w:val="clear" w:color="auto" w:fill="FFFFFF"/>
        </w:rPr>
        <w:t>创新工作方式方法。今年打破原我市航线补贴项目耗时长、航司响应少的招采机制，通过借鉴国内同类支线机场航线开发培育经验，采取对航司邀约磋商，成员单位集体会商，综合评估后，报市政府常务会研究确定等方式，成功合作南方航空等航司，分别签定了 “广州＝怀化”、“深圳＝怀化＝太原”、“西安＝怀化＝三亚”等热门航线。今年来，芷江机场累计运营9条航线，正常执飞6条航线，通达北京、深圳、南京、西安等11个城市，累计支付财政补助10050万元，预计年旅客吞吐量44万人次，比上年增加7.1万人次，为进一步夯实我市全国性综合交通枢纽地位提供了有力的民航支撑</w:t>
      </w:r>
      <w:r>
        <w:rPr>
          <w:rFonts w:hint="eastAsia" w:ascii="仿宋" w:hAnsi="仿宋" w:eastAsia="仿宋" w:cs="仿宋"/>
          <w:sz w:val="32"/>
          <w:szCs w:val="32"/>
        </w:rPr>
        <w:t>。</w:t>
      </w:r>
      <w:r>
        <w:rPr>
          <w:rFonts w:hint="eastAsia" w:ascii="仿宋" w:hAnsi="仿宋" w:eastAsia="仿宋" w:cs="宋体"/>
          <w:sz w:val="32"/>
          <w:szCs w:val="32"/>
        </w:rPr>
        <w:t>芷江机场航线开发培育专项业务费10.00万元，支出10.00万元，执行率</w:t>
      </w:r>
      <w:r>
        <w:rPr>
          <w:rFonts w:hint="eastAsia" w:ascii="仿宋" w:hAnsi="仿宋" w:eastAsia="仿宋"/>
          <w:sz w:val="32"/>
          <w:szCs w:val="32"/>
        </w:rPr>
        <w:t>100%。</w:t>
      </w:r>
    </w:p>
    <w:p w14:paraId="30B0838B">
      <w:pPr>
        <w:pStyle w:val="7"/>
        <w:widowControl/>
        <w:snapToGrid w:val="0"/>
        <w:spacing w:line="520" w:lineRule="exact"/>
        <w:ind w:firstLine="640"/>
        <w:rPr>
          <w:rFonts w:ascii="仿宋" w:hAnsi="仿宋" w:eastAsia="仿宋"/>
          <w:color w:val="000000"/>
          <w:sz w:val="32"/>
          <w:szCs w:val="32"/>
        </w:rPr>
      </w:pPr>
      <w:r>
        <w:rPr>
          <w:rFonts w:hint="eastAsia" w:ascii="仿宋" w:hAnsi="仿宋" w:eastAsia="仿宋"/>
          <w:color w:val="000000"/>
          <w:sz w:val="32"/>
          <w:szCs w:val="32"/>
        </w:rPr>
        <w:t>铁路沿线安全环境综合整</w:t>
      </w:r>
      <w:r>
        <w:rPr>
          <w:rFonts w:hint="eastAsia" w:ascii="仿宋" w:hAnsi="仿宋" w:eastAsia="仿宋" w:cs="宋体"/>
          <w:color w:val="000000"/>
          <w:sz w:val="32"/>
          <w:szCs w:val="32"/>
        </w:rPr>
        <w:t>真抓实干奖励工作</w:t>
      </w:r>
      <w:r>
        <w:rPr>
          <w:rFonts w:hint="eastAsia" w:ascii="仿宋" w:hAnsi="仿宋" w:eastAsia="仿宋"/>
          <w:color w:val="000000"/>
          <w:sz w:val="32"/>
          <w:szCs w:val="32"/>
        </w:rPr>
        <w:t>。</w:t>
      </w:r>
    </w:p>
    <w:p w14:paraId="0F955566">
      <w:pPr>
        <w:ind w:firstLine="480" w:firstLineChars="150"/>
        <w:rPr>
          <w:rFonts w:ascii="仿宋" w:hAnsi="仿宋" w:eastAsia="仿宋"/>
          <w:sz w:val="32"/>
          <w:szCs w:val="32"/>
        </w:rPr>
      </w:pPr>
      <w:r>
        <w:rPr>
          <w:rFonts w:hint="eastAsia" w:ascii="仿宋" w:hAnsi="仿宋" w:eastAsia="仿宋"/>
          <w:color w:val="000000"/>
          <w:sz w:val="32"/>
          <w:szCs w:val="32"/>
        </w:rPr>
        <w:t>为夯实铁路沿线安全环境综合整治，着力提升铁路沿线安全运营环境，2023年在全省铁路沿线环境综合整治调度推进电视电话会议上，怀化作为市州唯一代表作典型经验介绍；在全省率先完成了第一、二批共913处隐患任务的整治销号；高效完成了省整治办督办的高铁南站环境问题整治；首创辖区铁路路外伤亡事故创“0”佳绩；全市在国家及省级报刊、媒体平台发表经验推介宣传报道达55篇等……</w:t>
      </w:r>
      <w:r>
        <w:rPr>
          <w:rFonts w:hint="eastAsia" w:ascii="仿宋" w:hAnsi="仿宋" w:eastAsia="仿宋"/>
          <w:bCs/>
          <w:sz w:val="32"/>
          <w:szCs w:val="32"/>
        </w:rPr>
        <w:t>铁路沿线安全环境综合整治真抓实干</w:t>
      </w:r>
      <w:r>
        <w:rPr>
          <w:rFonts w:hint="eastAsia" w:ascii="仿宋" w:hAnsi="仿宋" w:eastAsia="仿宋"/>
          <w:sz w:val="32"/>
          <w:szCs w:val="32"/>
        </w:rPr>
        <w:t>奖励工作经费4.00万元</w:t>
      </w:r>
      <w:r>
        <w:rPr>
          <w:rFonts w:hint="eastAsia" w:ascii="仿宋" w:hAnsi="仿宋" w:eastAsia="仿宋" w:cs="宋体"/>
          <w:sz w:val="32"/>
          <w:szCs w:val="32"/>
        </w:rPr>
        <w:t>，支出4.00万元，执行率</w:t>
      </w:r>
      <w:r>
        <w:rPr>
          <w:rFonts w:hint="eastAsia" w:ascii="仿宋" w:hAnsi="仿宋" w:eastAsia="仿宋"/>
          <w:sz w:val="32"/>
          <w:szCs w:val="32"/>
        </w:rPr>
        <w:t>100%。</w:t>
      </w:r>
    </w:p>
    <w:p w14:paraId="5CBA65F4">
      <w:pPr>
        <w:pStyle w:val="16"/>
        <w:numPr>
          <w:ilvl w:val="0"/>
          <w:numId w:val="4"/>
        </w:numPr>
        <w:spacing w:line="360" w:lineRule="auto"/>
        <w:ind w:firstLine="640" w:firstLineChars="200"/>
        <w:rPr>
          <w:rFonts w:ascii="仿宋" w:eastAsia="仿宋"/>
          <w:sz w:val="32"/>
          <w:szCs w:val="32"/>
        </w:rPr>
      </w:pPr>
      <w:r>
        <w:rPr>
          <w:rFonts w:hint="eastAsia" w:ascii="仿宋" w:eastAsia="仿宋"/>
          <w:sz w:val="32"/>
          <w:szCs w:val="32"/>
        </w:rPr>
        <w:t>项目实施对经济和社会的影响</w:t>
      </w:r>
    </w:p>
    <w:p w14:paraId="6077F237">
      <w:pPr>
        <w:pStyle w:val="16"/>
        <w:spacing w:line="360" w:lineRule="auto"/>
        <w:ind w:firstLine="640" w:firstLineChars="200"/>
        <w:rPr>
          <w:rFonts w:ascii="仿宋" w:eastAsia="仿宋"/>
          <w:sz w:val="32"/>
          <w:szCs w:val="32"/>
        </w:rPr>
      </w:pPr>
      <w:r>
        <w:rPr>
          <w:rFonts w:hint="eastAsia" w:ascii="仿宋" w:eastAsia="仿宋"/>
          <w:sz w:val="32"/>
          <w:szCs w:val="32"/>
        </w:rPr>
        <w:t>通过对航线的宣传，促进已有航线的正常运营和持续发展，为怀化航空发展提供良好政务环境，加强与旅游的融合，产生较好的社会效益，社会公众满意度达到90%以上。加强铁路安全宣传，督促各县市区整治领导小组确定责任部门，明确责任领导和联络员,确保铁路运营安全和人民群众生命财产安全,社会公众满意度达到95%以上</w:t>
      </w:r>
    </w:p>
    <w:p w14:paraId="0D79FE8A">
      <w:pPr>
        <w:pStyle w:val="16"/>
        <w:numPr>
          <w:ilvl w:val="0"/>
          <w:numId w:val="5"/>
        </w:numPr>
        <w:spacing w:line="360" w:lineRule="auto"/>
        <w:ind w:firstLine="643" w:firstLineChars="200"/>
        <w:rPr>
          <w:rFonts w:ascii="楷体" w:eastAsia="楷体"/>
          <w:b/>
          <w:sz w:val="32"/>
          <w:szCs w:val="32"/>
        </w:rPr>
      </w:pPr>
      <w:r>
        <w:rPr>
          <w:rFonts w:hint="eastAsia" w:ascii="楷体" w:eastAsia="楷体"/>
          <w:b/>
          <w:sz w:val="32"/>
          <w:szCs w:val="32"/>
        </w:rPr>
        <w:t>综合评价情况及评价结论（附相关评分表）</w:t>
      </w:r>
    </w:p>
    <w:p w14:paraId="2751FE68">
      <w:pPr>
        <w:pStyle w:val="16"/>
        <w:ind w:firstLine="640" w:firstLineChars="200"/>
        <w:rPr>
          <w:rFonts w:ascii="仿宋" w:hAnsi="仿宋" w:eastAsia="仿宋" w:cs="仿宋"/>
          <w:bCs/>
          <w:sz w:val="32"/>
          <w:szCs w:val="32"/>
        </w:rPr>
      </w:pPr>
      <w:r>
        <w:rPr>
          <w:rFonts w:hint="eastAsia" w:ascii="仿宋" w:hAnsi="仿宋" w:eastAsia="仿宋" w:cs="仿宋"/>
          <w:bCs/>
          <w:sz w:val="32"/>
          <w:szCs w:val="32"/>
        </w:rPr>
        <w:t>我中心建立健全了内部控制制度，完善专项管理办法，全面保证了专项资金的专款专用。项目取得了较好的社会效益，自我填报《财政专项资金绩效评价共性指标表》，得分98分。</w:t>
      </w:r>
    </w:p>
    <w:p w14:paraId="769F5B66">
      <w:pPr>
        <w:spacing w:line="560" w:lineRule="exact"/>
        <w:ind w:firstLine="482" w:firstLineChars="150"/>
        <w:rPr>
          <w:rFonts w:ascii="楷体" w:eastAsia="楷体"/>
          <w:b/>
          <w:sz w:val="32"/>
          <w:szCs w:val="32"/>
        </w:rPr>
      </w:pPr>
      <w:r>
        <w:rPr>
          <w:rFonts w:hint="eastAsia" w:ascii="楷体" w:eastAsia="楷体"/>
          <w:b/>
          <w:sz w:val="32"/>
          <w:szCs w:val="32"/>
        </w:rPr>
        <w:t>五、绩效评价结果应用建议（以后年度预算安排、评价结果公开等）</w:t>
      </w:r>
    </w:p>
    <w:p w14:paraId="6F0E4D54">
      <w:pPr>
        <w:spacing w:line="560" w:lineRule="exact"/>
        <w:ind w:firstLine="480" w:firstLineChars="150"/>
        <w:rPr>
          <w:rFonts w:ascii="仿宋" w:hAnsi="仿宋" w:eastAsia="仿宋"/>
          <w:sz w:val="32"/>
          <w:szCs w:val="32"/>
        </w:rPr>
      </w:pPr>
      <w:r>
        <w:rPr>
          <w:rFonts w:hint="eastAsia" w:ascii="仿宋" w:hAnsi="仿宋" w:eastAsia="仿宋"/>
          <w:sz w:val="32"/>
          <w:szCs w:val="32"/>
        </w:rPr>
        <w:t xml:space="preserve"> 1、加大航线宣传投入，提升航线航班的运营效率，加强沟通、对接，进一步改善既有航班时刻品质，最大程度发挥航线补贴效益，规范补贴管理手续。建议将</w:t>
      </w:r>
      <w:r>
        <w:rPr>
          <w:rFonts w:hint="eastAsia" w:ascii="仿宋" w:hAnsi="仿宋" w:eastAsia="仿宋" w:cs="宋体"/>
          <w:sz w:val="32"/>
          <w:szCs w:val="32"/>
        </w:rPr>
        <w:t>芷江机场航线开发培育专项业务经费纳入财政年初预算</w:t>
      </w:r>
      <w:r>
        <w:rPr>
          <w:rFonts w:hint="eastAsia" w:ascii="仿宋" w:hAnsi="仿宋" w:eastAsia="仿宋"/>
          <w:sz w:val="32"/>
          <w:szCs w:val="32"/>
        </w:rPr>
        <w:t>预算。</w:t>
      </w:r>
    </w:p>
    <w:p w14:paraId="5035B805">
      <w:pPr>
        <w:pStyle w:val="16"/>
        <w:ind w:firstLine="320" w:firstLineChars="100"/>
        <w:rPr>
          <w:rFonts w:ascii="楷体" w:eastAsia="楷体"/>
          <w:b/>
          <w:sz w:val="32"/>
          <w:szCs w:val="32"/>
        </w:rPr>
      </w:pPr>
      <w:r>
        <w:rPr>
          <w:rFonts w:hint="eastAsia" w:ascii="仿宋" w:hAnsi="仿宋" w:eastAsia="仿宋"/>
          <w:sz w:val="32"/>
          <w:szCs w:val="32"/>
        </w:rPr>
        <w:t>2、由于铁路整治任务逐年递增，强度难度也相应加大，建议增加铁路安全环境整治工作经费预算。</w:t>
      </w:r>
    </w:p>
    <w:p w14:paraId="3B8A1671">
      <w:pPr>
        <w:pStyle w:val="16"/>
        <w:spacing w:line="360" w:lineRule="auto"/>
        <w:ind w:firstLine="643" w:firstLineChars="200"/>
        <w:rPr>
          <w:rFonts w:ascii="楷体" w:eastAsia="楷体"/>
          <w:b/>
          <w:sz w:val="32"/>
          <w:szCs w:val="32"/>
        </w:rPr>
      </w:pPr>
      <w:r>
        <w:rPr>
          <w:rFonts w:hint="eastAsia" w:ascii="楷体" w:eastAsia="楷体"/>
          <w:b/>
          <w:sz w:val="32"/>
          <w:szCs w:val="32"/>
        </w:rPr>
        <w:t>六、主要经验及做法、存在的问题和建议</w:t>
      </w:r>
    </w:p>
    <w:p w14:paraId="18BCBA97">
      <w:pPr>
        <w:pStyle w:val="7"/>
        <w:widowControl/>
        <w:shd w:val="clear" w:color="auto" w:fill="FFFFFF"/>
        <w:spacing w:beforeAutospacing="0" w:afterAutospacing="0" w:line="480" w:lineRule="atLeast"/>
        <w:rPr>
          <w:rFonts w:ascii="仿宋" w:hAnsi="仿宋" w:eastAsia="仿宋" w:cs="仿宋"/>
          <w:bCs/>
          <w:sz w:val="32"/>
          <w:szCs w:val="32"/>
        </w:rPr>
      </w:pPr>
      <w:r>
        <w:rPr>
          <w:rFonts w:hint="eastAsia" w:ascii="仿宋" w:hAnsi="仿宋" w:eastAsia="仿宋" w:cs="仿宋"/>
          <w:bCs/>
          <w:sz w:val="32"/>
          <w:szCs w:val="32"/>
        </w:rPr>
        <w:t>进一步建立健全了内部控制制度，完善专项管理办法，全面保证了专项资金的专款专用，加强项目组织管理，确保确保项目顺利进行，使项目取得了更好的社会效益。</w:t>
      </w:r>
    </w:p>
    <w:p w14:paraId="7889E92D">
      <w:pPr>
        <w:pStyle w:val="7"/>
        <w:widowControl/>
        <w:shd w:val="clear" w:color="auto" w:fill="FFFFFF"/>
        <w:spacing w:beforeAutospacing="0" w:afterAutospacing="0" w:line="480" w:lineRule="atLeast"/>
        <w:ind w:firstLine="643" w:firstLineChars="200"/>
        <w:rPr>
          <w:rFonts w:ascii="仿宋" w:hAnsi="仿宋" w:eastAsia="仿宋" w:cs="仿宋"/>
          <w:b/>
          <w:sz w:val="32"/>
          <w:szCs w:val="32"/>
        </w:rPr>
      </w:pPr>
      <w:r>
        <w:rPr>
          <w:rFonts w:hint="eastAsia" w:ascii="仿宋" w:hAnsi="仿宋" w:eastAsia="仿宋" w:cs="仿宋"/>
          <w:b/>
          <w:sz w:val="32"/>
          <w:szCs w:val="32"/>
        </w:rPr>
        <w:t>七、其他需要说明的问题</w:t>
      </w:r>
    </w:p>
    <w:p w14:paraId="026275C0">
      <w:pPr>
        <w:pStyle w:val="7"/>
        <w:widowControl/>
        <w:shd w:val="clear" w:color="auto" w:fill="FFFFFF"/>
        <w:spacing w:beforeAutospacing="0" w:afterAutospacing="0" w:line="480" w:lineRule="atLeast"/>
        <w:ind w:firstLine="640" w:firstLineChars="200"/>
        <w:rPr>
          <w:rFonts w:ascii="仿宋" w:hAnsi="仿宋" w:eastAsia="仿宋" w:cs="仿宋"/>
          <w:bCs/>
          <w:sz w:val="32"/>
          <w:szCs w:val="32"/>
        </w:rPr>
      </w:pPr>
      <w:r>
        <w:rPr>
          <w:rFonts w:hint="eastAsia" w:ascii="仿宋" w:hAnsi="仿宋" w:eastAsia="仿宋" w:cs="仿宋"/>
          <w:bCs/>
          <w:sz w:val="32"/>
          <w:szCs w:val="32"/>
        </w:rPr>
        <w:t>无</w:t>
      </w:r>
    </w:p>
    <w:p w14:paraId="5EA7E467">
      <w:pPr>
        <w:pStyle w:val="7"/>
        <w:widowControl/>
        <w:shd w:val="clear" w:color="auto" w:fill="FFFFFF"/>
        <w:spacing w:beforeAutospacing="0" w:afterAutospacing="0" w:line="480" w:lineRule="atLeast"/>
        <w:rPr>
          <w:rFonts w:ascii="仿宋" w:hAnsi="仿宋" w:eastAsia="仿宋" w:cs="仿宋"/>
          <w:color w:val="000000"/>
          <w:sz w:val="32"/>
          <w:szCs w:val="32"/>
          <w:shd w:val="clear" w:color="auto" w:fill="FFFFFF"/>
        </w:rPr>
      </w:pPr>
    </w:p>
    <w:p w14:paraId="464FB7C7">
      <w:pPr>
        <w:pStyle w:val="7"/>
        <w:widowControl/>
        <w:shd w:val="clear" w:color="auto" w:fill="FFFFFF"/>
        <w:spacing w:beforeAutospacing="0" w:afterAutospacing="0" w:line="480" w:lineRule="atLeast"/>
        <w:rPr>
          <w:rFonts w:ascii="仿宋" w:hAnsi="仿宋" w:eastAsia="仿宋" w:cs="仿宋"/>
          <w:color w:val="000000"/>
          <w:sz w:val="32"/>
          <w:szCs w:val="32"/>
          <w:shd w:val="clear" w:color="auto" w:fill="FFFFFF"/>
        </w:rPr>
      </w:pPr>
    </w:p>
    <w:p w14:paraId="6329EA3D">
      <w:pPr>
        <w:pStyle w:val="7"/>
        <w:widowControl/>
        <w:shd w:val="clear" w:color="auto" w:fill="FFFFFF"/>
        <w:spacing w:beforeAutospacing="0" w:afterAutospacing="0" w:line="480" w:lineRule="atLeast"/>
        <w:rPr>
          <w:rFonts w:ascii="仿宋" w:hAnsi="仿宋" w:eastAsia="仿宋" w:cs="仿宋"/>
          <w:color w:val="000000"/>
          <w:sz w:val="32"/>
          <w:szCs w:val="32"/>
          <w:shd w:val="clear" w:color="auto" w:fill="FFFFFF"/>
        </w:rPr>
      </w:pPr>
    </w:p>
    <w:p w14:paraId="2EFB0FE5">
      <w:pPr>
        <w:pStyle w:val="7"/>
        <w:widowControl/>
        <w:shd w:val="clear" w:color="auto" w:fill="FFFFFF"/>
        <w:spacing w:beforeAutospacing="0" w:afterAutospacing="0" w:line="480" w:lineRule="atLeast"/>
        <w:rPr>
          <w:rFonts w:ascii="仿宋" w:hAnsi="仿宋" w:eastAsia="仿宋" w:cs="仿宋"/>
          <w:color w:val="000000"/>
          <w:sz w:val="32"/>
          <w:szCs w:val="32"/>
          <w:shd w:val="clear" w:color="auto" w:fill="FFFFFF"/>
        </w:rPr>
      </w:pPr>
    </w:p>
    <w:p w14:paraId="7BA62FD7">
      <w:pPr>
        <w:pStyle w:val="7"/>
        <w:widowControl/>
        <w:shd w:val="clear" w:color="auto" w:fill="FFFFFF"/>
        <w:spacing w:beforeAutospacing="0" w:afterAutospacing="0" w:line="480" w:lineRule="atLeast"/>
        <w:jc w:val="both"/>
        <w:rPr>
          <w:rFonts w:ascii="方正小标宋_GBK" w:hAnsi="方正小标宋_GBK" w:eastAsia="方正小标宋_GBK" w:cs="方正小标宋_GBK"/>
          <w:sz w:val="20"/>
          <w:szCs w:val="20"/>
          <w:shd w:val="clear" w:color="auto" w:fill="FFFFFF"/>
        </w:rPr>
      </w:pPr>
    </w:p>
    <w:p w14:paraId="4C9EED82">
      <w:pPr>
        <w:widowControl/>
        <w:tabs>
          <w:tab w:val="left" w:pos="3611"/>
          <w:tab w:val="left" w:pos="4791"/>
          <w:tab w:val="left" w:pos="5951"/>
          <w:tab w:val="left" w:pos="7071"/>
          <w:tab w:val="left" w:pos="8191"/>
          <w:tab w:val="left" w:pos="9311"/>
        </w:tabs>
        <w:snapToGrid w:val="0"/>
        <w:spacing w:line="440" w:lineRule="atLeast"/>
        <w:jc w:val="center"/>
        <w:rPr>
          <w:rFonts w:ascii="方正小标宋_GBK" w:hAnsi="方正小标宋_GBK" w:eastAsia="方正小标宋_GBK" w:cs="方正小标宋_GBK"/>
          <w:sz w:val="28"/>
          <w:szCs w:val="28"/>
          <w:shd w:val="clear" w:color="auto" w:fill="FFFFFF"/>
          <w:lang w:eastAsia="zh-CN"/>
        </w:rPr>
      </w:pPr>
      <w:r>
        <w:rPr>
          <w:rFonts w:hint="eastAsia" w:ascii="方正小标宋_GBK" w:hAnsi="方正小标宋_GBK" w:eastAsia="方正小标宋_GBK" w:cs="方正小标宋_GBK"/>
          <w:sz w:val="28"/>
          <w:szCs w:val="28"/>
          <w:shd w:val="clear" w:color="auto" w:fill="FFFFFF"/>
          <w:lang w:eastAsia="zh-CN"/>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4FFC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ign w:val="center"/>
          </w:tcPr>
          <w:p w14:paraId="3D67E3A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项目支</w:t>
            </w:r>
          </w:p>
          <w:p w14:paraId="6713AEE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出名称</w:t>
            </w:r>
          </w:p>
        </w:tc>
        <w:tc>
          <w:tcPr>
            <w:tcW w:w="8771" w:type="dxa"/>
            <w:gridSpan w:val="8"/>
            <w:noWrap/>
            <w:vAlign w:val="center"/>
          </w:tcPr>
          <w:p w14:paraId="6DF89C67">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芷江机场航线开发培育工作经费</w:t>
            </w:r>
          </w:p>
        </w:tc>
      </w:tr>
      <w:tr w14:paraId="51E7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ign w:val="center"/>
          </w:tcPr>
          <w:p w14:paraId="1377B097">
            <w:pPr>
              <w:widowControl/>
              <w:spacing w:line="280" w:lineRule="exact"/>
              <w:rPr>
                <w:rFonts w:ascii="仿宋" w:hAnsi="仿宋" w:eastAsia="仿宋" w:cs="仿宋"/>
                <w:sz w:val="20"/>
                <w:szCs w:val="20"/>
              </w:rPr>
            </w:pPr>
            <w:r>
              <w:rPr>
                <w:rFonts w:hint="eastAsia" w:ascii="仿宋" w:hAnsi="仿宋" w:eastAsia="仿宋" w:cs="仿宋"/>
                <w:sz w:val="20"/>
                <w:szCs w:val="20"/>
              </w:rPr>
              <w:t>主管部门</w:t>
            </w:r>
          </w:p>
        </w:tc>
        <w:tc>
          <w:tcPr>
            <w:tcW w:w="4518" w:type="dxa"/>
            <w:gridSpan w:val="4"/>
            <w:noWrap/>
            <w:vAlign w:val="center"/>
          </w:tcPr>
          <w:p w14:paraId="4DD2D6E4">
            <w:pPr>
              <w:widowControl/>
              <w:spacing w:line="280" w:lineRule="exact"/>
              <w:rPr>
                <w:rFonts w:ascii="仿宋" w:hAnsi="仿宋" w:eastAsia="仿宋" w:cs="仿宋"/>
                <w:sz w:val="20"/>
                <w:szCs w:val="20"/>
              </w:rPr>
            </w:pPr>
            <w:r>
              <w:rPr>
                <w:rFonts w:hint="eastAsia" w:ascii="仿宋" w:hAnsi="仿宋" w:eastAsia="仿宋" w:cs="仿宋"/>
                <w:sz w:val="20"/>
                <w:szCs w:val="20"/>
              </w:rPr>
              <w:t>怀化市交通运输局　</w:t>
            </w:r>
          </w:p>
        </w:tc>
        <w:tc>
          <w:tcPr>
            <w:tcW w:w="1134" w:type="dxa"/>
            <w:noWrap/>
            <w:vAlign w:val="center"/>
          </w:tcPr>
          <w:p w14:paraId="68CADA5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实施单位</w:t>
            </w:r>
          </w:p>
        </w:tc>
        <w:tc>
          <w:tcPr>
            <w:tcW w:w="3119" w:type="dxa"/>
            <w:gridSpan w:val="3"/>
            <w:noWrap/>
            <w:vAlign w:val="center"/>
          </w:tcPr>
          <w:p w14:paraId="27ED96C4">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　怀化市综合交通运输协调服务中心</w:t>
            </w:r>
          </w:p>
        </w:tc>
      </w:tr>
      <w:tr w14:paraId="4DE0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14:paraId="5EA2EDBC">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rPr>
              <w:t>项目资金</w:t>
            </w:r>
          </w:p>
          <w:p w14:paraId="5A74F5E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（万元）</w:t>
            </w:r>
          </w:p>
        </w:tc>
        <w:tc>
          <w:tcPr>
            <w:tcW w:w="2160" w:type="dxa"/>
            <w:gridSpan w:val="2"/>
            <w:noWrap/>
            <w:vAlign w:val="center"/>
          </w:tcPr>
          <w:p w14:paraId="625B9742">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49" w:type="dxa"/>
            <w:noWrap/>
            <w:vAlign w:val="center"/>
          </w:tcPr>
          <w:p w14:paraId="40E6542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年初</w:t>
            </w:r>
          </w:p>
          <w:p w14:paraId="70269D1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209" w:type="dxa"/>
            <w:noWrap/>
            <w:vAlign w:val="center"/>
          </w:tcPr>
          <w:p w14:paraId="31915520">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5593281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134" w:type="dxa"/>
            <w:noWrap/>
            <w:vAlign w:val="center"/>
          </w:tcPr>
          <w:p w14:paraId="0B8896E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11B1DC0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执行数</w:t>
            </w:r>
          </w:p>
        </w:tc>
        <w:tc>
          <w:tcPr>
            <w:tcW w:w="828" w:type="dxa"/>
            <w:noWrap/>
            <w:vAlign w:val="center"/>
          </w:tcPr>
          <w:p w14:paraId="7885BBE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23E4330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1418" w:type="dxa"/>
            <w:noWrap/>
            <w:vAlign w:val="center"/>
          </w:tcPr>
          <w:p w14:paraId="298A2DD0">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r>
      <w:tr w14:paraId="7E30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40C73B2B">
            <w:pPr>
              <w:widowControl/>
              <w:spacing w:line="280" w:lineRule="exact"/>
              <w:rPr>
                <w:rFonts w:ascii="仿宋" w:hAnsi="仿宋" w:eastAsia="仿宋" w:cs="仿宋"/>
                <w:sz w:val="20"/>
                <w:szCs w:val="20"/>
              </w:rPr>
            </w:pPr>
          </w:p>
        </w:tc>
        <w:tc>
          <w:tcPr>
            <w:tcW w:w="2160" w:type="dxa"/>
            <w:gridSpan w:val="2"/>
            <w:noWrap/>
            <w:vAlign w:val="center"/>
          </w:tcPr>
          <w:p w14:paraId="40BB9002">
            <w:pPr>
              <w:widowControl/>
              <w:spacing w:line="280" w:lineRule="exact"/>
              <w:rPr>
                <w:rFonts w:ascii="仿宋" w:hAnsi="仿宋" w:eastAsia="仿宋" w:cs="仿宋"/>
                <w:sz w:val="20"/>
                <w:szCs w:val="20"/>
              </w:rPr>
            </w:pPr>
            <w:r>
              <w:rPr>
                <w:rFonts w:hint="eastAsia" w:ascii="仿宋" w:hAnsi="仿宋" w:eastAsia="仿宋" w:cs="仿宋"/>
                <w:sz w:val="20"/>
                <w:szCs w:val="20"/>
              </w:rPr>
              <w:t>年度资金总额　</w:t>
            </w:r>
          </w:p>
        </w:tc>
        <w:tc>
          <w:tcPr>
            <w:tcW w:w="1149" w:type="dxa"/>
            <w:noWrap/>
            <w:vAlign w:val="center"/>
          </w:tcPr>
          <w:p w14:paraId="30AE164E">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1209" w:type="dxa"/>
            <w:noWrap/>
            <w:vAlign w:val="center"/>
          </w:tcPr>
          <w:p w14:paraId="6DA7671E">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1134" w:type="dxa"/>
            <w:noWrap/>
            <w:vAlign w:val="center"/>
          </w:tcPr>
          <w:p w14:paraId="4CBA4EA4">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828" w:type="dxa"/>
            <w:noWrap/>
            <w:vAlign w:val="center"/>
          </w:tcPr>
          <w:p w14:paraId="4D383F33">
            <w:pPr>
              <w:widowControl/>
              <w:spacing w:line="280" w:lineRule="exact"/>
              <w:rPr>
                <w:rFonts w:ascii="仿宋" w:hAnsi="仿宋" w:eastAsia="仿宋" w:cs="仿宋"/>
                <w:sz w:val="20"/>
                <w:szCs w:val="20"/>
              </w:rPr>
            </w:pPr>
            <w:r>
              <w:rPr>
                <w:rFonts w:hint="eastAsia" w:ascii="仿宋" w:hAnsi="仿宋" w:eastAsia="仿宋" w:cs="仿宋"/>
                <w:sz w:val="20"/>
                <w:szCs w:val="20"/>
              </w:rPr>
              <w:t>　10</w:t>
            </w:r>
          </w:p>
        </w:tc>
        <w:tc>
          <w:tcPr>
            <w:tcW w:w="873" w:type="dxa"/>
            <w:noWrap/>
            <w:vAlign w:val="center"/>
          </w:tcPr>
          <w:p w14:paraId="093920FC">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w:t>
            </w:r>
          </w:p>
        </w:tc>
        <w:tc>
          <w:tcPr>
            <w:tcW w:w="1418" w:type="dxa"/>
            <w:noWrap/>
            <w:vAlign w:val="center"/>
          </w:tcPr>
          <w:p w14:paraId="692FAC21">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r>
      <w:tr w14:paraId="054C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597024E3">
            <w:pPr>
              <w:widowControl/>
              <w:spacing w:line="280" w:lineRule="exact"/>
              <w:rPr>
                <w:rFonts w:ascii="仿宋" w:hAnsi="仿宋" w:eastAsia="仿宋" w:cs="仿宋"/>
                <w:sz w:val="20"/>
                <w:szCs w:val="20"/>
              </w:rPr>
            </w:pPr>
          </w:p>
        </w:tc>
        <w:tc>
          <w:tcPr>
            <w:tcW w:w="2160" w:type="dxa"/>
            <w:gridSpan w:val="2"/>
            <w:noWrap/>
            <w:vAlign w:val="center"/>
          </w:tcPr>
          <w:p w14:paraId="6CF57847">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其中：当年财政拨款　</w:t>
            </w:r>
          </w:p>
        </w:tc>
        <w:tc>
          <w:tcPr>
            <w:tcW w:w="1149" w:type="dxa"/>
            <w:noWrap/>
            <w:vAlign w:val="center"/>
          </w:tcPr>
          <w:p w14:paraId="5FEE805D">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1209" w:type="dxa"/>
            <w:noWrap/>
            <w:vAlign w:val="center"/>
          </w:tcPr>
          <w:p w14:paraId="4D926524">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1134" w:type="dxa"/>
            <w:noWrap/>
            <w:vAlign w:val="center"/>
          </w:tcPr>
          <w:p w14:paraId="108B456F">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c>
          <w:tcPr>
            <w:tcW w:w="828" w:type="dxa"/>
            <w:noWrap/>
            <w:vAlign w:val="center"/>
          </w:tcPr>
          <w:p w14:paraId="03C87A9D">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2CA3EA9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6F1D7EA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16E1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2A28B9BB">
            <w:pPr>
              <w:widowControl/>
              <w:spacing w:line="280" w:lineRule="exact"/>
              <w:rPr>
                <w:rFonts w:ascii="仿宋" w:hAnsi="仿宋" w:eastAsia="仿宋" w:cs="仿宋"/>
                <w:sz w:val="20"/>
                <w:szCs w:val="20"/>
              </w:rPr>
            </w:pPr>
          </w:p>
        </w:tc>
        <w:tc>
          <w:tcPr>
            <w:tcW w:w="2160" w:type="dxa"/>
            <w:gridSpan w:val="2"/>
            <w:noWrap/>
            <w:vAlign w:val="center"/>
          </w:tcPr>
          <w:p w14:paraId="5AAE6ACF">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上年结转资金　</w:t>
            </w:r>
          </w:p>
        </w:tc>
        <w:tc>
          <w:tcPr>
            <w:tcW w:w="1149" w:type="dxa"/>
            <w:noWrap/>
            <w:vAlign w:val="center"/>
          </w:tcPr>
          <w:p w14:paraId="188F913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73503636">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25009E3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3A2FA189">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6DA59396">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67506617">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326A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ign w:val="center"/>
          </w:tcPr>
          <w:p w14:paraId="5DD21EBA">
            <w:pPr>
              <w:widowControl/>
              <w:spacing w:line="280" w:lineRule="exact"/>
              <w:rPr>
                <w:rFonts w:ascii="仿宋" w:hAnsi="仿宋" w:eastAsia="仿宋" w:cs="仿宋"/>
                <w:sz w:val="20"/>
                <w:szCs w:val="20"/>
              </w:rPr>
            </w:pPr>
          </w:p>
        </w:tc>
        <w:tc>
          <w:tcPr>
            <w:tcW w:w="2160" w:type="dxa"/>
            <w:gridSpan w:val="2"/>
            <w:noWrap/>
            <w:vAlign w:val="center"/>
          </w:tcPr>
          <w:p w14:paraId="11590655">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其他资金</w:t>
            </w:r>
          </w:p>
        </w:tc>
        <w:tc>
          <w:tcPr>
            <w:tcW w:w="1149" w:type="dxa"/>
            <w:noWrap/>
            <w:vAlign w:val="center"/>
          </w:tcPr>
          <w:p w14:paraId="21879C3B">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3E8E097B">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2BE52D8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11D35A0A">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77B9541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0EF3C9A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1C2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80" w:type="dxa"/>
            <w:vMerge w:val="restart"/>
            <w:noWrap/>
            <w:vAlign w:val="center"/>
          </w:tcPr>
          <w:p w14:paraId="3BD3ED6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年度总体目标</w:t>
            </w:r>
          </w:p>
        </w:tc>
        <w:tc>
          <w:tcPr>
            <w:tcW w:w="4518" w:type="dxa"/>
            <w:gridSpan w:val="4"/>
            <w:noWrap/>
            <w:vAlign w:val="center"/>
          </w:tcPr>
          <w:p w14:paraId="7F71F44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预期目标</w:t>
            </w:r>
          </w:p>
        </w:tc>
        <w:tc>
          <w:tcPr>
            <w:tcW w:w="4253" w:type="dxa"/>
            <w:gridSpan w:val="4"/>
            <w:noWrap/>
            <w:vAlign w:val="center"/>
          </w:tcPr>
          <w:p w14:paraId="101115C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实际完成情况　</w:t>
            </w:r>
          </w:p>
        </w:tc>
      </w:tr>
      <w:tr w14:paraId="4F52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80" w:type="dxa"/>
            <w:vMerge w:val="continue"/>
            <w:noWrap/>
            <w:vAlign w:val="center"/>
          </w:tcPr>
          <w:p w14:paraId="27EC45B0">
            <w:pPr>
              <w:widowControl/>
              <w:spacing w:line="280" w:lineRule="exact"/>
              <w:rPr>
                <w:rFonts w:ascii="仿宋" w:hAnsi="仿宋" w:eastAsia="仿宋" w:cs="仿宋"/>
                <w:sz w:val="20"/>
                <w:szCs w:val="20"/>
              </w:rPr>
            </w:pPr>
          </w:p>
        </w:tc>
        <w:tc>
          <w:tcPr>
            <w:tcW w:w="4518" w:type="dxa"/>
            <w:gridSpan w:val="4"/>
            <w:noWrap/>
            <w:vAlign w:val="center"/>
          </w:tcPr>
          <w:p w14:paraId="7F091855">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10.00</w:t>
            </w:r>
          </w:p>
        </w:tc>
        <w:tc>
          <w:tcPr>
            <w:tcW w:w="4253" w:type="dxa"/>
            <w:gridSpan w:val="4"/>
            <w:noWrap/>
            <w:vAlign w:val="center"/>
          </w:tcPr>
          <w:p w14:paraId="24D6B235">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10.00</w:t>
            </w:r>
          </w:p>
        </w:tc>
      </w:tr>
      <w:tr w14:paraId="499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14:paraId="332B54D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绩</w:t>
            </w:r>
          </w:p>
          <w:p w14:paraId="276CC33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效</w:t>
            </w:r>
          </w:p>
          <w:p w14:paraId="67759E2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w:t>
            </w:r>
          </w:p>
          <w:p w14:paraId="6E4FB99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标</w:t>
            </w:r>
          </w:p>
        </w:tc>
        <w:tc>
          <w:tcPr>
            <w:tcW w:w="1080" w:type="dxa"/>
            <w:noWrap/>
            <w:vAlign w:val="center"/>
          </w:tcPr>
          <w:p w14:paraId="5AF2DE4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一级指标</w:t>
            </w:r>
          </w:p>
        </w:tc>
        <w:tc>
          <w:tcPr>
            <w:tcW w:w="1080" w:type="dxa"/>
            <w:noWrap/>
            <w:vAlign w:val="center"/>
          </w:tcPr>
          <w:p w14:paraId="15DAA3F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二级指标</w:t>
            </w:r>
          </w:p>
        </w:tc>
        <w:tc>
          <w:tcPr>
            <w:tcW w:w="1149" w:type="dxa"/>
            <w:noWrap/>
            <w:vAlign w:val="center"/>
          </w:tcPr>
          <w:p w14:paraId="29412C40">
            <w:pPr>
              <w:widowControl/>
              <w:jc w:val="center"/>
              <w:rPr>
                <w:rFonts w:ascii="仿宋" w:hAnsi="仿宋" w:eastAsia="仿宋" w:cs="仿宋"/>
                <w:sz w:val="15"/>
                <w:szCs w:val="15"/>
              </w:rPr>
            </w:pPr>
            <w:r>
              <w:rPr>
                <w:rFonts w:hint="eastAsia" w:ascii="仿宋_GB2312" w:hAnsi="宋体" w:eastAsia="仿宋_GB2312" w:cs="宋体"/>
                <w:sz w:val="15"/>
                <w:szCs w:val="15"/>
              </w:rPr>
              <w:t>三级指标</w:t>
            </w:r>
          </w:p>
        </w:tc>
        <w:tc>
          <w:tcPr>
            <w:tcW w:w="1209" w:type="dxa"/>
            <w:noWrap/>
            <w:vAlign w:val="center"/>
          </w:tcPr>
          <w:p w14:paraId="6604A721">
            <w:pPr>
              <w:widowControl/>
              <w:jc w:val="center"/>
              <w:rPr>
                <w:rFonts w:ascii="仿宋" w:hAnsi="仿宋" w:eastAsia="仿宋" w:cs="仿宋"/>
                <w:sz w:val="18"/>
                <w:szCs w:val="18"/>
              </w:rPr>
            </w:pPr>
            <w:r>
              <w:rPr>
                <w:rFonts w:hint="eastAsia" w:ascii="仿宋_GB2312" w:hAnsi="宋体" w:eastAsia="仿宋_GB2312" w:cs="宋体"/>
                <w:sz w:val="18"/>
                <w:szCs w:val="18"/>
              </w:rPr>
              <w:t>年度指标值</w:t>
            </w:r>
          </w:p>
        </w:tc>
        <w:tc>
          <w:tcPr>
            <w:tcW w:w="1134" w:type="dxa"/>
            <w:noWrap/>
            <w:vAlign w:val="center"/>
          </w:tcPr>
          <w:p w14:paraId="788DC78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w:t>
            </w:r>
          </w:p>
          <w:p w14:paraId="23DD343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完成值</w:t>
            </w:r>
          </w:p>
        </w:tc>
        <w:tc>
          <w:tcPr>
            <w:tcW w:w="828" w:type="dxa"/>
            <w:noWrap/>
            <w:vAlign w:val="center"/>
          </w:tcPr>
          <w:p w14:paraId="1AD2583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1A6E5F9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c>
          <w:tcPr>
            <w:tcW w:w="1418" w:type="dxa"/>
            <w:noWrap/>
            <w:vAlign w:val="center"/>
          </w:tcPr>
          <w:p w14:paraId="1117BF41">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偏差原因</w:t>
            </w:r>
          </w:p>
          <w:p w14:paraId="59D23BBC">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分析及</w:t>
            </w:r>
          </w:p>
          <w:p w14:paraId="0E50D672">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改进措施</w:t>
            </w:r>
          </w:p>
        </w:tc>
      </w:tr>
      <w:tr w14:paraId="50F8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noWrap/>
            <w:vAlign w:val="center"/>
          </w:tcPr>
          <w:p w14:paraId="58B699A5">
            <w:pPr>
              <w:widowControl/>
              <w:spacing w:line="280" w:lineRule="exact"/>
              <w:rPr>
                <w:rFonts w:ascii="仿宋" w:hAnsi="仿宋" w:eastAsia="仿宋" w:cs="仿宋"/>
                <w:sz w:val="20"/>
                <w:szCs w:val="20"/>
                <w:lang w:eastAsia="zh-CN"/>
              </w:rPr>
            </w:pPr>
          </w:p>
        </w:tc>
        <w:tc>
          <w:tcPr>
            <w:tcW w:w="1080" w:type="dxa"/>
            <w:vMerge w:val="restart"/>
            <w:noWrap/>
            <w:vAlign w:val="center"/>
          </w:tcPr>
          <w:p w14:paraId="7AD1DE0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产出指标</w:t>
            </w:r>
          </w:p>
          <w:p w14:paraId="0BE6F6BC">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w:t>
            </w:r>
            <w:r>
              <w:rPr>
                <w:rFonts w:hint="eastAsia" w:ascii="仿宋" w:hAnsi="仿宋" w:eastAsia="仿宋" w:cs="仿宋"/>
                <w:sz w:val="20"/>
                <w:szCs w:val="20"/>
              </w:rPr>
              <w:t>50分</w:t>
            </w:r>
            <w:r>
              <w:rPr>
                <w:rFonts w:hint="eastAsia" w:ascii="仿宋" w:hAnsi="仿宋" w:eastAsia="仿宋" w:cs="仿宋"/>
                <w:sz w:val="20"/>
                <w:szCs w:val="20"/>
                <w:lang w:eastAsia="zh-CN"/>
              </w:rPr>
              <w:t>）</w:t>
            </w:r>
          </w:p>
        </w:tc>
        <w:tc>
          <w:tcPr>
            <w:tcW w:w="1080" w:type="dxa"/>
            <w:noWrap/>
            <w:vAlign w:val="center"/>
          </w:tcPr>
          <w:p w14:paraId="6E54BEF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数量指标</w:t>
            </w:r>
          </w:p>
        </w:tc>
        <w:tc>
          <w:tcPr>
            <w:tcW w:w="1149" w:type="dxa"/>
            <w:noWrap/>
            <w:vAlign w:val="bottom"/>
          </w:tcPr>
          <w:p w14:paraId="5E40BA01">
            <w:pPr>
              <w:widowControl/>
              <w:rPr>
                <w:sz w:val="15"/>
                <w:szCs w:val="15"/>
              </w:rPr>
            </w:pPr>
            <w:r>
              <w:rPr>
                <w:rFonts w:hint="eastAsia" w:ascii="仿宋" w:hAnsi="仿宋" w:eastAsia="仿宋" w:cs="仿宋"/>
                <w:szCs w:val="21"/>
              </w:rPr>
              <w:t>　</w:t>
            </w:r>
            <w:r>
              <w:rPr>
                <w:rFonts w:hint="eastAsia" w:ascii="仿宋" w:hAnsi="仿宋" w:eastAsia="仿宋" w:cs="仿宋"/>
                <w:sz w:val="18"/>
                <w:szCs w:val="18"/>
              </w:rPr>
              <w:t>确保年未在飞航线</w:t>
            </w:r>
          </w:p>
        </w:tc>
        <w:tc>
          <w:tcPr>
            <w:tcW w:w="1209" w:type="dxa"/>
            <w:noWrap/>
            <w:vAlign w:val="bottom"/>
          </w:tcPr>
          <w:p w14:paraId="0AD0866E">
            <w:pPr>
              <w:widowControl/>
              <w:rPr>
                <w:sz w:val="18"/>
                <w:szCs w:val="18"/>
              </w:rPr>
            </w:pPr>
            <w:r>
              <w:rPr>
                <w:rFonts w:hint="eastAsia" w:ascii="仿宋" w:hAnsi="仿宋" w:eastAsia="仿宋" w:cs="仿宋"/>
                <w:sz w:val="18"/>
                <w:szCs w:val="18"/>
                <w:lang w:eastAsia="zh-CN"/>
              </w:rPr>
              <w:t>9条</w:t>
            </w:r>
          </w:p>
        </w:tc>
        <w:tc>
          <w:tcPr>
            <w:tcW w:w="1134" w:type="dxa"/>
            <w:noWrap/>
            <w:vAlign w:val="bottom"/>
          </w:tcPr>
          <w:p w14:paraId="1B6FD154">
            <w:pPr>
              <w:widowControl/>
              <w:rPr>
                <w:rFonts w:ascii="仿宋" w:hAnsi="仿宋" w:eastAsia="仿宋" w:cs="仿宋"/>
                <w:sz w:val="18"/>
                <w:szCs w:val="18"/>
              </w:rPr>
            </w:pPr>
            <w:r>
              <w:rPr>
                <w:rFonts w:hint="eastAsia" w:ascii="仿宋" w:hAnsi="仿宋" w:eastAsia="仿宋" w:cs="仿宋"/>
                <w:sz w:val="18"/>
                <w:szCs w:val="18"/>
                <w:lang w:eastAsia="zh-CN"/>
              </w:rPr>
              <w:t>9条</w:t>
            </w:r>
          </w:p>
        </w:tc>
        <w:tc>
          <w:tcPr>
            <w:tcW w:w="828" w:type="dxa"/>
            <w:noWrap/>
            <w:vAlign w:val="center"/>
          </w:tcPr>
          <w:p w14:paraId="455F2899">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15</w:t>
            </w:r>
          </w:p>
        </w:tc>
        <w:tc>
          <w:tcPr>
            <w:tcW w:w="873" w:type="dxa"/>
            <w:noWrap/>
            <w:vAlign w:val="center"/>
          </w:tcPr>
          <w:p w14:paraId="2DB5F078">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15</w:t>
            </w:r>
          </w:p>
        </w:tc>
        <w:tc>
          <w:tcPr>
            <w:tcW w:w="1418" w:type="dxa"/>
            <w:noWrap/>
            <w:vAlign w:val="center"/>
          </w:tcPr>
          <w:p w14:paraId="4AADF75A">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2C1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noWrap/>
            <w:vAlign w:val="center"/>
          </w:tcPr>
          <w:p w14:paraId="54A4F2B5">
            <w:pPr>
              <w:widowControl/>
              <w:spacing w:line="280" w:lineRule="exact"/>
              <w:rPr>
                <w:rFonts w:ascii="仿宋" w:hAnsi="仿宋" w:eastAsia="仿宋" w:cs="仿宋"/>
                <w:sz w:val="20"/>
                <w:szCs w:val="20"/>
              </w:rPr>
            </w:pPr>
          </w:p>
        </w:tc>
        <w:tc>
          <w:tcPr>
            <w:tcW w:w="1080" w:type="dxa"/>
            <w:vMerge w:val="continue"/>
            <w:noWrap/>
            <w:vAlign w:val="center"/>
          </w:tcPr>
          <w:p w14:paraId="69E85C04">
            <w:pPr>
              <w:widowControl/>
              <w:spacing w:line="280" w:lineRule="exact"/>
              <w:rPr>
                <w:rFonts w:ascii="仿宋" w:hAnsi="仿宋" w:eastAsia="仿宋" w:cs="仿宋"/>
                <w:sz w:val="20"/>
                <w:szCs w:val="20"/>
              </w:rPr>
            </w:pPr>
          </w:p>
        </w:tc>
        <w:tc>
          <w:tcPr>
            <w:tcW w:w="1080" w:type="dxa"/>
            <w:noWrap/>
            <w:vAlign w:val="center"/>
          </w:tcPr>
          <w:p w14:paraId="780A7BE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质量指标</w:t>
            </w:r>
          </w:p>
        </w:tc>
        <w:tc>
          <w:tcPr>
            <w:tcW w:w="1149" w:type="dxa"/>
            <w:noWrap/>
            <w:vAlign w:val="bottom"/>
          </w:tcPr>
          <w:p w14:paraId="118B07EB">
            <w:pPr>
              <w:widowControl/>
              <w:rPr>
                <w:rFonts w:ascii="仿宋" w:hAnsi="仿宋" w:eastAsia="仿宋" w:cs="仿宋"/>
                <w:sz w:val="15"/>
                <w:szCs w:val="15"/>
              </w:rPr>
            </w:pPr>
            <w:r>
              <w:rPr>
                <w:rFonts w:hint="eastAsia" w:ascii="仿宋" w:hAnsi="仿宋" w:eastAsia="仿宋" w:cs="仿宋"/>
                <w:sz w:val="18"/>
                <w:szCs w:val="18"/>
              </w:rPr>
              <w:t>资金使用合规性</w:t>
            </w:r>
          </w:p>
        </w:tc>
        <w:tc>
          <w:tcPr>
            <w:tcW w:w="1209" w:type="dxa"/>
            <w:noWrap/>
            <w:vAlign w:val="bottom"/>
          </w:tcPr>
          <w:p w14:paraId="607F79AF">
            <w:pPr>
              <w:widowControl/>
              <w:rPr>
                <w:rFonts w:ascii="仿宋" w:hAnsi="仿宋" w:eastAsia="仿宋" w:cs="仿宋"/>
                <w:sz w:val="18"/>
                <w:szCs w:val="18"/>
              </w:rPr>
            </w:pPr>
            <w:r>
              <w:rPr>
                <w:rFonts w:hint="eastAsia" w:ascii="仿宋" w:hAnsi="仿宋" w:eastAsia="仿宋" w:cs="仿宋"/>
                <w:sz w:val="18"/>
                <w:szCs w:val="18"/>
              </w:rPr>
              <w:t>合格</w:t>
            </w:r>
          </w:p>
        </w:tc>
        <w:tc>
          <w:tcPr>
            <w:tcW w:w="1134" w:type="dxa"/>
            <w:noWrap/>
            <w:vAlign w:val="bottom"/>
          </w:tcPr>
          <w:p w14:paraId="2195EF5A">
            <w:pPr>
              <w:widowControl/>
              <w:rPr>
                <w:rFonts w:ascii="仿宋" w:hAnsi="仿宋" w:eastAsia="仿宋" w:cs="仿宋"/>
                <w:sz w:val="18"/>
                <w:szCs w:val="18"/>
              </w:rPr>
            </w:pPr>
            <w:r>
              <w:rPr>
                <w:rFonts w:hint="eastAsia" w:ascii="仿宋" w:hAnsi="仿宋" w:eastAsia="仿宋" w:cs="仿宋"/>
                <w:sz w:val="18"/>
                <w:szCs w:val="18"/>
              </w:rPr>
              <w:t>合格</w:t>
            </w:r>
          </w:p>
        </w:tc>
        <w:tc>
          <w:tcPr>
            <w:tcW w:w="828" w:type="dxa"/>
            <w:noWrap/>
            <w:vAlign w:val="center"/>
          </w:tcPr>
          <w:p w14:paraId="2BA86C05">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65BB188A">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6135F8EB">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06F8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ign w:val="center"/>
          </w:tcPr>
          <w:p w14:paraId="4143F74A">
            <w:pPr>
              <w:widowControl/>
              <w:spacing w:line="280" w:lineRule="exact"/>
              <w:rPr>
                <w:rFonts w:ascii="仿宋" w:hAnsi="仿宋" w:eastAsia="仿宋" w:cs="仿宋"/>
                <w:sz w:val="20"/>
                <w:szCs w:val="20"/>
              </w:rPr>
            </w:pPr>
          </w:p>
        </w:tc>
        <w:tc>
          <w:tcPr>
            <w:tcW w:w="1080" w:type="dxa"/>
            <w:vMerge w:val="continue"/>
            <w:noWrap/>
            <w:vAlign w:val="center"/>
          </w:tcPr>
          <w:p w14:paraId="3C6EC6A6">
            <w:pPr>
              <w:widowControl/>
              <w:spacing w:line="280" w:lineRule="exact"/>
              <w:rPr>
                <w:rFonts w:ascii="仿宋" w:hAnsi="仿宋" w:eastAsia="仿宋" w:cs="仿宋"/>
                <w:sz w:val="20"/>
                <w:szCs w:val="20"/>
              </w:rPr>
            </w:pPr>
          </w:p>
        </w:tc>
        <w:tc>
          <w:tcPr>
            <w:tcW w:w="1080" w:type="dxa"/>
            <w:noWrap/>
            <w:vAlign w:val="center"/>
          </w:tcPr>
          <w:p w14:paraId="31EF1D3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时效指标</w:t>
            </w:r>
          </w:p>
        </w:tc>
        <w:tc>
          <w:tcPr>
            <w:tcW w:w="1149" w:type="dxa"/>
            <w:noWrap/>
            <w:vAlign w:val="center"/>
          </w:tcPr>
          <w:p w14:paraId="1C2EE8F8">
            <w:pPr>
              <w:widowControl/>
              <w:textAlignment w:val="center"/>
              <w:rPr>
                <w:rFonts w:ascii="仿宋" w:hAnsi="仿宋" w:eastAsia="仿宋" w:cs="仿宋"/>
                <w:sz w:val="15"/>
                <w:szCs w:val="15"/>
              </w:rPr>
            </w:pPr>
            <w:r>
              <w:rPr>
                <w:rFonts w:hint="eastAsia" w:ascii="仿宋" w:hAnsi="仿宋" w:eastAsia="仿宋" w:cs="仿宋"/>
                <w:sz w:val="18"/>
                <w:szCs w:val="18"/>
              </w:rPr>
              <w:t>资金支付及时率</w:t>
            </w:r>
          </w:p>
        </w:tc>
        <w:tc>
          <w:tcPr>
            <w:tcW w:w="1209" w:type="dxa"/>
            <w:noWrap/>
            <w:vAlign w:val="bottom"/>
          </w:tcPr>
          <w:p w14:paraId="22F94814">
            <w:pPr>
              <w:widowControl/>
              <w:rPr>
                <w:rFonts w:ascii="仿宋" w:hAnsi="仿宋" w:eastAsia="仿宋" w:cs="仿宋"/>
                <w:sz w:val="18"/>
                <w:szCs w:val="18"/>
              </w:rPr>
            </w:pPr>
            <w:r>
              <w:rPr>
                <w:rFonts w:hint="eastAsia" w:ascii="仿宋" w:hAnsi="仿宋" w:eastAsia="仿宋" w:cs="仿宋"/>
                <w:sz w:val="18"/>
                <w:szCs w:val="18"/>
              </w:rPr>
              <w:t>100%</w:t>
            </w:r>
          </w:p>
        </w:tc>
        <w:tc>
          <w:tcPr>
            <w:tcW w:w="1134" w:type="dxa"/>
            <w:noWrap/>
            <w:vAlign w:val="bottom"/>
          </w:tcPr>
          <w:p w14:paraId="6658A325">
            <w:pPr>
              <w:widowControl/>
              <w:rPr>
                <w:rFonts w:ascii="仿宋" w:hAnsi="仿宋" w:eastAsia="仿宋" w:cs="仿宋"/>
                <w:sz w:val="18"/>
                <w:szCs w:val="18"/>
              </w:rPr>
            </w:pPr>
            <w:r>
              <w:rPr>
                <w:rFonts w:hint="eastAsia" w:ascii="仿宋" w:hAnsi="仿宋" w:eastAsia="仿宋" w:cs="仿宋"/>
                <w:sz w:val="18"/>
                <w:szCs w:val="18"/>
              </w:rPr>
              <w:t>100%</w:t>
            </w:r>
          </w:p>
        </w:tc>
        <w:tc>
          <w:tcPr>
            <w:tcW w:w="828" w:type="dxa"/>
            <w:noWrap/>
            <w:vAlign w:val="center"/>
          </w:tcPr>
          <w:p w14:paraId="34AD7DE6">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15</w:t>
            </w:r>
          </w:p>
        </w:tc>
        <w:tc>
          <w:tcPr>
            <w:tcW w:w="873" w:type="dxa"/>
            <w:noWrap/>
            <w:vAlign w:val="center"/>
          </w:tcPr>
          <w:p w14:paraId="1EFF52A7">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15</w:t>
            </w:r>
          </w:p>
        </w:tc>
        <w:tc>
          <w:tcPr>
            <w:tcW w:w="1418" w:type="dxa"/>
            <w:noWrap/>
            <w:vAlign w:val="center"/>
          </w:tcPr>
          <w:p w14:paraId="66D38C01">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4AA2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Merge w:val="continue"/>
            <w:noWrap/>
            <w:vAlign w:val="center"/>
          </w:tcPr>
          <w:p w14:paraId="1D5C8D47">
            <w:pPr>
              <w:widowControl/>
              <w:spacing w:line="280" w:lineRule="exact"/>
              <w:rPr>
                <w:rFonts w:ascii="仿宋" w:hAnsi="仿宋" w:eastAsia="仿宋" w:cs="仿宋"/>
                <w:sz w:val="20"/>
                <w:szCs w:val="20"/>
              </w:rPr>
            </w:pPr>
          </w:p>
        </w:tc>
        <w:tc>
          <w:tcPr>
            <w:tcW w:w="1080" w:type="dxa"/>
            <w:vMerge w:val="continue"/>
            <w:noWrap/>
            <w:vAlign w:val="center"/>
          </w:tcPr>
          <w:p w14:paraId="303463EA">
            <w:pPr>
              <w:widowControl/>
              <w:spacing w:line="280" w:lineRule="exact"/>
              <w:rPr>
                <w:rFonts w:ascii="仿宋" w:hAnsi="仿宋" w:eastAsia="仿宋" w:cs="仿宋"/>
                <w:sz w:val="20"/>
                <w:szCs w:val="20"/>
              </w:rPr>
            </w:pPr>
          </w:p>
        </w:tc>
        <w:tc>
          <w:tcPr>
            <w:tcW w:w="1080" w:type="dxa"/>
            <w:noWrap/>
            <w:vAlign w:val="center"/>
          </w:tcPr>
          <w:p w14:paraId="6D402A6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成本指标</w:t>
            </w:r>
          </w:p>
        </w:tc>
        <w:tc>
          <w:tcPr>
            <w:tcW w:w="1149" w:type="dxa"/>
            <w:noWrap/>
          </w:tcPr>
          <w:p w14:paraId="26FA2DB4">
            <w:pPr>
              <w:rPr>
                <w:rFonts w:ascii="仿宋" w:hAnsi="仿宋" w:eastAsia="仿宋" w:cs="仿宋"/>
                <w:sz w:val="15"/>
                <w:szCs w:val="15"/>
              </w:rPr>
            </w:pPr>
            <w:r>
              <w:rPr>
                <w:rFonts w:hint="eastAsia" w:ascii="仿宋" w:hAnsi="仿宋" w:eastAsia="仿宋" w:cs="仿宋"/>
                <w:sz w:val="15"/>
                <w:szCs w:val="15"/>
              </w:rPr>
              <w:t>节约成本</w:t>
            </w:r>
          </w:p>
        </w:tc>
        <w:tc>
          <w:tcPr>
            <w:tcW w:w="1209" w:type="dxa"/>
            <w:noWrap/>
          </w:tcPr>
          <w:p w14:paraId="22D8194F">
            <w:pPr>
              <w:rPr>
                <w:rFonts w:ascii="仿宋" w:hAnsi="仿宋" w:eastAsia="仿宋" w:cs="仿宋"/>
                <w:sz w:val="18"/>
                <w:szCs w:val="18"/>
              </w:rPr>
            </w:pPr>
            <w:r>
              <w:rPr>
                <w:rFonts w:hint="eastAsia" w:ascii="仿宋" w:hAnsi="仿宋" w:eastAsia="仿宋" w:cs="仿宋"/>
                <w:sz w:val="18"/>
                <w:szCs w:val="18"/>
              </w:rPr>
              <w:t>不超过</w:t>
            </w:r>
            <w:r>
              <w:rPr>
                <w:rFonts w:hint="eastAsia" w:ascii="仿宋" w:hAnsi="仿宋" w:eastAsia="仿宋" w:cs="仿宋"/>
                <w:sz w:val="18"/>
                <w:szCs w:val="18"/>
                <w:lang w:eastAsia="zh-CN"/>
              </w:rPr>
              <w:t>预</w:t>
            </w:r>
            <w:r>
              <w:rPr>
                <w:rFonts w:hint="eastAsia" w:ascii="仿宋" w:hAnsi="仿宋" w:eastAsia="仿宋" w:cs="仿宋"/>
                <w:sz w:val="18"/>
                <w:szCs w:val="18"/>
              </w:rPr>
              <w:t>算</w:t>
            </w:r>
          </w:p>
        </w:tc>
        <w:tc>
          <w:tcPr>
            <w:tcW w:w="1134" w:type="dxa"/>
            <w:noWrap/>
          </w:tcPr>
          <w:p w14:paraId="041822A7">
            <w:pPr>
              <w:rPr>
                <w:rFonts w:ascii="仿宋" w:hAnsi="仿宋" w:eastAsia="仿宋" w:cs="仿宋"/>
                <w:sz w:val="18"/>
                <w:szCs w:val="18"/>
              </w:rPr>
            </w:pPr>
            <w:r>
              <w:rPr>
                <w:rFonts w:hint="eastAsia" w:ascii="仿宋" w:hAnsi="仿宋" w:eastAsia="仿宋" w:cs="仿宋"/>
                <w:sz w:val="18"/>
                <w:szCs w:val="18"/>
              </w:rPr>
              <w:t>成本控制在</w:t>
            </w:r>
            <w:r>
              <w:rPr>
                <w:rFonts w:hint="eastAsia" w:ascii="仿宋" w:hAnsi="仿宋" w:eastAsia="仿宋" w:cs="仿宋"/>
                <w:sz w:val="18"/>
                <w:szCs w:val="18"/>
                <w:lang w:eastAsia="zh-CN"/>
              </w:rPr>
              <w:t>预</w:t>
            </w:r>
            <w:r>
              <w:rPr>
                <w:rFonts w:hint="eastAsia" w:ascii="仿宋" w:hAnsi="仿宋" w:eastAsia="仿宋" w:cs="仿宋"/>
                <w:sz w:val="18"/>
                <w:szCs w:val="18"/>
              </w:rPr>
              <w:t>算内</w:t>
            </w:r>
          </w:p>
        </w:tc>
        <w:tc>
          <w:tcPr>
            <w:tcW w:w="828" w:type="dxa"/>
            <w:noWrap/>
            <w:vAlign w:val="center"/>
          </w:tcPr>
          <w:p w14:paraId="2BC0BC4E">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1265E7C2">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749DA1D6">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0BB7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80" w:type="dxa"/>
            <w:vMerge w:val="continue"/>
            <w:noWrap/>
            <w:vAlign w:val="center"/>
          </w:tcPr>
          <w:p w14:paraId="5ECF0DD9">
            <w:pPr>
              <w:widowControl/>
              <w:spacing w:line="280" w:lineRule="exact"/>
              <w:rPr>
                <w:rFonts w:ascii="仿宋" w:hAnsi="仿宋" w:eastAsia="仿宋" w:cs="仿宋"/>
                <w:sz w:val="20"/>
                <w:szCs w:val="20"/>
              </w:rPr>
            </w:pPr>
          </w:p>
        </w:tc>
        <w:tc>
          <w:tcPr>
            <w:tcW w:w="1080" w:type="dxa"/>
            <w:vMerge w:val="restart"/>
            <w:noWrap/>
            <w:vAlign w:val="center"/>
          </w:tcPr>
          <w:p w14:paraId="3EDFF5BD">
            <w:pPr>
              <w:widowControl/>
              <w:spacing w:line="280" w:lineRule="exact"/>
              <w:rPr>
                <w:rFonts w:ascii="仿宋" w:hAnsi="仿宋" w:eastAsia="仿宋" w:cs="仿宋"/>
                <w:sz w:val="20"/>
                <w:szCs w:val="20"/>
              </w:rPr>
            </w:pPr>
            <w:r>
              <w:rPr>
                <w:rFonts w:hint="eastAsia" w:ascii="仿宋" w:hAnsi="仿宋" w:eastAsia="仿宋" w:cs="仿宋"/>
                <w:sz w:val="20"/>
                <w:szCs w:val="20"/>
              </w:rPr>
              <w:t>效益指标</w:t>
            </w:r>
          </w:p>
          <w:p w14:paraId="44D29C07">
            <w:pPr>
              <w:widowControl/>
              <w:spacing w:line="280" w:lineRule="exact"/>
              <w:rPr>
                <w:rFonts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eastAsia="zh-CN"/>
              </w:rPr>
              <w:t>4</w:t>
            </w:r>
            <w:r>
              <w:rPr>
                <w:rFonts w:hint="eastAsia" w:ascii="仿宋" w:hAnsi="仿宋" w:eastAsia="仿宋" w:cs="仿宋"/>
                <w:sz w:val="20"/>
                <w:szCs w:val="20"/>
              </w:rPr>
              <w:t>0分）</w:t>
            </w:r>
          </w:p>
        </w:tc>
        <w:tc>
          <w:tcPr>
            <w:tcW w:w="1080" w:type="dxa"/>
            <w:noWrap/>
            <w:vAlign w:val="center"/>
          </w:tcPr>
          <w:p w14:paraId="5EA1C77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经济效</w:t>
            </w:r>
          </w:p>
          <w:p w14:paraId="0F07BC7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10714569">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有效促进怀化商贸、旅游的发殿</w:t>
            </w:r>
          </w:p>
        </w:tc>
        <w:tc>
          <w:tcPr>
            <w:tcW w:w="1209" w:type="dxa"/>
            <w:noWrap/>
            <w:vAlign w:val="center"/>
          </w:tcPr>
          <w:p w14:paraId="5DFEC0D0">
            <w:pPr>
              <w:widowControl/>
              <w:spacing w:line="280" w:lineRule="exact"/>
              <w:rPr>
                <w:rFonts w:ascii="仿宋" w:hAnsi="仿宋" w:eastAsia="仿宋" w:cs="仿宋"/>
                <w:sz w:val="18"/>
                <w:szCs w:val="18"/>
              </w:rPr>
            </w:pPr>
            <w:r>
              <w:rPr>
                <w:rFonts w:hint="eastAsia" w:ascii="仿宋" w:hAnsi="仿宋" w:eastAsia="仿宋" w:cs="仿宋"/>
                <w:sz w:val="18"/>
                <w:szCs w:val="18"/>
              </w:rPr>
              <w:t>明显</w:t>
            </w:r>
          </w:p>
        </w:tc>
        <w:tc>
          <w:tcPr>
            <w:tcW w:w="1134" w:type="dxa"/>
            <w:noWrap/>
            <w:vAlign w:val="center"/>
          </w:tcPr>
          <w:p w14:paraId="7344811C">
            <w:pPr>
              <w:widowControl/>
              <w:spacing w:line="280" w:lineRule="exact"/>
              <w:rPr>
                <w:rFonts w:ascii="仿宋" w:hAnsi="仿宋" w:eastAsia="仿宋" w:cs="仿宋"/>
                <w:sz w:val="18"/>
                <w:szCs w:val="18"/>
              </w:rPr>
            </w:pPr>
            <w:r>
              <w:rPr>
                <w:rFonts w:hint="eastAsia" w:ascii="仿宋" w:hAnsi="仿宋" w:eastAsia="仿宋" w:cs="仿宋"/>
                <w:sz w:val="18"/>
                <w:szCs w:val="18"/>
              </w:rPr>
              <w:t>明显</w:t>
            </w:r>
          </w:p>
        </w:tc>
        <w:tc>
          <w:tcPr>
            <w:tcW w:w="828" w:type="dxa"/>
            <w:noWrap/>
            <w:vAlign w:val="center"/>
          </w:tcPr>
          <w:p w14:paraId="07E99742">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3250008F">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2C664050">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5F49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noWrap/>
            <w:vAlign w:val="center"/>
          </w:tcPr>
          <w:p w14:paraId="35515126">
            <w:pPr>
              <w:widowControl/>
              <w:spacing w:line="280" w:lineRule="exact"/>
              <w:rPr>
                <w:rFonts w:ascii="仿宋" w:hAnsi="仿宋" w:eastAsia="仿宋" w:cs="仿宋"/>
                <w:sz w:val="20"/>
                <w:szCs w:val="20"/>
              </w:rPr>
            </w:pPr>
          </w:p>
        </w:tc>
        <w:tc>
          <w:tcPr>
            <w:tcW w:w="1080" w:type="dxa"/>
            <w:vMerge w:val="continue"/>
            <w:noWrap/>
            <w:vAlign w:val="center"/>
          </w:tcPr>
          <w:p w14:paraId="73F2E0F7">
            <w:pPr>
              <w:widowControl/>
              <w:spacing w:line="280" w:lineRule="exact"/>
              <w:rPr>
                <w:rFonts w:ascii="仿宋" w:hAnsi="仿宋" w:eastAsia="仿宋" w:cs="仿宋"/>
                <w:sz w:val="20"/>
                <w:szCs w:val="20"/>
              </w:rPr>
            </w:pPr>
          </w:p>
        </w:tc>
        <w:tc>
          <w:tcPr>
            <w:tcW w:w="1080" w:type="dxa"/>
            <w:noWrap/>
            <w:vAlign w:val="center"/>
          </w:tcPr>
          <w:p w14:paraId="133BAAE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社会效</w:t>
            </w:r>
          </w:p>
          <w:p w14:paraId="7C21B6A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03D2F964">
            <w:pPr>
              <w:widowControl/>
              <w:spacing w:line="280" w:lineRule="exact"/>
              <w:rPr>
                <w:rFonts w:ascii="仿宋" w:hAnsi="仿宋" w:eastAsia="仿宋" w:cs="仿宋"/>
                <w:sz w:val="18"/>
                <w:szCs w:val="18"/>
                <w:lang w:eastAsia="zh-CN"/>
              </w:rPr>
            </w:pPr>
            <w:r>
              <w:rPr>
                <w:rFonts w:hint="eastAsia" w:ascii="仿宋" w:hAnsi="仿宋" w:eastAsia="仿宋" w:cs="仿宋"/>
                <w:sz w:val="18"/>
                <w:szCs w:val="18"/>
              </w:rPr>
              <w:t>　满足</w:t>
            </w:r>
            <w:r>
              <w:rPr>
                <w:rFonts w:hint="eastAsia" w:ascii="仿宋" w:hAnsi="仿宋" w:eastAsia="仿宋" w:cs="仿宋"/>
                <w:sz w:val="18"/>
                <w:szCs w:val="18"/>
                <w:lang w:eastAsia="zh-CN"/>
              </w:rPr>
              <w:t>人民安全出行</w:t>
            </w:r>
          </w:p>
        </w:tc>
        <w:tc>
          <w:tcPr>
            <w:tcW w:w="1209" w:type="dxa"/>
            <w:noWrap/>
            <w:vAlign w:val="center"/>
          </w:tcPr>
          <w:p w14:paraId="5F52303B">
            <w:pPr>
              <w:rPr>
                <w:rFonts w:ascii="仿宋" w:hAnsi="仿宋" w:eastAsia="仿宋" w:cs="仿宋"/>
                <w:sz w:val="18"/>
                <w:szCs w:val="18"/>
              </w:rPr>
            </w:pPr>
            <w:r>
              <w:rPr>
                <w:rFonts w:hint="eastAsia" w:ascii="仿宋" w:hAnsi="仿宋" w:eastAsia="仿宋" w:cs="仿宋"/>
                <w:sz w:val="18"/>
                <w:szCs w:val="18"/>
              </w:rPr>
              <w:t>满足</w:t>
            </w:r>
          </w:p>
          <w:p w14:paraId="77DA728F">
            <w:pPr>
              <w:widowControl/>
              <w:spacing w:line="280" w:lineRule="exact"/>
              <w:rPr>
                <w:rFonts w:ascii="仿宋" w:hAnsi="仿宋" w:eastAsia="仿宋" w:cs="仿宋"/>
                <w:sz w:val="18"/>
                <w:szCs w:val="18"/>
              </w:rPr>
            </w:pPr>
          </w:p>
        </w:tc>
        <w:tc>
          <w:tcPr>
            <w:tcW w:w="1134" w:type="dxa"/>
            <w:noWrap/>
            <w:vAlign w:val="center"/>
          </w:tcPr>
          <w:p w14:paraId="589BA426">
            <w:pPr>
              <w:rPr>
                <w:rFonts w:ascii="仿宋" w:hAnsi="仿宋" w:eastAsia="仿宋" w:cs="仿宋"/>
                <w:sz w:val="18"/>
                <w:szCs w:val="18"/>
              </w:rPr>
            </w:pPr>
            <w:r>
              <w:rPr>
                <w:rFonts w:hint="eastAsia" w:ascii="仿宋" w:hAnsi="仿宋" w:eastAsia="仿宋" w:cs="仿宋"/>
                <w:sz w:val="18"/>
                <w:szCs w:val="18"/>
              </w:rPr>
              <w:t>　满足</w:t>
            </w:r>
          </w:p>
          <w:p w14:paraId="215A1DD3">
            <w:pPr>
              <w:widowControl/>
              <w:spacing w:line="280" w:lineRule="exact"/>
              <w:rPr>
                <w:rFonts w:ascii="仿宋" w:hAnsi="仿宋" w:eastAsia="仿宋" w:cs="仿宋"/>
                <w:sz w:val="18"/>
                <w:szCs w:val="18"/>
              </w:rPr>
            </w:pPr>
          </w:p>
        </w:tc>
        <w:tc>
          <w:tcPr>
            <w:tcW w:w="828" w:type="dxa"/>
            <w:noWrap/>
            <w:vAlign w:val="center"/>
          </w:tcPr>
          <w:p w14:paraId="38417BF4">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3EC7EABF">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645F6E65">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4304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0" w:type="dxa"/>
            <w:vMerge w:val="continue"/>
            <w:noWrap/>
            <w:vAlign w:val="center"/>
          </w:tcPr>
          <w:p w14:paraId="734EC1E3">
            <w:pPr>
              <w:widowControl/>
              <w:spacing w:line="280" w:lineRule="exact"/>
              <w:rPr>
                <w:rFonts w:ascii="仿宋" w:hAnsi="仿宋" w:eastAsia="仿宋" w:cs="仿宋"/>
                <w:sz w:val="20"/>
                <w:szCs w:val="20"/>
              </w:rPr>
            </w:pPr>
          </w:p>
        </w:tc>
        <w:tc>
          <w:tcPr>
            <w:tcW w:w="1080" w:type="dxa"/>
            <w:vMerge w:val="continue"/>
            <w:noWrap/>
            <w:vAlign w:val="center"/>
          </w:tcPr>
          <w:p w14:paraId="44A108AA">
            <w:pPr>
              <w:widowControl/>
              <w:spacing w:line="280" w:lineRule="exact"/>
              <w:rPr>
                <w:rFonts w:ascii="仿宋" w:hAnsi="仿宋" w:eastAsia="仿宋" w:cs="仿宋"/>
                <w:sz w:val="20"/>
                <w:szCs w:val="20"/>
              </w:rPr>
            </w:pPr>
          </w:p>
        </w:tc>
        <w:tc>
          <w:tcPr>
            <w:tcW w:w="1080" w:type="dxa"/>
            <w:noWrap/>
            <w:vAlign w:val="center"/>
          </w:tcPr>
          <w:p w14:paraId="684D5C3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生态效</w:t>
            </w:r>
          </w:p>
          <w:p w14:paraId="3BC1954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5823CA0D">
            <w:pPr>
              <w:widowControl/>
              <w:spacing w:line="280" w:lineRule="exact"/>
              <w:rPr>
                <w:rFonts w:ascii="仿宋" w:hAnsi="仿宋" w:eastAsia="仿宋" w:cs="仿宋"/>
                <w:sz w:val="18"/>
                <w:szCs w:val="18"/>
              </w:rPr>
            </w:pPr>
            <w:r>
              <w:rPr>
                <w:rFonts w:hint="eastAsia" w:ascii="仿宋" w:hAnsi="仿宋" w:eastAsia="仿宋" w:cs="仿宋"/>
                <w:sz w:val="18"/>
                <w:szCs w:val="18"/>
              </w:rPr>
              <w:t>　满足环保要求</w:t>
            </w:r>
          </w:p>
        </w:tc>
        <w:tc>
          <w:tcPr>
            <w:tcW w:w="1209" w:type="dxa"/>
            <w:noWrap/>
            <w:vAlign w:val="center"/>
          </w:tcPr>
          <w:p w14:paraId="1C574525">
            <w:pPr>
              <w:rPr>
                <w:rFonts w:ascii="仿宋" w:hAnsi="仿宋" w:eastAsia="仿宋" w:cs="仿宋"/>
                <w:sz w:val="18"/>
                <w:szCs w:val="18"/>
              </w:rPr>
            </w:pPr>
            <w:r>
              <w:rPr>
                <w:rFonts w:hint="eastAsia" w:ascii="仿宋" w:hAnsi="仿宋" w:eastAsia="仿宋" w:cs="仿宋"/>
                <w:sz w:val="18"/>
                <w:szCs w:val="18"/>
              </w:rPr>
              <w:t>满足</w:t>
            </w:r>
          </w:p>
          <w:p w14:paraId="6DEDBEF6">
            <w:pPr>
              <w:widowControl/>
              <w:spacing w:line="280" w:lineRule="exact"/>
              <w:rPr>
                <w:rFonts w:ascii="仿宋" w:hAnsi="仿宋" w:eastAsia="仿宋" w:cs="仿宋"/>
                <w:sz w:val="18"/>
                <w:szCs w:val="18"/>
              </w:rPr>
            </w:pPr>
          </w:p>
        </w:tc>
        <w:tc>
          <w:tcPr>
            <w:tcW w:w="1134" w:type="dxa"/>
            <w:noWrap/>
            <w:vAlign w:val="center"/>
          </w:tcPr>
          <w:p w14:paraId="7E520FC1">
            <w:pPr>
              <w:rPr>
                <w:rFonts w:ascii="仿宋" w:hAnsi="仿宋" w:eastAsia="仿宋" w:cs="仿宋"/>
                <w:sz w:val="18"/>
                <w:szCs w:val="18"/>
              </w:rPr>
            </w:pPr>
            <w:r>
              <w:rPr>
                <w:rFonts w:hint="eastAsia" w:ascii="仿宋" w:hAnsi="仿宋" w:eastAsia="仿宋" w:cs="仿宋"/>
                <w:sz w:val="18"/>
                <w:szCs w:val="18"/>
              </w:rPr>
              <w:t>满足</w:t>
            </w:r>
          </w:p>
          <w:p w14:paraId="797B9FD9">
            <w:pPr>
              <w:widowControl/>
              <w:spacing w:line="280" w:lineRule="exact"/>
              <w:rPr>
                <w:rFonts w:ascii="仿宋" w:hAnsi="仿宋" w:eastAsia="仿宋" w:cs="仿宋"/>
                <w:sz w:val="18"/>
                <w:szCs w:val="18"/>
              </w:rPr>
            </w:pPr>
          </w:p>
        </w:tc>
        <w:tc>
          <w:tcPr>
            <w:tcW w:w="828" w:type="dxa"/>
            <w:noWrap/>
            <w:vAlign w:val="center"/>
          </w:tcPr>
          <w:p w14:paraId="1126E003">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5287489E">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0E87A173">
            <w:pPr>
              <w:widowControl/>
              <w:spacing w:line="280" w:lineRule="exact"/>
              <w:rPr>
                <w:rFonts w:ascii="仿宋" w:hAnsi="仿宋" w:eastAsia="仿宋" w:cs="仿宋"/>
                <w:sz w:val="18"/>
                <w:szCs w:val="18"/>
                <w:lang w:eastAsia="zh-CN"/>
              </w:rPr>
            </w:pPr>
            <w:r>
              <w:rPr>
                <w:rFonts w:hint="eastAsia" w:ascii="仿宋" w:hAnsi="仿宋" w:eastAsia="仿宋" w:cs="仿宋"/>
                <w:sz w:val="18"/>
                <w:szCs w:val="18"/>
              </w:rPr>
              <w:t>　</w:t>
            </w:r>
          </w:p>
        </w:tc>
      </w:tr>
      <w:tr w14:paraId="2379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0" w:type="dxa"/>
            <w:vMerge w:val="continue"/>
            <w:noWrap/>
            <w:vAlign w:val="center"/>
          </w:tcPr>
          <w:p w14:paraId="6AE1EC8F">
            <w:pPr>
              <w:widowControl/>
              <w:spacing w:line="280" w:lineRule="exact"/>
              <w:jc w:val="center"/>
              <w:rPr>
                <w:rFonts w:ascii="仿宋" w:hAnsi="仿宋" w:eastAsia="仿宋" w:cs="仿宋"/>
                <w:sz w:val="20"/>
                <w:szCs w:val="20"/>
              </w:rPr>
            </w:pPr>
          </w:p>
        </w:tc>
        <w:tc>
          <w:tcPr>
            <w:tcW w:w="1080" w:type="dxa"/>
            <w:vMerge w:val="continue"/>
            <w:noWrap/>
            <w:vAlign w:val="center"/>
          </w:tcPr>
          <w:p w14:paraId="7C068CEE">
            <w:pPr>
              <w:widowControl/>
              <w:spacing w:line="280" w:lineRule="exact"/>
              <w:rPr>
                <w:rFonts w:ascii="仿宋" w:hAnsi="仿宋" w:eastAsia="仿宋" w:cs="仿宋"/>
                <w:sz w:val="20"/>
                <w:szCs w:val="20"/>
              </w:rPr>
            </w:pPr>
          </w:p>
        </w:tc>
        <w:tc>
          <w:tcPr>
            <w:tcW w:w="1080" w:type="dxa"/>
            <w:noWrap/>
            <w:vAlign w:val="center"/>
          </w:tcPr>
          <w:p w14:paraId="272A168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可持续影响指标</w:t>
            </w:r>
          </w:p>
        </w:tc>
        <w:tc>
          <w:tcPr>
            <w:tcW w:w="1149" w:type="dxa"/>
            <w:noWrap/>
            <w:vAlign w:val="center"/>
          </w:tcPr>
          <w:p w14:paraId="27378547">
            <w:pPr>
              <w:rPr>
                <w:rFonts w:ascii="仿宋" w:hAnsi="仿宋" w:eastAsia="仿宋" w:cs="仿宋"/>
                <w:sz w:val="20"/>
                <w:szCs w:val="20"/>
                <w:lang w:eastAsia="zh-CN"/>
              </w:rPr>
            </w:pPr>
            <w:r>
              <w:rPr>
                <w:rFonts w:hint="eastAsia" w:ascii="仿宋" w:hAnsi="仿宋" w:eastAsia="仿宋" w:cs="仿宋"/>
                <w:sz w:val="20"/>
                <w:szCs w:val="20"/>
                <w:lang w:eastAsia="zh-CN"/>
              </w:rPr>
              <w:t>推动怀化民航事业的发展</w:t>
            </w:r>
          </w:p>
          <w:p w14:paraId="2FDA0F84">
            <w:pPr>
              <w:widowControl/>
              <w:spacing w:line="280" w:lineRule="exact"/>
              <w:rPr>
                <w:rFonts w:ascii="仿宋" w:hAnsi="仿宋" w:eastAsia="仿宋" w:cs="仿宋"/>
                <w:sz w:val="18"/>
                <w:szCs w:val="18"/>
                <w:lang w:eastAsia="zh-CN"/>
              </w:rPr>
            </w:pPr>
          </w:p>
        </w:tc>
        <w:tc>
          <w:tcPr>
            <w:tcW w:w="1209" w:type="dxa"/>
            <w:noWrap/>
            <w:vAlign w:val="center"/>
          </w:tcPr>
          <w:p w14:paraId="5CA6929F">
            <w:pPr>
              <w:rPr>
                <w:rFonts w:ascii="仿宋" w:hAnsi="仿宋" w:eastAsia="仿宋" w:cs="仿宋"/>
                <w:sz w:val="18"/>
                <w:szCs w:val="18"/>
              </w:rPr>
            </w:pPr>
            <w:r>
              <w:rPr>
                <w:rFonts w:hint="eastAsia" w:ascii="仿宋" w:hAnsi="仿宋" w:eastAsia="仿宋" w:cs="仿宋"/>
                <w:sz w:val="20"/>
                <w:szCs w:val="20"/>
              </w:rPr>
              <w:t>明显</w:t>
            </w:r>
          </w:p>
        </w:tc>
        <w:tc>
          <w:tcPr>
            <w:tcW w:w="1134" w:type="dxa"/>
            <w:noWrap/>
            <w:vAlign w:val="center"/>
          </w:tcPr>
          <w:p w14:paraId="5C3BD071">
            <w:pPr>
              <w:rPr>
                <w:rFonts w:ascii="仿宋" w:hAnsi="仿宋" w:eastAsia="仿宋" w:cs="仿宋"/>
                <w:sz w:val="18"/>
                <w:szCs w:val="18"/>
              </w:rPr>
            </w:pPr>
            <w:r>
              <w:rPr>
                <w:rFonts w:hint="eastAsia" w:ascii="仿宋" w:hAnsi="仿宋" w:eastAsia="仿宋" w:cs="仿宋"/>
                <w:sz w:val="20"/>
                <w:szCs w:val="20"/>
              </w:rPr>
              <w:t>明显</w:t>
            </w:r>
          </w:p>
        </w:tc>
        <w:tc>
          <w:tcPr>
            <w:tcW w:w="828" w:type="dxa"/>
            <w:noWrap/>
            <w:vAlign w:val="center"/>
          </w:tcPr>
          <w:p w14:paraId="7D549D42">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03E0E790">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36958B9B">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3836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ign w:val="center"/>
          </w:tcPr>
          <w:p w14:paraId="4F3A3A30">
            <w:pPr>
              <w:widowControl/>
              <w:spacing w:line="280" w:lineRule="exact"/>
              <w:rPr>
                <w:rFonts w:ascii="仿宋" w:hAnsi="仿宋" w:eastAsia="仿宋" w:cs="仿宋"/>
                <w:sz w:val="20"/>
                <w:szCs w:val="20"/>
              </w:rPr>
            </w:pPr>
          </w:p>
        </w:tc>
        <w:tc>
          <w:tcPr>
            <w:tcW w:w="1080" w:type="dxa"/>
            <w:noWrap/>
            <w:vAlign w:val="center"/>
          </w:tcPr>
          <w:p w14:paraId="076AC75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满意度</w:t>
            </w:r>
          </w:p>
          <w:p w14:paraId="3EBF78C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指标</w:t>
            </w:r>
          </w:p>
          <w:p w14:paraId="6F0DE30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（10分）</w:t>
            </w:r>
          </w:p>
        </w:tc>
        <w:tc>
          <w:tcPr>
            <w:tcW w:w="1080" w:type="dxa"/>
            <w:noWrap/>
            <w:vAlign w:val="center"/>
          </w:tcPr>
          <w:p w14:paraId="53900A4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服务对象满意度指标</w:t>
            </w:r>
          </w:p>
        </w:tc>
        <w:tc>
          <w:tcPr>
            <w:tcW w:w="1149" w:type="dxa"/>
            <w:noWrap/>
            <w:vAlign w:val="center"/>
          </w:tcPr>
          <w:p w14:paraId="4B0706C7">
            <w:pPr>
              <w:rPr>
                <w:rFonts w:ascii="仿宋" w:hAnsi="仿宋" w:eastAsia="仿宋" w:cs="仿宋"/>
                <w:sz w:val="20"/>
                <w:szCs w:val="20"/>
              </w:rPr>
            </w:pPr>
            <w:r>
              <w:rPr>
                <w:rFonts w:hint="eastAsia" w:ascii="仿宋" w:hAnsi="仿宋" w:eastAsia="仿宋" w:cs="仿宋"/>
                <w:sz w:val="20"/>
                <w:szCs w:val="20"/>
              </w:rPr>
              <w:t>市民便捷出行满意度</w:t>
            </w:r>
          </w:p>
        </w:tc>
        <w:tc>
          <w:tcPr>
            <w:tcW w:w="1209" w:type="dxa"/>
            <w:noWrap/>
            <w:vAlign w:val="center"/>
          </w:tcPr>
          <w:p w14:paraId="7D78EBFD">
            <w:pPr>
              <w:widowControl/>
              <w:spacing w:line="280" w:lineRule="exact"/>
              <w:rPr>
                <w:rFonts w:ascii="仿宋" w:hAnsi="仿宋" w:eastAsia="仿宋" w:cs="仿宋"/>
                <w:sz w:val="18"/>
                <w:szCs w:val="18"/>
              </w:rPr>
            </w:pPr>
            <w:r>
              <w:rPr>
                <w:rFonts w:hint="eastAsia" w:ascii="仿宋" w:hAnsi="仿宋" w:eastAsia="仿宋" w:cs="仿宋"/>
                <w:sz w:val="18"/>
                <w:szCs w:val="18"/>
              </w:rPr>
              <w:t>　95%以上</w:t>
            </w:r>
          </w:p>
        </w:tc>
        <w:tc>
          <w:tcPr>
            <w:tcW w:w="1134" w:type="dxa"/>
            <w:noWrap/>
            <w:vAlign w:val="center"/>
          </w:tcPr>
          <w:p w14:paraId="6FFE6187">
            <w:pPr>
              <w:widowControl/>
              <w:spacing w:line="280" w:lineRule="exact"/>
              <w:rPr>
                <w:rFonts w:ascii="仿宋" w:hAnsi="仿宋" w:eastAsia="仿宋" w:cs="仿宋"/>
                <w:sz w:val="18"/>
                <w:szCs w:val="18"/>
              </w:rPr>
            </w:pPr>
            <w:r>
              <w:rPr>
                <w:rFonts w:hint="eastAsia" w:ascii="仿宋" w:hAnsi="仿宋" w:eastAsia="仿宋" w:cs="仿宋"/>
                <w:sz w:val="18"/>
                <w:szCs w:val="18"/>
              </w:rPr>
              <w:t>95%以上</w:t>
            </w:r>
          </w:p>
        </w:tc>
        <w:tc>
          <w:tcPr>
            <w:tcW w:w="828" w:type="dxa"/>
            <w:noWrap/>
            <w:vAlign w:val="center"/>
          </w:tcPr>
          <w:p w14:paraId="07762225">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3B560D18">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3574E18C">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51D9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32" w:type="dxa"/>
            <w:gridSpan w:val="6"/>
            <w:noWrap/>
            <w:vAlign w:val="center"/>
          </w:tcPr>
          <w:p w14:paraId="4E69225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总分</w:t>
            </w:r>
          </w:p>
        </w:tc>
        <w:tc>
          <w:tcPr>
            <w:tcW w:w="828" w:type="dxa"/>
            <w:noWrap/>
            <w:vAlign w:val="center"/>
          </w:tcPr>
          <w:p w14:paraId="447DEDF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100</w:t>
            </w:r>
          </w:p>
        </w:tc>
        <w:tc>
          <w:tcPr>
            <w:tcW w:w="873" w:type="dxa"/>
            <w:noWrap/>
            <w:vAlign w:val="center"/>
          </w:tcPr>
          <w:p w14:paraId="5721E9B7">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100</w:t>
            </w:r>
          </w:p>
        </w:tc>
        <w:tc>
          <w:tcPr>
            <w:tcW w:w="1418" w:type="dxa"/>
            <w:noWrap/>
            <w:vAlign w:val="center"/>
          </w:tcPr>
          <w:p w14:paraId="535FE3A8">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bl>
    <w:p w14:paraId="27F57DF0">
      <w:pPr>
        <w:spacing w:line="600" w:lineRule="exact"/>
        <w:ind w:firstLine="420" w:firstLineChars="200"/>
        <w:jc w:val="both"/>
        <w:rPr>
          <w:lang w:eastAsia="zh-CN"/>
        </w:rPr>
      </w:pPr>
      <w:r>
        <w:rPr>
          <w:rFonts w:eastAsia="仿宋_GB2312"/>
          <w:lang w:eastAsia="zh-CN" w:bidi="ar-SA"/>
        </w:rPr>
        <w:t>填表人：</w:t>
      </w:r>
      <w:r>
        <w:rPr>
          <w:rFonts w:hint="eastAsia" w:eastAsia="仿宋_GB2312"/>
          <w:lang w:eastAsia="zh-CN" w:bidi="ar-SA"/>
        </w:rPr>
        <w:t>舒辉</w:t>
      </w:r>
      <w:r>
        <w:rPr>
          <w:rFonts w:eastAsia="仿宋_GB2312"/>
          <w:lang w:eastAsia="zh-CN" w:bidi="ar-SA"/>
        </w:rPr>
        <w:t xml:space="preserve">  填报日期：</w:t>
      </w:r>
      <w:r>
        <w:rPr>
          <w:rFonts w:hint="eastAsia" w:eastAsia="仿宋_GB2312"/>
          <w:lang w:eastAsia="zh-CN" w:bidi="ar-SA"/>
        </w:rPr>
        <w:t>2025年6月20日</w:t>
      </w:r>
      <w:r>
        <w:rPr>
          <w:rFonts w:eastAsia="仿宋_GB2312"/>
          <w:lang w:eastAsia="zh-CN" w:bidi="ar-SA"/>
        </w:rPr>
        <w:t xml:space="preserve">  联系电话：</w:t>
      </w:r>
      <w:r>
        <w:rPr>
          <w:rFonts w:hint="eastAsia" w:eastAsia="仿宋_GB2312"/>
          <w:lang w:eastAsia="zh-CN" w:bidi="ar-SA"/>
        </w:rPr>
        <w:t>15386271098</w:t>
      </w:r>
    </w:p>
    <w:p w14:paraId="494134E2">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482CC5A8">
      <w:pPr>
        <w:pStyle w:val="7"/>
        <w:widowControl/>
        <w:shd w:val="clear" w:color="auto" w:fill="FFFFFF"/>
        <w:spacing w:beforeAutospacing="0" w:afterAutospacing="0" w:line="480" w:lineRule="atLeast"/>
        <w:jc w:val="both"/>
        <w:rPr>
          <w:rFonts w:ascii="方正小标宋_GBK" w:hAnsi="方正小标宋_GBK" w:eastAsia="方正小标宋_GBK" w:cs="方正小标宋_GBK"/>
          <w:sz w:val="20"/>
          <w:szCs w:val="20"/>
          <w:shd w:val="clear" w:color="auto" w:fill="FFFFFF"/>
        </w:rPr>
      </w:pPr>
    </w:p>
    <w:p w14:paraId="225102DC">
      <w:pPr>
        <w:widowControl/>
        <w:tabs>
          <w:tab w:val="left" w:pos="3611"/>
          <w:tab w:val="left" w:pos="4791"/>
          <w:tab w:val="left" w:pos="5951"/>
          <w:tab w:val="left" w:pos="7071"/>
          <w:tab w:val="left" w:pos="8191"/>
          <w:tab w:val="left" w:pos="9311"/>
        </w:tabs>
        <w:snapToGrid w:val="0"/>
        <w:spacing w:line="440" w:lineRule="atLeast"/>
        <w:jc w:val="center"/>
        <w:rPr>
          <w:rFonts w:ascii="方正小标宋_GBK" w:hAnsi="方正小标宋_GBK" w:eastAsia="方正小标宋_GBK" w:cs="方正小标宋_GBK"/>
          <w:sz w:val="28"/>
          <w:szCs w:val="28"/>
          <w:shd w:val="clear" w:color="auto" w:fill="FFFFFF"/>
          <w:lang w:eastAsia="zh-CN"/>
        </w:rPr>
      </w:pPr>
      <w:r>
        <w:rPr>
          <w:rFonts w:hint="eastAsia" w:ascii="方正小标宋_GBK" w:hAnsi="方正小标宋_GBK" w:eastAsia="方正小标宋_GBK" w:cs="方正小标宋_GBK"/>
          <w:sz w:val="28"/>
          <w:szCs w:val="28"/>
          <w:shd w:val="clear" w:color="auto" w:fill="FFFFFF"/>
          <w:lang w:eastAsia="zh-CN"/>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14:paraId="3243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ign w:val="center"/>
          </w:tcPr>
          <w:p w14:paraId="5D79EC3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项目支</w:t>
            </w:r>
          </w:p>
          <w:p w14:paraId="04AD643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出名称</w:t>
            </w:r>
          </w:p>
        </w:tc>
        <w:tc>
          <w:tcPr>
            <w:tcW w:w="8771" w:type="dxa"/>
            <w:gridSpan w:val="8"/>
            <w:noWrap/>
            <w:vAlign w:val="center"/>
          </w:tcPr>
          <w:p w14:paraId="478F0923">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真抓实干奖励工作经费</w:t>
            </w:r>
          </w:p>
        </w:tc>
      </w:tr>
      <w:tr w14:paraId="2DE0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ign w:val="center"/>
          </w:tcPr>
          <w:p w14:paraId="314EBC54">
            <w:pPr>
              <w:widowControl/>
              <w:spacing w:line="280" w:lineRule="exact"/>
              <w:rPr>
                <w:rFonts w:ascii="仿宋" w:hAnsi="仿宋" w:eastAsia="仿宋" w:cs="仿宋"/>
                <w:sz w:val="20"/>
                <w:szCs w:val="20"/>
              </w:rPr>
            </w:pPr>
            <w:r>
              <w:rPr>
                <w:rFonts w:hint="eastAsia" w:ascii="仿宋" w:hAnsi="仿宋" w:eastAsia="仿宋" w:cs="仿宋"/>
                <w:sz w:val="20"/>
                <w:szCs w:val="20"/>
              </w:rPr>
              <w:t>主管部门</w:t>
            </w:r>
          </w:p>
        </w:tc>
        <w:tc>
          <w:tcPr>
            <w:tcW w:w="4518" w:type="dxa"/>
            <w:gridSpan w:val="4"/>
            <w:noWrap/>
            <w:vAlign w:val="center"/>
          </w:tcPr>
          <w:p w14:paraId="3E657ADF">
            <w:pPr>
              <w:widowControl/>
              <w:spacing w:line="280" w:lineRule="exact"/>
              <w:rPr>
                <w:rFonts w:ascii="仿宋" w:hAnsi="仿宋" w:eastAsia="仿宋" w:cs="仿宋"/>
                <w:sz w:val="20"/>
                <w:szCs w:val="20"/>
              </w:rPr>
            </w:pPr>
            <w:r>
              <w:rPr>
                <w:rFonts w:hint="eastAsia" w:ascii="仿宋" w:hAnsi="仿宋" w:eastAsia="仿宋" w:cs="仿宋"/>
                <w:sz w:val="20"/>
                <w:szCs w:val="20"/>
              </w:rPr>
              <w:t>怀化市交通运输局　</w:t>
            </w:r>
          </w:p>
        </w:tc>
        <w:tc>
          <w:tcPr>
            <w:tcW w:w="1134" w:type="dxa"/>
            <w:noWrap/>
            <w:vAlign w:val="center"/>
          </w:tcPr>
          <w:p w14:paraId="7FBEF61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实施单位</w:t>
            </w:r>
          </w:p>
        </w:tc>
        <w:tc>
          <w:tcPr>
            <w:tcW w:w="3119" w:type="dxa"/>
            <w:gridSpan w:val="3"/>
            <w:noWrap/>
            <w:vAlign w:val="center"/>
          </w:tcPr>
          <w:p w14:paraId="45A759E8">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　怀化市综合交通运输协调服务中心</w:t>
            </w:r>
          </w:p>
        </w:tc>
      </w:tr>
      <w:tr w14:paraId="7826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ign w:val="center"/>
          </w:tcPr>
          <w:p w14:paraId="520435F4">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rPr>
              <w:t>项目资金</w:t>
            </w:r>
          </w:p>
          <w:p w14:paraId="1F099C2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（万元）</w:t>
            </w:r>
          </w:p>
        </w:tc>
        <w:tc>
          <w:tcPr>
            <w:tcW w:w="2160" w:type="dxa"/>
            <w:gridSpan w:val="2"/>
            <w:noWrap/>
            <w:vAlign w:val="center"/>
          </w:tcPr>
          <w:p w14:paraId="50CF662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49" w:type="dxa"/>
            <w:noWrap/>
            <w:vAlign w:val="center"/>
          </w:tcPr>
          <w:p w14:paraId="6A26CF0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年初</w:t>
            </w:r>
          </w:p>
          <w:p w14:paraId="080ABBC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209" w:type="dxa"/>
            <w:noWrap/>
            <w:vAlign w:val="center"/>
          </w:tcPr>
          <w:p w14:paraId="65E8F51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39907BC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134" w:type="dxa"/>
            <w:noWrap/>
            <w:vAlign w:val="center"/>
          </w:tcPr>
          <w:p w14:paraId="556C588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0D37F11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执行数</w:t>
            </w:r>
          </w:p>
        </w:tc>
        <w:tc>
          <w:tcPr>
            <w:tcW w:w="828" w:type="dxa"/>
            <w:noWrap/>
            <w:vAlign w:val="center"/>
          </w:tcPr>
          <w:p w14:paraId="7FF5F9D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3A6F379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1418" w:type="dxa"/>
            <w:noWrap/>
            <w:vAlign w:val="center"/>
          </w:tcPr>
          <w:p w14:paraId="1C324D4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r>
      <w:tr w14:paraId="0092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7B53123A">
            <w:pPr>
              <w:widowControl/>
              <w:spacing w:line="280" w:lineRule="exact"/>
              <w:rPr>
                <w:rFonts w:ascii="仿宋" w:hAnsi="仿宋" w:eastAsia="仿宋" w:cs="仿宋"/>
                <w:sz w:val="20"/>
                <w:szCs w:val="20"/>
              </w:rPr>
            </w:pPr>
          </w:p>
        </w:tc>
        <w:tc>
          <w:tcPr>
            <w:tcW w:w="2160" w:type="dxa"/>
            <w:gridSpan w:val="2"/>
            <w:noWrap/>
            <w:vAlign w:val="center"/>
          </w:tcPr>
          <w:p w14:paraId="3C44C92B">
            <w:pPr>
              <w:widowControl/>
              <w:spacing w:line="280" w:lineRule="exact"/>
              <w:rPr>
                <w:rFonts w:ascii="仿宋" w:hAnsi="仿宋" w:eastAsia="仿宋" w:cs="仿宋"/>
                <w:sz w:val="20"/>
                <w:szCs w:val="20"/>
              </w:rPr>
            </w:pPr>
            <w:r>
              <w:rPr>
                <w:rFonts w:hint="eastAsia" w:ascii="仿宋" w:hAnsi="仿宋" w:eastAsia="仿宋" w:cs="仿宋"/>
                <w:sz w:val="20"/>
                <w:szCs w:val="20"/>
              </w:rPr>
              <w:t>年度资金总额　</w:t>
            </w:r>
          </w:p>
        </w:tc>
        <w:tc>
          <w:tcPr>
            <w:tcW w:w="1149" w:type="dxa"/>
            <w:noWrap/>
            <w:vAlign w:val="center"/>
          </w:tcPr>
          <w:p w14:paraId="06210CE6">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1209" w:type="dxa"/>
            <w:noWrap/>
            <w:vAlign w:val="center"/>
          </w:tcPr>
          <w:p w14:paraId="016F0DF6">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1134" w:type="dxa"/>
            <w:noWrap/>
            <w:vAlign w:val="center"/>
          </w:tcPr>
          <w:p w14:paraId="1BF672B8">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828" w:type="dxa"/>
            <w:noWrap/>
            <w:vAlign w:val="center"/>
          </w:tcPr>
          <w:p w14:paraId="5D3C886C">
            <w:pPr>
              <w:widowControl/>
              <w:spacing w:line="280" w:lineRule="exact"/>
              <w:rPr>
                <w:rFonts w:ascii="仿宋" w:hAnsi="仿宋" w:eastAsia="仿宋" w:cs="仿宋"/>
                <w:sz w:val="20"/>
                <w:szCs w:val="20"/>
              </w:rPr>
            </w:pPr>
            <w:r>
              <w:rPr>
                <w:rFonts w:hint="eastAsia" w:ascii="仿宋" w:hAnsi="仿宋" w:eastAsia="仿宋" w:cs="仿宋"/>
                <w:sz w:val="20"/>
                <w:szCs w:val="20"/>
              </w:rPr>
              <w:t>　10</w:t>
            </w:r>
          </w:p>
        </w:tc>
        <w:tc>
          <w:tcPr>
            <w:tcW w:w="873" w:type="dxa"/>
            <w:noWrap/>
            <w:vAlign w:val="center"/>
          </w:tcPr>
          <w:p w14:paraId="330DBFED">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w:t>
            </w:r>
          </w:p>
        </w:tc>
        <w:tc>
          <w:tcPr>
            <w:tcW w:w="1418" w:type="dxa"/>
            <w:noWrap/>
            <w:vAlign w:val="center"/>
          </w:tcPr>
          <w:p w14:paraId="3CB55BE9">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r>
      <w:tr w14:paraId="3E38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49D588DD">
            <w:pPr>
              <w:widowControl/>
              <w:spacing w:line="280" w:lineRule="exact"/>
              <w:rPr>
                <w:rFonts w:ascii="仿宋" w:hAnsi="仿宋" w:eastAsia="仿宋" w:cs="仿宋"/>
                <w:sz w:val="20"/>
                <w:szCs w:val="20"/>
              </w:rPr>
            </w:pPr>
          </w:p>
        </w:tc>
        <w:tc>
          <w:tcPr>
            <w:tcW w:w="2160" w:type="dxa"/>
            <w:gridSpan w:val="2"/>
            <w:noWrap/>
            <w:vAlign w:val="center"/>
          </w:tcPr>
          <w:p w14:paraId="5CA5529F">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其中：当年财政拨款　</w:t>
            </w:r>
          </w:p>
        </w:tc>
        <w:tc>
          <w:tcPr>
            <w:tcW w:w="1149" w:type="dxa"/>
            <w:noWrap/>
            <w:vAlign w:val="center"/>
          </w:tcPr>
          <w:p w14:paraId="4CBC2B9F">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1209" w:type="dxa"/>
            <w:noWrap/>
            <w:vAlign w:val="center"/>
          </w:tcPr>
          <w:p w14:paraId="3A6B0991">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1134" w:type="dxa"/>
            <w:noWrap/>
            <w:vAlign w:val="center"/>
          </w:tcPr>
          <w:p w14:paraId="666350DE">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4.00</w:t>
            </w:r>
          </w:p>
        </w:tc>
        <w:tc>
          <w:tcPr>
            <w:tcW w:w="828" w:type="dxa"/>
            <w:noWrap/>
            <w:vAlign w:val="center"/>
          </w:tcPr>
          <w:p w14:paraId="3C523FCF">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17BE3EBF">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0A1876FD">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4188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ign w:val="center"/>
          </w:tcPr>
          <w:p w14:paraId="4A685E71">
            <w:pPr>
              <w:widowControl/>
              <w:spacing w:line="280" w:lineRule="exact"/>
              <w:rPr>
                <w:rFonts w:ascii="仿宋" w:hAnsi="仿宋" w:eastAsia="仿宋" w:cs="仿宋"/>
                <w:sz w:val="20"/>
                <w:szCs w:val="20"/>
              </w:rPr>
            </w:pPr>
          </w:p>
        </w:tc>
        <w:tc>
          <w:tcPr>
            <w:tcW w:w="2160" w:type="dxa"/>
            <w:gridSpan w:val="2"/>
            <w:noWrap/>
            <w:vAlign w:val="center"/>
          </w:tcPr>
          <w:p w14:paraId="34B17D0E">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上年结转资金　</w:t>
            </w:r>
          </w:p>
        </w:tc>
        <w:tc>
          <w:tcPr>
            <w:tcW w:w="1149" w:type="dxa"/>
            <w:noWrap/>
            <w:vAlign w:val="center"/>
          </w:tcPr>
          <w:p w14:paraId="52562215">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2C96D0A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6DF6536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59E877F9">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25E318FD">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66812360">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56C0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ign w:val="center"/>
          </w:tcPr>
          <w:p w14:paraId="33F3D914">
            <w:pPr>
              <w:widowControl/>
              <w:spacing w:line="280" w:lineRule="exact"/>
              <w:rPr>
                <w:rFonts w:ascii="仿宋" w:hAnsi="仿宋" w:eastAsia="仿宋" w:cs="仿宋"/>
                <w:sz w:val="20"/>
                <w:szCs w:val="20"/>
              </w:rPr>
            </w:pPr>
          </w:p>
        </w:tc>
        <w:tc>
          <w:tcPr>
            <w:tcW w:w="2160" w:type="dxa"/>
            <w:gridSpan w:val="2"/>
            <w:noWrap/>
            <w:vAlign w:val="center"/>
          </w:tcPr>
          <w:p w14:paraId="24226CC9">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其他资金</w:t>
            </w:r>
          </w:p>
        </w:tc>
        <w:tc>
          <w:tcPr>
            <w:tcW w:w="1149" w:type="dxa"/>
            <w:noWrap/>
            <w:vAlign w:val="center"/>
          </w:tcPr>
          <w:p w14:paraId="738C1B08">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30E9501A">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5DA5416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37FDF85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24412289">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104D0D8A">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0ABF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80" w:type="dxa"/>
            <w:vMerge w:val="restart"/>
            <w:noWrap/>
            <w:vAlign w:val="center"/>
          </w:tcPr>
          <w:p w14:paraId="2164764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年度总体目标</w:t>
            </w:r>
          </w:p>
        </w:tc>
        <w:tc>
          <w:tcPr>
            <w:tcW w:w="4518" w:type="dxa"/>
            <w:gridSpan w:val="4"/>
            <w:noWrap/>
            <w:vAlign w:val="center"/>
          </w:tcPr>
          <w:p w14:paraId="1DB7E20B">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预期目标</w:t>
            </w:r>
          </w:p>
        </w:tc>
        <w:tc>
          <w:tcPr>
            <w:tcW w:w="4253" w:type="dxa"/>
            <w:gridSpan w:val="4"/>
            <w:noWrap/>
            <w:vAlign w:val="center"/>
          </w:tcPr>
          <w:p w14:paraId="36B18C5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实际完成情况　</w:t>
            </w:r>
          </w:p>
        </w:tc>
      </w:tr>
      <w:tr w14:paraId="72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80" w:type="dxa"/>
            <w:vMerge w:val="continue"/>
            <w:noWrap/>
            <w:vAlign w:val="center"/>
          </w:tcPr>
          <w:p w14:paraId="53DCBDA1">
            <w:pPr>
              <w:widowControl/>
              <w:spacing w:line="280" w:lineRule="exact"/>
              <w:rPr>
                <w:rFonts w:ascii="仿宋" w:hAnsi="仿宋" w:eastAsia="仿宋" w:cs="仿宋"/>
                <w:sz w:val="20"/>
                <w:szCs w:val="20"/>
              </w:rPr>
            </w:pPr>
          </w:p>
        </w:tc>
        <w:tc>
          <w:tcPr>
            <w:tcW w:w="4518" w:type="dxa"/>
            <w:gridSpan w:val="4"/>
            <w:noWrap/>
            <w:vAlign w:val="center"/>
          </w:tcPr>
          <w:p w14:paraId="507DD3D7">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10.00</w:t>
            </w:r>
          </w:p>
        </w:tc>
        <w:tc>
          <w:tcPr>
            <w:tcW w:w="4253" w:type="dxa"/>
            <w:gridSpan w:val="4"/>
            <w:noWrap/>
            <w:vAlign w:val="center"/>
          </w:tcPr>
          <w:p w14:paraId="250BB19C">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10.00</w:t>
            </w:r>
          </w:p>
        </w:tc>
      </w:tr>
      <w:tr w14:paraId="193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ign w:val="center"/>
          </w:tcPr>
          <w:p w14:paraId="2D622C3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绩</w:t>
            </w:r>
          </w:p>
          <w:p w14:paraId="5BBFD4A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效</w:t>
            </w:r>
          </w:p>
          <w:p w14:paraId="1568ADB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w:t>
            </w:r>
          </w:p>
          <w:p w14:paraId="4001A83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标</w:t>
            </w:r>
          </w:p>
        </w:tc>
        <w:tc>
          <w:tcPr>
            <w:tcW w:w="1080" w:type="dxa"/>
            <w:noWrap/>
            <w:vAlign w:val="center"/>
          </w:tcPr>
          <w:p w14:paraId="173B61A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一级指标</w:t>
            </w:r>
          </w:p>
        </w:tc>
        <w:tc>
          <w:tcPr>
            <w:tcW w:w="1080" w:type="dxa"/>
            <w:noWrap/>
            <w:vAlign w:val="center"/>
          </w:tcPr>
          <w:p w14:paraId="041CDD9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二级指标</w:t>
            </w:r>
          </w:p>
        </w:tc>
        <w:tc>
          <w:tcPr>
            <w:tcW w:w="1149" w:type="dxa"/>
            <w:noWrap/>
            <w:vAlign w:val="center"/>
          </w:tcPr>
          <w:p w14:paraId="1B0EFBE1">
            <w:pPr>
              <w:widowControl/>
              <w:jc w:val="center"/>
              <w:rPr>
                <w:rFonts w:ascii="仿宋" w:hAnsi="仿宋" w:eastAsia="仿宋" w:cs="仿宋"/>
                <w:sz w:val="15"/>
                <w:szCs w:val="15"/>
              </w:rPr>
            </w:pPr>
            <w:r>
              <w:rPr>
                <w:rFonts w:hint="eastAsia" w:ascii="仿宋_GB2312" w:hAnsi="宋体" w:eastAsia="仿宋_GB2312" w:cs="宋体"/>
                <w:sz w:val="15"/>
                <w:szCs w:val="15"/>
              </w:rPr>
              <w:t>三级指标</w:t>
            </w:r>
          </w:p>
        </w:tc>
        <w:tc>
          <w:tcPr>
            <w:tcW w:w="1209" w:type="dxa"/>
            <w:noWrap/>
            <w:vAlign w:val="center"/>
          </w:tcPr>
          <w:p w14:paraId="5B6DAC90">
            <w:pPr>
              <w:widowControl/>
              <w:jc w:val="center"/>
              <w:rPr>
                <w:rFonts w:ascii="仿宋" w:hAnsi="仿宋" w:eastAsia="仿宋" w:cs="仿宋"/>
                <w:sz w:val="18"/>
                <w:szCs w:val="18"/>
              </w:rPr>
            </w:pPr>
            <w:r>
              <w:rPr>
                <w:rFonts w:hint="eastAsia" w:ascii="仿宋_GB2312" w:hAnsi="宋体" w:eastAsia="仿宋_GB2312" w:cs="宋体"/>
                <w:sz w:val="18"/>
                <w:szCs w:val="18"/>
              </w:rPr>
              <w:t>年度指标值</w:t>
            </w:r>
          </w:p>
        </w:tc>
        <w:tc>
          <w:tcPr>
            <w:tcW w:w="1134" w:type="dxa"/>
            <w:noWrap/>
            <w:vAlign w:val="center"/>
          </w:tcPr>
          <w:p w14:paraId="63DC138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w:t>
            </w:r>
          </w:p>
          <w:p w14:paraId="066EABB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完成值</w:t>
            </w:r>
          </w:p>
        </w:tc>
        <w:tc>
          <w:tcPr>
            <w:tcW w:w="828" w:type="dxa"/>
            <w:noWrap/>
            <w:vAlign w:val="center"/>
          </w:tcPr>
          <w:p w14:paraId="52F69200">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35B4727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c>
          <w:tcPr>
            <w:tcW w:w="1418" w:type="dxa"/>
            <w:noWrap/>
            <w:vAlign w:val="center"/>
          </w:tcPr>
          <w:p w14:paraId="1F644B07">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偏差原因</w:t>
            </w:r>
          </w:p>
          <w:p w14:paraId="452AC978">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分析及</w:t>
            </w:r>
          </w:p>
          <w:p w14:paraId="35CC502B">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改进措施</w:t>
            </w:r>
          </w:p>
        </w:tc>
      </w:tr>
      <w:tr w14:paraId="1827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80" w:type="dxa"/>
            <w:vMerge w:val="continue"/>
            <w:noWrap/>
            <w:vAlign w:val="center"/>
          </w:tcPr>
          <w:p w14:paraId="1538DF67">
            <w:pPr>
              <w:widowControl/>
              <w:spacing w:line="280" w:lineRule="exact"/>
              <w:rPr>
                <w:rFonts w:ascii="仿宋" w:hAnsi="仿宋" w:eastAsia="仿宋" w:cs="仿宋"/>
                <w:sz w:val="20"/>
                <w:szCs w:val="20"/>
                <w:lang w:eastAsia="zh-CN"/>
              </w:rPr>
            </w:pPr>
          </w:p>
        </w:tc>
        <w:tc>
          <w:tcPr>
            <w:tcW w:w="1080" w:type="dxa"/>
            <w:vMerge w:val="restart"/>
            <w:noWrap/>
            <w:vAlign w:val="center"/>
          </w:tcPr>
          <w:p w14:paraId="289F8F0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产出指标</w:t>
            </w:r>
          </w:p>
          <w:p w14:paraId="44ED1C01">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（3</w:t>
            </w:r>
            <w:r>
              <w:rPr>
                <w:rFonts w:hint="eastAsia" w:ascii="仿宋" w:hAnsi="仿宋" w:eastAsia="仿宋" w:cs="仿宋"/>
                <w:sz w:val="20"/>
                <w:szCs w:val="20"/>
              </w:rPr>
              <w:t>0分</w:t>
            </w:r>
            <w:r>
              <w:rPr>
                <w:rFonts w:hint="eastAsia" w:ascii="仿宋" w:hAnsi="仿宋" w:eastAsia="仿宋" w:cs="仿宋"/>
                <w:sz w:val="20"/>
                <w:szCs w:val="20"/>
                <w:lang w:eastAsia="zh-CN"/>
              </w:rPr>
              <w:t>）</w:t>
            </w:r>
          </w:p>
        </w:tc>
        <w:tc>
          <w:tcPr>
            <w:tcW w:w="1080" w:type="dxa"/>
            <w:noWrap/>
            <w:vAlign w:val="center"/>
          </w:tcPr>
          <w:p w14:paraId="333E611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数量指标</w:t>
            </w:r>
          </w:p>
        </w:tc>
        <w:tc>
          <w:tcPr>
            <w:tcW w:w="1149" w:type="dxa"/>
            <w:noWrap/>
            <w:vAlign w:val="bottom"/>
          </w:tcPr>
          <w:p w14:paraId="03481096">
            <w:pPr>
              <w:widowControl/>
              <w:rPr>
                <w:sz w:val="15"/>
                <w:szCs w:val="15"/>
                <w:lang w:eastAsia="zh-CN"/>
              </w:rPr>
            </w:pPr>
            <w:r>
              <w:rPr>
                <w:rFonts w:hint="eastAsia" w:ascii="仿宋" w:hAnsi="仿宋" w:eastAsia="仿宋" w:cs="仿宋"/>
                <w:sz w:val="18"/>
                <w:szCs w:val="18"/>
                <w:lang w:eastAsia="zh-CN"/>
              </w:rPr>
              <w:t>道路安全事故</w:t>
            </w:r>
          </w:p>
        </w:tc>
        <w:tc>
          <w:tcPr>
            <w:tcW w:w="1209" w:type="dxa"/>
            <w:noWrap/>
            <w:vAlign w:val="bottom"/>
          </w:tcPr>
          <w:p w14:paraId="47A7CCE7">
            <w:pPr>
              <w:widowControl/>
              <w:rPr>
                <w:sz w:val="18"/>
                <w:szCs w:val="18"/>
              </w:rPr>
            </w:pPr>
            <w:r>
              <w:rPr>
                <w:rFonts w:hint="eastAsia" w:ascii="仿宋" w:hAnsi="仿宋" w:eastAsia="仿宋" w:cs="仿宋"/>
                <w:sz w:val="18"/>
                <w:szCs w:val="18"/>
                <w:lang w:eastAsia="zh-CN"/>
              </w:rPr>
              <w:t>0</w:t>
            </w:r>
          </w:p>
        </w:tc>
        <w:tc>
          <w:tcPr>
            <w:tcW w:w="1134" w:type="dxa"/>
            <w:noWrap/>
            <w:vAlign w:val="bottom"/>
          </w:tcPr>
          <w:p w14:paraId="569DB484">
            <w:pPr>
              <w:widowControl/>
              <w:rPr>
                <w:rFonts w:ascii="仿宋" w:hAnsi="仿宋" w:eastAsia="仿宋" w:cs="仿宋"/>
                <w:sz w:val="18"/>
                <w:szCs w:val="18"/>
              </w:rPr>
            </w:pPr>
            <w:r>
              <w:rPr>
                <w:rFonts w:hint="eastAsia" w:ascii="仿宋" w:hAnsi="仿宋" w:eastAsia="仿宋" w:cs="仿宋"/>
                <w:sz w:val="18"/>
                <w:szCs w:val="18"/>
                <w:lang w:eastAsia="zh-CN"/>
              </w:rPr>
              <w:t>100</w:t>
            </w:r>
          </w:p>
        </w:tc>
        <w:tc>
          <w:tcPr>
            <w:tcW w:w="828" w:type="dxa"/>
            <w:noWrap/>
            <w:vAlign w:val="center"/>
          </w:tcPr>
          <w:p w14:paraId="1B9B5DFA">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294AC53D">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25025CE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63B6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0" w:type="dxa"/>
            <w:vMerge w:val="continue"/>
            <w:noWrap/>
            <w:vAlign w:val="center"/>
          </w:tcPr>
          <w:p w14:paraId="145CAA87">
            <w:pPr>
              <w:widowControl/>
              <w:spacing w:line="280" w:lineRule="exact"/>
              <w:rPr>
                <w:rFonts w:ascii="仿宋" w:hAnsi="仿宋" w:eastAsia="仿宋" w:cs="仿宋"/>
                <w:sz w:val="20"/>
                <w:szCs w:val="20"/>
              </w:rPr>
            </w:pPr>
          </w:p>
        </w:tc>
        <w:tc>
          <w:tcPr>
            <w:tcW w:w="1080" w:type="dxa"/>
            <w:vMerge w:val="continue"/>
            <w:noWrap/>
            <w:vAlign w:val="center"/>
          </w:tcPr>
          <w:p w14:paraId="6D26C83B">
            <w:pPr>
              <w:widowControl/>
              <w:spacing w:line="280" w:lineRule="exact"/>
              <w:rPr>
                <w:rFonts w:ascii="仿宋" w:hAnsi="仿宋" w:eastAsia="仿宋" w:cs="仿宋"/>
                <w:sz w:val="20"/>
                <w:szCs w:val="20"/>
              </w:rPr>
            </w:pPr>
          </w:p>
        </w:tc>
        <w:tc>
          <w:tcPr>
            <w:tcW w:w="1080" w:type="dxa"/>
            <w:noWrap/>
            <w:vAlign w:val="center"/>
          </w:tcPr>
          <w:p w14:paraId="422F7040">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质量指标</w:t>
            </w:r>
          </w:p>
        </w:tc>
        <w:tc>
          <w:tcPr>
            <w:tcW w:w="1149" w:type="dxa"/>
            <w:noWrap/>
            <w:vAlign w:val="bottom"/>
          </w:tcPr>
          <w:p w14:paraId="1DA0DC7A">
            <w:pPr>
              <w:widowControl/>
              <w:rPr>
                <w:rFonts w:ascii="仿宋" w:hAnsi="仿宋" w:eastAsia="仿宋" w:cs="仿宋"/>
                <w:sz w:val="15"/>
                <w:szCs w:val="15"/>
                <w:lang w:eastAsia="zh-CN"/>
              </w:rPr>
            </w:pPr>
            <w:r>
              <w:rPr>
                <w:rFonts w:hint="eastAsia" w:ascii="仿宋" w:hAnsi="仿宋" w:eastAsia="仿宋" w:cs="仿宋"/>
                <w:sz w:val="18"/>
                <w:szCs w:val="18"/>
                <w:lang w:eastAsia="zh-CN"/>
              </w:rPr>
              <w:t>达到标准</w:t>
            </w:r>
          </w:p>
        </w:tc>
        <w:tc>
          <w:tcPr>
            <w:tcW w:w="1209" w:type="dxa"/>
            <w:noWrap/>
            <w:vAlign w:val="bottom"/>
          </w:tcPr>
          <w:p w14:paraId="71EF9530">
            <w:pPr>
              <w:widowControl/>
              <w:rPr>
                <w:rFonts w:ascii="仿宋" w:hAnsi="仿宋" w:eastAsia="仿宋" w:cs="仿宋"/>
                <w:sz w:val="18"/>
                <w:szCs w:val="18"/>
              </w:rPr>
            </w:pPr>
            <w:r>
              <w:rPr>
                <w:rFonts w:hint="eastAsia" w:ascii="仿宋" w:hAnsi="仿宋" w:eastAsia="仿宋" w:cs="仿宋"/>
                <w:sz w:val="18"/>
                <w:szCs w:val="18"/>
              </w:rPr>
              <w:t>合格</w:t>
            </w:r>
          </w:p>
        </w:tc>
        <w:tc>
          <w:tcPr>
            <w:tcW w:w="1134" w:type="dxa"/>
            <w:noWrap/>
            <w:vAlign w:val="bottom"/>
          </w:tcPr>
          <w:p w14:paraId="1EA63913">
            <w:pPr>
              <w:widowControl/>
              <w:rPr>
                <w:rFonts w:ascii="仿宋" w:hAnsi="仿宋" w:eastAsia="仿宋" w:cs="仿宋"/>
                <w:sz w:val="18"/>
                <w:szCs w:val="18"/>
                <w:lang w:eastAsia="zh-CN"/>
              </w:rPr>
            </w:pPr>
            <w:r>
              <w:rPr>
                <w:rFonts w:hint="eastAsia" w:ascii="仿宋" w:hAnsi="仿宋" w:eastAsia="仿宋" w:cs="仿宋"/>
                <w:sz w:val="18"/>
                <w:szCs w:val="18"/>
                <w:lang w:eastAsia="zh-CN"/>
              </w:rPr>
              <w:t>优秀</w:t>
            </w:r>
          </w:p>
        </w:tc>
        <w:tc>
          <w:tcPr>
            <w:tcW w:w="828" w:type="dxa"/>
            <w:noWrap/>
            <w:vAlign w:val="center"/>
          </w:tcPr>
          <w:p w14:paraId="0B8EB89D">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46A18940">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5104EDED">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7068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noWrap/>
            <w:vAlign w:val="center"/>
          </w:tcPr>
          <w:p w14:paraId="20B1A876">
            <w:pPr>
              <w:widowControl/>
              <w:spacing w:line="280" w:lineRule="exact"/>
              <w:rPr>
                <w:rFonts w:ascii="仿宋" w:hAnsi="仿宋" w:eastAsia="仿宋" w:cs="仿宋"/>
                <w:sz w:val="20"/>
                <w:szCs w:val="20"/>
              </w:rPr>
            </w:pPr>
          </w:p>
        </w:tc>
        <w:tc>
          <w:tcPr>
            <w:tcW w:w="1080" w:type="dxa"/>
            <w:vMerge w:val="continue"/>
            <w:noWrap/>
            <w:vAlign w:val="center"/>
          </w:tcPr>
          <w:p w14:paraId="5EF0E075">
            <w:pPr>
              <w:widowControl/>
              <w:spacing w:line="280" w:lineRule="exact"/>
              <w:rPr>
                <w:rFonts w:ascii="仿宋" w:hAnsi="仿宋" w:eastAsia="仿宋" w:cs="仿宋"/>
                <w:sz w:val="20"/>
                <w:szCs w:val="20"/>
              </w:rPr>
            </w:pPr>
          </w:p>
        </w:tc>
        <w:tc>
          <w:tcPr>
            <w:tcW w:w="1080" w:type="dxa"/>
            <w:noWrap/>
            <w:vAlign w:val="center"/>
          </w:tcPr>
          <w:p w14:paraId="5278676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时效指标</w:t>
            </w:r>
          </w:p>
        </w:tc>
        <w:tc>
          <w:tcPr>
            <w:tcW w:w="1149" w:type="dxa"/>
            <w:noWrap/>
            <w:vAlign w:val="center"/>
          </w:tcPr>
          <w:p w14:paraId="13CE314D">
            <w:pPr>
              <w:widowControl/>
              <w:textAlignment w:val="center"/>
              <w:rPr>
                <w:rFonts w:ascii="仿宋" w:hAnsi="仿宋" w:eastAsia="仿宋" w:cs="仿宋"/>
                <w:sz w:val="15"/>
                <w:szCs w:val="15"/>
              </w:rPr>
            </w:pPr>
            <w:r>
              <w:rPr>
                <w:rFonts w:hint="eastAsia" w:ascii="仿宋" w:hAnsi="仿宋" w:eastAsia="仿宋" w:cs="仿宋"/>
                <w:sz w:val="18"/>
                <w:szCs w:val="18"/>
              </w:rPr>
              <w:t>及时率</w:t>
            </w:r>
          </w:p>
        </w:tc>
        <w:tc>
          <w:tcPr>
            <w:tcW w:w="1209" w:type="dxa"/>
            <w:noWrap/>
            <w:vAlign w:val="bottom"/>
          </w:tcPr>
          <w:p w14:paraId="50788E07">
            <w:pPr>
              <w:widowControl/>
              <w:rPr>
                <w:rFonts w:ascii="仿宋" w:hAnsi="仿宋" w:eastAsia="仿宋" w:cs="仿宋"/>
                <w:sz w:val="18"/>
                <w:szCs w:val="18"/>
              </w:rPr>
            </w:pPr>
            <w:r>
              <w:rPr>
                <w:rFonts w:hint="eastAsia" w:ascii="仿宋" w:hAnsi="仿宋" w:eastAsia="仿宋" w:cs="仿宋"/>
                <w:sz w:val="18"/>
                <w:szCs w:val="18"/>
              </w:rPr>
              <w:t>%</w:t>
            </w:r>
          </w:p>
        </w:tc>
        <w:tc>
          <w:tcPr>
            <w:tcW w:w="1134" w:type="dxa"/>
            <w:noWrap/>
            <w:vAlign w:val="bottom"/>
          </w:tcPr>
          <w:p w14:paraId="329F884F">
            <w:pPr>
              <w:widowControl/>
              <w:rPr>
                <w:rFonts w:ascii="仿宋" w:hAnsi="仿宋" w:eastAsia="仿宋" w:cs="仿宋"/>
                <w:sz w:val="18"/>
                <w:szCs w:val="18"/>
              </w:rPr>
            </w:pPr>
            <w:r>
              <w:rPr>
                <w:rFonts w:hint="eastAsia" w:ascii="仿宋" w:hAnsi="仿宋" w:eastAsia="仿宋" w:cs="仿宋"/>
                <w:sz w:val="18"/>
                <w:szCs w:val="18"/>
              </w:rPr>
              <w:t>100%</w:t>
            </w:r>
          </w:p>
        </w:tc>
        <w:tc>
          <w:tcPr>
            <w:tcW w:w="828" w:type="dxa"/>
            <w:noWrap/>
            <w:vAlign w:val="center"/>
          </w:tcPr>
          <w:p w14:paraId="65C1E517">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2443E60A">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1465CC55">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10CE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80" w:type="dxa"/>
            <w:vMerge w:val="continue"/>
            <w:noWrap/>
            <w:vAlign w:val="center"/>
          </w:tcPr>
          <w:p w14:paraId="188845FC">
            <w:pPr>
              <w:widowControl/>
              <w:spacing w:line="280" w:lineRule="exact"/>
              <w:rPr>
                <w:rFonts w:ascii="仿宋" w:hAnsi="仿宋" w:eastAsia="仿宋" w:cs="仿宋"/>
                <w:sz w:val="20"/>
                <w:szCs w:val="20"/>
              </w:rPr>
            </w:pPr>
          </w:p>
        </w:tc>
        <w:tc>
          <w:tcPr>
            <w:tcW w:w="1080" w:type="dxa"/>
            <w:vMerge w:val="restart"/>
            <w:noWrap/>
            <w:vAlign w:val="center"/>
          </w:tcPr>
          <w:p w14:paraId="0506B2CB">
            <w:pPr>
              <w:widowControl/>
              <w:spacing w:line="280" w:lineRule="exact"/>
              <w:rPr>
                <w:rFonts w:ascii="仿宋" w:hAnsi="仿宋" w:eastAsia="仿宋" w:cs="仿宋"/>
                <w:sz w:val="20"/>
                <w:szCs w:val="20"/>
              </w:rPr>
            </w:pPr>
            <w:r>
              <w:rPr>
                <w:rFonts w:hint="eastAsia" w:ascii="仿宋" w:hAnsi="仿宋" w:eastAsia="仿宋" w:cs="仿宋"/>
                <w:sz w:val="20"/>
                <w:szCs w:val="20"/>
              </w:rPr>
              <w:t>效益指标</w:t>
            </w:r>
          </w:p>
          <w:p w14:paraId="6E3FF444">
            <w:pPr>
              <w:widowControl/>
              <w:spacing w:line="280" w:lineRule="exact"/>
              <w:rPr>
                <w:rFonts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eastAsia="zh-CN"/>
              </w:rPr>
              <w:t>2</w:t>
            </w:r>
            <w:r>
              <w:rPr>
                <w:rFonts w:hint="eastAsia" w:ascii="仿宋" w:hAnsi="仿宋" w:eastAsia="仿宋" w:cs="仿宋"/>
                <w:sz w:val="20"/>
                <w:szCs w:val="20"/>
              </w:rPr>
              <w:t>0分）</w:t>
            </w:r>
          </w:p>
        </w:tc>
        <w:tc>
          <w:tcPr>
            <w:tcW w:w="1080" w:type="dxa"/>
            <w:noWrap/>
            <w:vAlign w:val="center"/>
          </w:tcPr>
          <w:p w14:paraId="7304133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经济效</w:t>
            </w:r>
          </w:p>
          <w:p w14:paraId="76F229F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5C04C8F7">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有效促进经济发殿</w:t>
            </w:r>
          </w:p>
        </w:tc>
        <w:tc>
          <w:tcPr>
            <w:tcW w:w="1209" w:type="dxa"/>
            <w:noWrap/>
            <w:vAlign w:val="center"/>
          </w:tcPr>
          <w:p w14:paraId="00CD51A6">
            <w:pPr>
              <w:widowControl/>
              <w:spacing w:line="280" w:lineRule="exact"/>
              <w:rPr>
                <w:rFonts w:ascii="仿宋" w:hAnsi="仿宋" w:eastAsia="仿宋" w:cs="仿宋"/>
                <w:sz w:val="18"/>
                <w:szCs w:val="18"/>
              </w:rPr>
            </w:pPr>
            <w:r>
              <w:rPr>
                <w:rFonts w:hint="eastAsia" w:ascii="仿宋" w:hAnsi="仿宋" w:eastAsia="仿宋" w:cs="仿宋"/>
                <w:sz w:val="18"/>
                <w:szCs w:val="18"/>
              </w:rPr>
              <w:t>明显</w:t>
            </w:r>
          </w:p>
        </w:tc>
        <w:tc>
          <w:tcPr>
            <w:tcW w:w="1134" w:type="dxa"/>
            <w:noWrap/>
            <w:vAlign w:val="center"/>
          </w:tcPr>
          <w:p w14:paraId="038980F8">
            <w:pPr>
              <w:widowControl/>
              <w:spacing w:line="280" w:lineRule="exact"/>
              <w:rPr>
                <w:rFonts w:ascii="仿宋" w:hAnsi="仿宋" w:eastAsia="仿宋" w:cs="仿宋"/>
                <w:sz w:val="18"/>
                <w:szCs w:val="18"/>
              </w:rPr>
            </w:pPr>
            <w:r>
              <w:rPr>
                <w:rFonts w:hint="eastAsia" w:ascii="仿宋" w:hAnsi="仿宋" w:eastAsia="仿宋" w:cs="仿宋"/>
                <w:sz w:val="18"/>
                <w:szCs w:val="18"/>
              </w:rPr>
              <w:t>明显</w:t>
            </w:r>
          </w:p>
        </w:tc>
        <w:tc>
          <w:tcPr>
            <w:tcW w:w="828" w:type="dxa"/>
            <w:noWrap/>
            <w:vAlign w:val="center"/>
          </w:tcPr>
          <w:p w14:paraId="45BB8163">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5D4C8DE5">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9</w:t>
            </w:r>
          </w:p>
        </w:tc>
        <w:tc>
          <w:tcPr>
            <w:tcW w:w="1418" w:type="dxa"/>
            <w:noWrap/>
            <w:vAlign w:val="center"/>
          </w:tcPr>
          <w:p w14:paraId="61FAF803">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232F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noWrap/>
            <w:vAlign w:val="center"/>
          </w:tcPr>
          <w:p w14:paraId="66D6A10A">
            <w:pPr>
              <w:widowControl/>
              <w:spacing w:line="280" w:lineRule="exact"/>
              <w:rPr>
                <w:rFonts w:ascii="仿宋" w:hAnsi="仿宋" w:eastAsia="仿宋" w:cs="仿宋"/>
                <w:sz w:val="20"/>
                <w:szCs w:val="20"/>
              </w:rPr>
            </w:pPr>
          </w:p>
        </w:tc>
        <w:tc>
          <w:tcPr>
            <w:tcW w:w="1080" w:type="dxa"/>
            <w:vMerge w:val="continue"/>
            <w:noWrap/>
            <w:vAlign w:val="center"/>
          </w:tcPr>
          <w:p w14:paraId="279CD114">
            <w:pPr>
              <w:widowControl/>
              <w:spacing w:line="280" w:lineRule="exact"/>
              <w:rPr>
                <w:rFonts w:ascii="仿宋" w:hAnsi="仿宋" w:eastAsia="仿宋" w:cs="仿宋"/>
                <w:sz w:val="20"/>
                <w:szCs w:val="20"/>
              </w:rPr>
            </w:pPr>
          </w:p>
        </w:tc>
        <w:tc>
          <w:tcPr>
            <w:tcW w:w="1080" w:type="dxa"/>
            <w:noWrap/>
            <w:vAlign w:val="center"/>
          </w:tcPr>
          <w:p w14:paraId="482045B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社会效</w:t>
            </w:r>
          </w:p>
          <w:p w14:paraId="6DD1F13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452C368A">
            <w:pPr>
              <w:widowControl/>
              <w:spacing w:line="280" w:lineRule="exact"/>
              <w:rPr>
                <w:rFonts w:ascii="仿宋" w:hAnsi="仿宋" w:eastAsia="仿宋" w:cs="仿宋"/>
                <w:sz w:val="18"/>
                <w:szCs w:val="18"/>
                <w:lang w:eastAsia="zh-CN"/>
              </w:rPr>
            </w:pPr>
            <w:r>
              <w:rPr>
                <w:rFonts w:hint="eastAsia" w:ascii="仿宋" w:hAnsi="仿宋" w:eastAsia="仿宋" w:cs="仿宋"/>
                <w:sz w:val="18"/>
                <w:szCs w:val="18"/>
              </w:rPr>
              <w:t>　满足</w:t>
            </w:r>
            <w:r>
              <w:rPr>
                <w:rFonts w:hint="eastAsia" w:ascii="仿宋" w:hAnsi="仿宋" w:eastAsia="仿宋" w:cs="仿宋"/>
                <w:sz w:val="18"/>
                <w:szCs w:val="18"/>
                <w:lang w:eastAsia="zh-CN"/>
              </w:rPr>
              <w:t>人民安全出行</w:t>
            </w:r>
          </w:p>
        </w:tc>
        <w:tc>
          <w:tcPr>
            <w:tcW w:w="1209" w:type="dxa"/>
            <w:noWrap/>
            <w:vAlign w:val="center"/>
          </w:tcPr>
          <w:p w14:paraId="0D79623E">
            <w:pPr>
              <w:rPr>
                <w:rFonts w:ascii="仿宋" w:hAnsi="仿宋" w:eastAsia="仿宋" w:cs="仿宋"/>
                <w:sz w:val="18"/>
                <w:szCs w:val="18"/>
              </w:rPr>
            </w:pPr>
            <w:r>
              <w:rPr>
                <w:rFonts w:hint="eastAsia" w:ascii="仿宋" w:hAnsi="仿宋" w:eastAsia="仿宋" w:cs="仿宋"/>
                <w:sz w:val="18"/>
                <w:szCs w:val="18"/>
              </w:rPr>
              <w:t>满足</w:t>
            </w:r>
          </w:p>
          <w:p w14:paraId="5F28A729">
            <w:pPr>
              <w:widowControl/>
              <w:spacing w:line="280" w:lineRule="exact"/>
              <w:rPr>
                <w:rFonts w:ascii="仿宋" w:hAnsi="仿宋" w:eastAsia="仿宋" w:cs="仿宋"/>
                <w:sz w:val="18"/>
                <w:szCs w:val="18"/>
              </w:rPr>
            </w:pPr>
          </w:p>
        </w:tc>
        <w:tc>
          <w:tcPr>
            <w:tcW w:w="1134" w:type="dxa"/>
            <w:noWrap/>
            <w:vAlign w:val="center"/>
          </w:tcPr>
          <w:p w14:paraId="29D67689">
            <w:pPr>
              <w:rPr>
                <w:rFonts w:ascii="仿宋" w:hAnsi="仿宋" w:eastAsia="仿宋" w:cs="仿宋"/>
                <w:sz w:val="18"/>
                <w:szCs w:val="18"/>
              </w:rPr>
            </w:pPr>
            <w:r>
              <w:rPr>
                <w:rFonts w:hint="eastAsia" w:ascii="仿宋" w:hAnsi="仿宋" w:eastAsia="仿宋" w:cs="仿宋"/>
                <w:sz w:val="18"/>
                <w:szCs w:val="18"/>
              </w:rPr>
              <w:t>　满足</w:t>
            </w:r>
          </w:p>
          <w:p w14:paraId="44D5F231">
            <w:pPr>
              <w:widowControl/>
              <w:spacing w:line="280" w:lineRule="exact"/>
              <w:rPr>
                <w:rFonts w:ascii="仿宋" w:hAnsi="仿宋" w:eastAsia="仿宋" w:cs="仿宋"/>
                <w:sz w:val="18"/>
                <w:szCs w:val="18"/>
              </w:rPr>
            </w:pPr>
          </w:p>
        </w:tc>
        <w:tc>
          <w:tcPr>
            <w:tcW w:w="828" w:type="dxa"/>
            <w:noWrap/>
            <w:vAlign w:val="center"/>
          </w:tcPr>
          <w:p w14:paraId="09A5C616">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35A76785">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1BCF7B9D">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1227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ign w:val="center"/>
          </w:tcPr>
          <w:p w14:paraId="101C9B4E">
            <w:pPr>
              <w:widowControl/>
              <w:spacing w:line="280" w:lineRule="exact"/>
              <w:rPr>
                <w:rFonts w:ascii="仿宋" w:hAnsi="仿宋" w:eastAsia="仿宋" w:cs="仿宋"/>
                <w:sz w:val="20"/>
                <w:szCs w:val="20"/>
              </w:rPr>
            </w:pPr>
          </w:p>
        </w:tc>
        <w:tc>
          <w:tcPr>
            <w:tcW w:w="1080" w:type="dxa"/>
            <w:vMerge w:val="restart"/>
            <w:noWrap/>
            <w:vAlign w:val="center"/>
          </w:tcPr>
          <w:p w14:paraId="5267ADD3">
            <w:pPr>
              <w:widowControl/>
              <w:spacing w:line="28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成本指标</w:t>
            </w:r>
          </w:p>
        </w:tc>
        <w:tc>
          <w:tcPr>
            <w:tcW w:w="1080" w:type="dxa"/>
            <w:noWrap/>
            <w:vAlign w:val="center"/>
          </w:tcPr>
          <w:p w14:paraId="6F3B98B9">
            <w:pPr>
              <w:widowControl/>
              <w:spacing w:line="28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经济成本指标</w:t>
            </w:r>
          </w:p>
        </w:tc>
        <w:tc>
          <w:tcPr>
            <w:tcW w:w="1149" w:type="dxa"/>
            <w:noWrap/>
            <w:vAlign w:val="center"/>
          </w:tcPr>
          <w:p w14:paraId="6753E379">
            <w:pPr>
              <w:rPr>
                <w:rFonts w:hint="eastAsia" w:ascii="仿宋" w:hAnsi="仿宋" w:eastAsia="仿宋" w:cs="仿宋"/>
                <w:sz w:val="20"/>
                <w:szCs w:val="20"/>
                <w:lang w:eastAsia="zh-CN"/>
              </w:rPr>
            </w:pPr>
            <w:r>
              <w:rPr>
                <w:rFonts w:hint="eastAsia" w:ascii="仿宋" w:hAnsi="仿宋" w:eastAsia="仿宋" w:cs="仿宋"/>
                <w:sz w:val="20"/>
                <w:szCs w:val="20"/>
                <w:lang w:eastAsia="zh-CN"/>
              </w:rPr>
              <w:t>真抓实干经费</w:t>
            </w:r>
          </w:p>
        </w:tc>
        <w:tc>
          <w:tcPr>
            <w:tcW w:w="1209" w:type="dxa"/>
            <w:noWrap/>
            <w:vAlign w:val="center"/>
          </w:tcPr>
          <w:p w14:paraId="0EA4A212">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4</w:t>
            </w:r>
          </w:p>
        </w:tc>
        <w:tc>
          <w:tcPr>
            <w:tcW w:w="1134" w:type="dxa"/>
            <w:noWrap/>
            <w:vAlign w:val="center"/>
          </w:tcPr>
          <w:p w14:paraId="1ED8D620">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100%</w:t>
            </w:r>
          </w:p>
        </w:tc>
        <w:tc>
          <w:tcPr>
            <w:tcW w:w="828" w:type="dxa"/>
            <w:noWrap/>
            <w:vAlign w:val="center"/>
          </w:tcPr>
          <w:p w14:paraId="41859835">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22164C82">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2F92AE4F">
            <w:pPr>
              <w:widowControl/>
              <w:spacing w:line="280" w:lineRule="exact"/>
              <w:rPr>
                <w:rFonts w:hint="eastAsia" w:ascii="仿宋" w:hAnsi="仿宋" w:eastAsia="仿宋" w:cs="仿宋"/>
                <w:sz w:val="18"/>
                <w:szCs w:val="18"/>
              </w:rPr>
            </w:pPr>
          </w:p>
        </w:tc>
      </w:tr>
      <w:tr w14:paraId="0AC5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ign w:val="center"/>
          </w:tcPr>
          <w:p w14:paraId="37B08405">
            <w:pPr>
              <w:widowControl/>
              <w:spacing w:line="280" w:lineRule="exact"/>
              <w:rPr>
                <w:rFonts w:ascii="仿宋" w:hAnsi="仿宋" w:eastAsia="仿宋" w:cs="仿宋"/>
                <w:sz w:val="20"/>
                <w:szCs w:val="20"/>
              </w:rPr>
            </w:pPr>
          </w:p>
        </w:tc>
        <w:tc>
          <w:tcPr>
            <w:tcW w:w="1080" w:type="dxa"/>
            <w:vMerge w:val="continue"/>
            <w:noWrap/>
            <w:vAlign w:val="center"/>
          </w:tcPr>
          <w:p w14:paraId="3101CC39">
            <w:pPr>
              <w:widowControl/>
              <w:spacing w:line="280" w:lineRule="exact"/>
              <w:jc w:val="center"/>
              <w:rPr>
                <w:rFonts w:hint="eastAsia" w:ascii="仿宋" w:hAnsi="仿宋" w:eastAsia="仿宋" w:cs="仿宋"/>
                <w:sz w:val="20"/>
                <w:szCs w:val="20"/>
              </w:rPr>
            </w:pPr>
          </w:p>
        </w:tc>
        <w:tc>
          <w:tcPr>
            <w:tcW w:w="1080" w:type="dxa"/>
            <w:noWrap/>
            <w:vAlign w:val="center"/>
          </w:tcPr>
          <w:p w14:paraId="1350B408">
            <w:pPr>
              <w:widowControl/>
              <w:spacing w:line="28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社会成本指标</w:t>
            </w:r>
          </w:p>
        </w:tc>
        <w:tc>
          <w:tcPr>
            <w:tcW w:w="1149" w:type="dxa"/>
            <w:noWrap/>
            <w:vAlign w:val="center"/>
          </w:tcPr>
          <w:p w14:paraId="555CD99F">
            <w:pPr>
              <w:rPr>
                <w:rFonts w:hint="eastAsia" w:ascii="仿宋" w:hAnsi="仿宋" w:eastAsia="仿宋" w:cs="仿宋"/>
                <w:sz w:val="20"/>
                <w:szCs w:val="20"/>
                <w:lang w:eastAsia="zh-CN"/>
              </w:rPr>
            </w:pPr>
            <w:r>
              <w:rPr>
                <w:rFonts w:hint="eastAsia" w:ascii="仿宋" w:hAnsi="仿宋" w:eastAsia="仿宋" w:cs="仿宋"/>
                <w:sz w:val="20"/>
                <w:szCs w:val="20"/>
                <w:lang w:eastAsia="zh-CN"/>
              </w:rPr>
              <w:t>成本节约率</w:t>
            </w:r>
          </w:p>
        </w:tc>
        <w:tc>
          <w:tcPr>
            <w:tcW w:w="1209" w:type="dxa"/>
            <w:noWrap/>
            <w:vAlign w:val="center"/>
          </w:tcPr>
          <w:p w14:paraId="32E90248">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0</w:t>
            </w:r>
          </w:p>
        </w:tc>
        <w:tc>
          <w:tcPr>
            <w:tcW w:w="1134" w:type="dxa"/>
            <w:noWrap/>
            <w:vAlign w:val="center"/>
          </w:tcPr>
          <w:p w14:paraId="5D7EFDB3">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100%</w:t>
            </w:r>
          </w:p>
        </w:tc>
        <w:tc>
          <w:tcPr>
            <w:tcW w:w="828" w:type="dxa"/>
            <w:noWrap/>
            <w:vAlign w:val="center"/>
          </w:tcPr>
          <w:p w14:paraId="69D3BE64">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4304DF2A">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75545593">
            <w:pPr>
              <w:widowControl/>
              <w:spacing w:line="280" w:lineRule="exact"/>
              <w:rPr>
                <w:rFonts w:hint="eastAsia" w:ascii="仿宋" w:hAnsi="仿宋" w:eastAsia="仿宋" w:cs="仿宋"/>
                <w:sz w:val="18"/>
                <w:szCs w:val="18"/>
              </w:rPr>
            </w:pPr>
          </w:p>
        </w:tc>
      </w:tr>
      <w:tr w14:paraId="5663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ign w:val="center"/>
          </w:tcPr>
          <w:p w14:paraId="79CCB76B">
            <w:pPr>
              <w:widowControl/>
              <w:spacing w:line="280" w:lineRule="exact"/>
              <w:rPr>
                <w:rFonts w:ascii="仿宋" w:hAnsi="仿宋" w:eastAsia="仿宋" w:cs="仿宋"/>
                <w:sz w:val="20"/>
                <w:szCs w:val="20"/>
              </w:rPr>
            </w:pPr>
          </w:p>
        </w:tc>
        <w:tc>
          <w:tcPr>
            <w:tcW w:w="1080" w:type="dxa"/>
            <w:vMerge w:val="continue"/>
            <w:noWrap/>
            <w:vAlign w:val="center"/>
          </w:tcPr>
          <w:p w14:paraId="2CDC4BD2">
            <w:pPr>
              <w:widowControl/>
              <w:spacing w:line="280" w:lineRule="exact"/>
              <w:jc w:val="center"/>
              <w:rPr>
                <w:rFonts w:hint="eastAsia" w:ascii="仿宋" w:hAnsi="仿宋" w:eastAsia="仿宋" w:cs="仿宋"/>
                <w:sz w:val="20"/>
                <w:szCs w:val="20"/>
              </w:rPr>
            </w:pPr>
          </w:p>
        </w:tc>
        <w:tc>
          <w:tcPr>
            <w:tcW w:w="1080" w:type="dxa"/>
            <w:noWrap/>
            <w:vAlign w:val="center"/>
          </w:tcPr>
          <w:p w14:paraId="163814A3">
            <w:pPr>
              <w:widowControl/>
              <w:spacing w:line="28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生态环境成本指标</w:t>
            </w:r>
          </w:p>
        </w:tc>
        <w:tc>
          <w:tcPr>
            <w:tcW w:w="1149" w:type="dxa"/>
            <w:noWrap/>
            <w:vAlign w:val="center"/>
          </w:tcPr>
          <w:p w14:paraId="1922E40B">
            <w:pPr>
              <w:rPr>
                <w:rFonts w:hint="eastAsia" w:ascii="仿宋" w:hAnsi="仿宋" w:eastAsia="仿宋" w:cs="仿宋"/>
                <w:sz w:val="20"/>
                <w:szCs w:val="20"/>
              </w:rPr>
            </w:pPr>
            <w:r>
              <w:rPr>
                <w:rFonts w:hint="eastAsia" w:ascii="仿宋" w:hAnsi="仿宋" w:eastAsia="仿宋" w:cs="仿宋"/>
                <w:sz w:val="20"/>
                <w:szCs w:val="20"/>
                <w:lang w:eastAsia="zh-CN"/>
              </w:rPr>
              <w:t>生态环境成本节约率</w:t>
            </w:r>
          </w:p>
        </w:tc>
        <w:tc>
          <w:tcPr>
            <w:tcW w:w="1209" w:type="dxa"/>
            <w:noWrap/>
            <w:vAlign w:val="center"/>
          </w:tcPr>
          <w:p w14:paraId="4C31E850">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0</w:t>
            </w:r>
          </w:p>
        </w:tc>
        <w:tc>
          <w:tcPr>
            <w:tcW w:w="1134" w:type="dxa"/>
            <w:noWrap/>
            <w:vAlign w:val="center"/>
          </w:tcPr>
          <w:p w14:paraId="0C119BF4">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100%</w:t>
            </w:r>
          </w:p>
        </w:tc>
        <w:tc>
          <w:tcPr>
            <w:tcW w:w="828" w:type="dxa"/>
            <w:noWrap/>
            <w:vAlign w:val="center"/>
          </w:tcPr>
          <w:p w14:paraId="349ACB8B">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7E2331DA">
            <w:pPr>
              <w:widowControl/>
              <w:spacing w:line="2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7E5CD84C">
            <w:pPr>
              <w:widowControl/>
              <w:spacing w:line="280" w:lineRule="exact"/>
              <w:rPr>
                <w:rFonts w:hint="eastAsia" w:ascii="仿宋" w:hAnsi="仿宋" w:eastAsia="仿宋" w:cs="仿宋"/>
                <w:sz w:val="18"/>
                <w:szCs w:val="18"/>
              </w:rPr>
            </w:pPr>
          </w:p>
        </w:tc>
      </w:tr>
      <w:tr w14:paraId="48730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0" w:type="dxa"/>
            <w:vMerge w:val="continue"/>
            <w:noWrap/>
            <w:vAlign w:val="center"/>
          </w:tcPr>
          <w:p w14:paraId="79956AD1">
            <w:pPr>
              <w:widowControl/>
              <w:spacing w:line="280" w:lineRule="exact"/>
              <w:rPr>
                <w:rFonts w:ascii="仿宋" w:hAnsi="仿宋" w:eastAsia="仿宋" w:cs="仿宋"/>
                <w:sz w:val="20"/>
                <w:szCs w:val="20"/>
              </w:rPr>
            </w:pPr>
          </w:p>
        </w:tc>
        <w:tc>
          <w:tcPr>
            <w:tcW w:w="1080" w:type="dxa"/>
            <w:noWrap/>
            <w:vAlign w:val="center"/>
          </w:tcPr>
          <w:p w14:paraId="28F017C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满意度</w:t>
            </w:r>
          </w:p>
          <w:p w14:paraId="758E314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指标</w:t>
            </w:r>
          </w:p>
          <w:p w14:paraId="6D5ADE1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（10分）</w:t>
            </w:r>
          </w:p>
        </w:tc>
        <w:tc>
          <w:tcPr>
            <w:tcW w:w="1080" w:type="dxa"/>
            <w:noWrap/>
            <w:vAlign w:val="center"/>
          </w:tcPr>
          <w:p w14:paraId="447064F0">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服务对象满意度指标</w:t>
            </w:r>
          </w:p>
        </w:tc>
        <w:tc>
          <w:tcPr>
            <w:tcW w:w="1149" w:type="dxa"/>
            <w:noWrap/>
            <w:vAlign w:val="center"/>
          </w:tcPr>
          <w:p w14:paraId="6E9380A5">
            <w:pPr>
              <w:rPr>
                <w:rFonts w:ascii="仿宋" w:hAnsi="仿宋" w:eastAsia="仿宋" w:cs="仿宋"/>
                <w:sz w:val="20"/>
                <w:szCs w:val="20"/>
              </w:rPr>
            </w:pPr>
            <w:r>
              <w:rPr>
                <w:rFonts w:hint="eastAsia" w:ascii="仿宋" w:hAnsi="仿宋" w:eastAsia="仿宋" w:cs="仿宋"/>
                <w:sz w:val="20"/>
                <w:szCs w:val="20"/>
              </w:rPr>
              <w:t>市民便捷出行满意度</w:t>
            </w:r>
          </w:p>
        </w:tc>
        <w:tc>
          <w:tcPr>
            <w:tcW w:w="1209" w:type="dxa"/>
            <w:noWrap/>
            <w:vAlign w:val="center"/>
          </w:tcPr>
          <w:p w14:paraId="35FDBE16">
            <w:pPr>
              <w:widowControl/>
              <w:spacing w:line="280" w:lineRule="exact"/>
              <w:rPr>
                <w:rFonts w:ascii="仿宋" w:hAnsi="仿宋" w:eastAsia="仿宋" w:cs="仿宋"/>
                <w:sz w:val="18"/>
                <w:szCs w:val="18"/>
              </w:rPr>
            </w:pPr>
            <w:r>
              <w:rPr>
                <w:rFonts w:hint="eastAsia" w:ascii="仿宋" w:hAnsi="仿宋" w:eastAsia="仿宋" w:cs="仿宋"/>
                <w:sz w:val="18"/>
                <w:szCs w:val="18"/>
              </w:rPr>
              <w:t>　95%以上</w:t>
            </w:r>
          </w:p>
        </w:tc>
        <w:tc>
          <w:tcPr>
            <w:tcW w:w="1134" w:type="dxa"/>
            <w:noWrap/>
            <w:vAlign w:val="center"/>
          </w:tcPr>
          <w:p w14:paraId="40576ADD">
            <w:pPr>
              <w:widowControl/>
              <w:spacing w:line="280" w:lineRule="exact"/>
              <w:rPr>
                <w:rFonts w:ascii="仿宋" w:hAnsi="仿宋" w:eastAsia="仿宋" w:cs="仿宋"/>
                <w:sz w:val="18"/>
                <w:szCs w:val="18"/>
              </w:rPr>
            </w:pPr>
            <w:r>
              <w:rPr>
                <w:rFonts w:hint="eastAsia" w:ascii="仿宋" w:hAnsi="仿宋" w:eastAsia="仿宋" w:cs="仿宋"/>
                <w:sz w:val="18"/>
                <w:szCs w:val="18"/>
              </w:rPr>
              <w:t>95%以上</w:t>
            </w:r>
          </w:p>
        </w:tc>
        <w:tc>
          <w:tcPr>
            <w:tcW w:w="828" w:type="dxa"/>
            <w:noWrap/>
            <w:vAlign w:val="center"/>
          </w:tcPr>
          <w:p w14:paraId="39C126A7">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6FA0E4B0">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5D73484A">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539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32" w:type="dxa"/>
            <w:gridSpan w:val="6"/>
            <w:noWrap/>
            <w:vAlign w:val="center"/>
          </w:tcPr>
          <w:p w14:paraId="22A0C96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总分</w:t>
            </w:r>
          </w:p>
        </w:tc>
        <w:tc>
          <w:tcPr>
            <w:tcW w:w="828" w:type="dxa"/>
            <w:noWrap/>
            <w:vAlign w:val="center"/>
          </w:tcPr>
          <w:p w14:paraId="23B0141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100</w:t>
            </w:r>
          </w:p>
        </w:tc>
        <w:tc>
          <w:tcPr>
            <w:tcW w:w="873" w:type="dxa"/>
            <w:noWrap/>
            <w:vAlign w:val="center"/>
          </w:tcPr>
          <w:p w14:paraId="77A151FF">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99</w:t>
            </w:r>
          </w:p>
        </w:tc>
        <w:tc>
          <w:tcPr>
            <w:tcW w:w="1418" w:type="dxa"/>
            <w:noWrap/>
            <w:vAlign w:val="center"/>
          </w:tcPr>
          <w:p w14:paraId="5E5A2737">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bl>
    <w:p w14:paraId="5999046E">
      <w:pPr>
        <w:spacing w:line="600" w:lineRule="exact"/>
        <w:ind w:firstLine="420" w:firstLineChars="200"/>
        <w:jc w:val="both"/>
        <w:rPr>
          <w:lang w:eastAsia="zh-CN"/>
        </w:rPr>
      </w:pPr>
      <w:r>
        <w:rPr>
          <w:rFonts w:eastAsia="仿宋_GB2312"/>
          <w:lang w:eastAsia="zh-CN" w:bidi="ar-SA"/>
        </w:rPr>
        <w:t>填表人：</w:t>
      </w:r>
      <w:r>
        <w:rPr>
          <w:rFonts w:hint="eastAsia" w:eastAsia="仿宋_GB2312"/>
          <w:lang w:eastAsia="zh-CN" w:bidi="ar-SA"/>
        </w:rPr>
        <w:t>舒辉</w:t>
      </w:r>
      <w:r>
        <w:rPr>
          <w:rFonts w:eastAsia="仿宋_GB2312"/>
          <w:lang w:eastAsia="zh-CN" w:bidi="ar-SA"/>
        </w:rPr>
        <w:t xml:space="preserve">  填报日期：</w:t>
      </w:r>
      <w:r>
        <w:rPr>
          <w:rFonts w:hint="eastAsia" w:eastAsia="仿宋_GB2312"/>
          <w:lang w:eastAsia="zh-CN" w:bidi="ar-SA"/>
        </w:rPr>
        <w:t>2025年6月20日</w:t>
      </w:r>
      <w:r>
        <w:rPr>
          <w:rFonts w:eastAsia="仿宋_GB2312"/>
          <w:lang w:eastAsia="zh-CN" w:bidi="ar-SA"/>
        </w:rPr>
        <w:t xml:space="preserve">  联系电话：</w:t>
      </w:r>
      <w:r>
        <w:rPr>
          <w:rFonts w:hint="eastAsia" w:eastAsia="仿宋_GB2312"/>
          <w:lang w:eastAsia="zh-CN" w:bidi="ar-SA"/>
        </w:rPr>
        <w:t>15386271098</w:t>
      </w:r>
    </w:p>
    <w:p w14:paraId="3E84C35A">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0EF19260">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758EC848">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5CD74353">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25166778">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74AD4EE4">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220D5074">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71B039B6">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023BF177">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50B86010">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1FAA382A">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092125C1">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7FE005A0">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76F93E7E">
      <w:pPr>
        <w:pStyle w:val="8"/>
        <w:spacing w:line="240" w:lineRule="auto"/>
        <w:ind w:firstLine="0" w:firstLineChars="0"/>
        <w:jc w:val="both"/>
        <w:rPr>
          <w:rFonts w:ascii="楷体_GB2312" w:hAnsi="宋体" w:eastAsia="楷体_GB2312" w:cs="楷体_GB2312"/>
          <w:b/>
          <w:bCs/>
          <w:color w:val="000000" w:themeColor="text1"/>
          <w:szCs w:val="24"/>
          <w:lang w:eastAsia="zh-CN"/>
        </w:rPr>
      </w:pPr>
      <w:bookmarkStart w:id="0" w:name="_GoBack"/>
      <w:bookmarkEnd w:id="0"/>
    </w:p>
    <w:p w14:paraId="22FD7028">
      <w:pPr>
        <w:widowControl/>
        <w:tabs>
          <w:tab w:val="left" w:pos="3611"/>
          <w:tab w:val="left" w:pos="4791"/>
          <w:tab w:val="left" w:pos="5951"/>
          <w:tab w:val="left" w:pos="7071"/>
          <w:tab w:val="left" w:pos="8191"/>
          <w:tab w:val="left" w:pos="9311"/>
        </w:tabs>
        <w:snapToGrid w:val="0"/>
        <w:spacing w:line="440" w:lineRule="atLeast"/>
        <w:jc w:val="center"/>
        <w:rPr>
          <w:rFonts w:ascii="方正小标宋_GBK" w:hAnsi="方正小标宋_GBK" w:eastAsia="方正小标宋_GBK" w:cs="方正小标宋_GBK"/>
          <w:sz w:val="28"/>
          <w:szCs w:val="28"/>
          <w:shd w:val="clear" w:color="auto" w:fill="FFFFFF"/>
          <w:lang w:eastAsia="zh-CN"/>
        </w:rPr>
      </w:pPr>
      <w:r>
        <w:rPr>
          <w:rFonts w:hint="eastAsia" w:ascii="方正小标宋_GBK" w:hAnsi="方正小标宋_GBK" w:eastAsia="方正小标宋_GBK" w:cs="方正小标宋_GBK"/>
          <w:sz w:val="28"/>
          <w:szCs w:val="28"/>
          <w:shd w:val="clear" w:color="auto" w:fill="FFFFFF"/>
          <w:lang w:eastAsia="zh-CN"/>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077"/>
        <w:gridCol w:w="1080"/>
        <w:gridCol w:w="1149"/>
        <w:gridCol w:w="1209"/>
        <w:gridCol w:w="1134"/>
        <w:gridCol w:w="828"/>
        <w:gridCol w:w="873"/>
        <w:gridCol w:w="1418"/>
      </w:tblGrid>
      <w:tr w14:paraId="4C6E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1083" w:type="dxa"/>
            <w:noWrap/>
            <w:vAlign w:val="center"/>
          </w:tcPr>
          <w:p w14:paraId="66FDC3F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项目支</w:t>
            </w:r>
          </w:p>
          <w:p w14:paraId="1E2CBCE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出名称</w:t>
            </w:r>
          </w:p>
        </w:tc>
        <w:tc>
          <w:tcPr>
            <w:tcW w:w="8768" w:type="dxa"/>
            <w:gridSpan w:val="8"/>
            <w:noWrap/>
            <w:vAlign w:val="center"/>
          </w:tcPr>
          <w:p w14:paraId="5FCB6116">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铁路安全环境整治工作经费</w:t>
            </w:r>
          </w:p>
        </w:tc>
      </w:tr>
      <w:tr w14:paraId="2368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3" w:type="dxa"/>
            <w:noWrap/>
            <w:vAlign w:val="center"/>
          </w:tcPr>
          <w:p w14:paraId="0F55AA02">
            <w:pPr>
              <w:widowControl/>
              <w:spacing w:line="280" w:lineRule="exact"/>
              <w:rPr>
                <w:rFonts w:ascii="仿宋" w:hAnsi="仿宋" w:eastAsia="仿宋" w:cs="仿宋"/>
                <w:sz w:val="20"/>
                <w:szCs w:val="20"/>
              </w:rPr>
            </w:pPr>
            <w:r>
              <w:rPr>
                <w:rFonts w:hint="eastAsia" w:ascii="仿宋" w:hAnsi="仿宋" w:eastAsia="仿宋" w:cs="仿宋"/>
                <w:sz w:val="20"/>
                <w:szCs w:val="20"/>
              </w:rPr>
              <w:t>主管部门</w:t>
            </w:r>
          </w:p>
        </w:tc>
        <w:tc>
          <w:tcPr>
            <w:tcW w:w="4515" w:type="dxa"/>
            <w:gridSpan w:val="4"/>
            <w:noWrap/>
            <w:vAlign w:val="center"/>
          </w:tcPr>
          <w:p w14:paraId="10D199C7">
            <w:pPr>
              <w:widowControl/>
              <w:spacing w:line="280" w:lineRule="exact"/>
              <w:rPr>
                <w:rFonts w:ascii="仿宋" w:hAnsi="仿宋" w:eastAsia="仿宋" w:cs="仿宋"/>
                <w:sz w:val="20"/>
                <w:szCs w:val="20"/>
              </w:rPr>
            </w:pPr>
            <w:r>
              <w:rPr>
                <w:rFonts w:hint="eastAsia" w:ascii="仿宋" w:hAnsi="仿宋" w:eastAsia="仿宋" w:cs="仿宋"/>
                <w:sz w:val="20"/>
                <w:szCs w:val="20"/>
              </w:rPr>
              <w:t>怀化市交通运输局　</w:t>
            </w:r>
          </w:p>
        </w:tc>
        <w:tc>
          <w:tcPr>
            <w:tcW w:w="1134" w:type="dxa"/>
            <w:noWrap/>
            <w:vAlign w:val="center"/>
          </w:tcPr>
          <w:p w14:paraId="22F8C7A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实施单位</w:t>
            </w:r>
          </w:p>
        </w:tc>
        <w:tc>
          <w:tcPr>
            <w:tcW w:w="3119" w:type="dxa"/>
            <w:gridSpan w:val="3"/>
            <w:noWrap/>
            <w:vAlign w:val="center"/>
          </w:tcPr>
          <w:p w14:paraId="0E71BAFF">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　怀化市综合交通运输协调服务中心</w:t>
            </w:r>
          </w:p>
        </w:tc>
      </w:tr>
      <w:tr w14:paraId="30CC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Merge w:val="restart"/>
            <w:noWrap/>
            <w:vAlign w:val="center"/>
          </w:tcPr>
          <w:p w14:paraId="15BDC5CC">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rPr>
              <w:t>项目资金</w:t>
            </w:r>
          </w:p>
          <w:p w14:paraId="1ECDD10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（万元）</w:t>
            </w:r>
          </w:p>
        </w:tc>
        <w:tc>
          <w:tcPr>
            <w:tcW w:w="2157" w:type="dxa"/>
            <w:gridSpan w:val="2"/>
            <w:noWrap/>
            <w:vAlign w:val="center"/>
          </w:tcPr>
          <w:p w14:paraId="577EB3EB">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49" w:type="dxa"/>
            <w:noWrap/>
            <w:vAlign w:val="center"/>
          </w:tcPr>
          <w:p w14:paraId="69B7188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年初</w:t>
            </w:r>
          </w:p>
          <w:p w14:paraId="74479E3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209" w:type="dxa"/>
            <w:noWrap/>
            <w:vAlign w:val="center"/>
          </w:tcPr>
          <w:p w14:paraId="1EAEC12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7038FD6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预算数</w:t>
            </w:r>
          </w:p>
        </w:tc>
        <w:tc>
          <w:tcPr>
            <w:tcW w:w="1134" w:type="dxa"/>
            <w:noWrap/>
            <w:vAlign w:val="center"/>
          </w:tcPr>
          <w:p w14:paraId="33C9EC0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全年</w:t>
            </w:r>
          </w:p>
          <w:p w14:paraId="2E792CF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执行数</w:t>
            </w:r>
          </w:p>
        </w:tc>
        <w:tc>
          <w:tcPr>
            <w:tcW w:w="828" w:type="dxa"/>
            <w:noWrap/>
            <w:vAlign w:val="center"/>
          </w:tcPr>
          <w:p w14:paraId="37ED32C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5A7A1E6D">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执行率</w:t>
            </w:r>
          </w:p>
        </w:tc>
        <w:tc>
          <w:tcPr>
            <w:tcW w:w="1418" w:type="dxa"/>
            <w:noWrap/>
            <w:vAlign w:val="center"/>
          </w:tcPr>
          <w:p w14:paraId="05FF9BE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r>
      <w:tr w14:paraId="48E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Merge w:val="continue"/>
            <w:noWrap/>
            <w:vAlign w:val="center"/>
          </w:tcPr>
          <w:p w14:paraId="603D35A6">
            <w:pPr>
              <w:widowControl/>
              <w:spacing w:line="280" w:lineRule="exact"/>
              <w:rPr>
                <w:rFonts w:ascii="仿宋" w:hAnsi="仿宋" w:eastAsia="仿宋" w:cs="仿宋"/>
                <w:sz w:val="20"/>
                <w:szCs w:val="20"/>
              </w:rPr>
            </w:pPr>
          </w:p>
        </w:tc>
        <w:tc>
          <w:tcPr>
            <w:tcW w:w="2157" w:type="dxa"/>
            <w:gridSpan w:val="2"/>
            <w:noWrap/>
            <w:vAlign w:val="center"/>
          </w:tcPr>
          <w:p w14:paraId="5DB53685">
            <w:pPr>
              <w:widowControl/>
              <w:spacing w:line="280" w:lineRule="exact"/>
              <w:rPr>
                <w:rFonts w:ascii="仿宋" w:hAnsi="仿宋" w:eastAsia="仿宋" w:cs="仿宋"/>
                <w:sz w:val="20"/>
                <w:szCs w:val="20"/>
              </w:rPr>
            </w:pPr>
            <w:r>
              <w:rPr>
                <w:rFonts w:hint="eastAsia" w:ascii="仿宋" w:hAnsi="仿宋" w:eastAsia="仿宋" w:cs="仿宋"/>
                <w:sz w:val="20"/>
                <w:szCs w:val="20"/>
              </w:rPr>
              <w:t>年度资金总额　</w:t>
            </w:r>
          </w:p>
        </w:tc>
        <w:tc>
          <w:tcPr>
            <w:tcW w:w="1149" w:type="dxa"/>
            <w:noWrap/>
            <w:vAlign w:val="center"/>
          </w:tcPr>
          <w:p w14:paraId="39D1624B">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1209" w:type="dxa"/>
            <w:noWrap/>
            <w:vAlign w:val="center"/>
          </w:tcPr>
          <w:p w14:paraId="60C04E65">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1134" w:type="dxa"/>
            <w:noWrap/>
            <w:vAlign w:val="center"/>
          </w:tcPr>
          <w:p w14:paraId="4D8606F6">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828" w:type="dxa"/>
            <w:noWrap/>
            <w:vAlign w:val="center"/>
          </w:tcPr>
          <w:p w14:paraId="00786D97">
            <w:pPr>
              <w:widowControl/>
              <w:spacing w:line="280" w:lineRule="exact"/>
              <w:rPr>
                <w:rFonts w:ascii="仿宋" w:hAnsi="仿宋" w:eastAsia="仿宋" w:cs="仿宋"/>
                <w:sz w:val="20"/>
                <w:szCs w:val="20"/>
              </w:rPr>
            </w:pPr>
            <w:r>
              <w:rPr>
                <w:rFonts w:hint="eastAsia" w:ascii="仿宋" w:hAnsi="仿宋" w:eastAsia="仿宋" w:cs="仿宋"/>
                <w:sz w:val="20"/>
                <w:szCs w:val="20"/>
              </w:rPr>
              <w:t>　10</w:t>
            </w:r>
          </w:p>
        </w:tc>
        <w:tc>
          <w:tcPr>
            <w:tcW w:w="873" w:type="dxa"/>
            <w:noWrap/>
            <w:vAlign w:val="center"/>
          </w:tcPr>
          <w:p w14:paraId="2BAA0398">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w:t>
            </w:r>
          </w:p>
        </w:tc>
        <w:tc>
          <w:tcPr>
            <w:tcW w:w="1418" w:type="dxa"/>
            <w:noWrap/>
            <w:vAlign w:val="center"/>
          </w:tcPr>
          <w:p w14:paraId="31D3B685">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10.00</w:t>
            </w:r>
          </w:p>
        </w:tc>
      </w:tr>
      <w:tr w14:paraId="24BB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Merge w:val="continue"/>
            <w:noWrap/>
            <w:vAlign w:val="center"/>
          </w:tcPr>
          <w:p w14:paraId="706A8343">
            <w:pPr>
              <w:widowControl/>
              <w:spacing w:line="280" w:lineRule="exact"/>
              <w:rPr>
                <w:rFonts w:ascii="仿宋" w:hAnsi="仿宋" w:eastAsia="仿宋" w:cs="仿宋"/>
                <w:sz w:val="20"/>
                <w:szCs w:val="20"/>
              </w:rPr>
            </w:pPr>
          </w:p>
        </w:tc>
        <w:tc>
          <w:tcPr>
            <w:tcW w:w="2157" w:type="dxa"/>
            <w:gridSpan w:val="2"/>
            <w:noWrap/>
            <w:vAlign w:val="center"/>
          </w:tcPr>
          <w:p w14:paraId="2C7155B9">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其中：当年财政拨款　</w:t>
            </w:r>
          </w:p>
        </w:tc>
        <w:tc>
          <w:tcPr>
            <w:tcW w:w="1149" w:type="dxa"/>
            <w:noWrap/>
            <w:vAlign w:val="center"/>
          </w:tcPr>
          <w:p w14:paraId="5A9D83A4">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1209" w:type="dxa"/>
            <w:noWrap/>
            <w:vAlign w:val="center"/>
          </w:tcPr>
          <w:p w14:paraId="4C9F368A">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1134" w:type="dxa"/>
            <w:noWrap/>
            <w:vAlign w:val="center"/>
          </w:tcPr>
          <w:p w14:paraId="76AD3C68">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27.00</w:t>
            </w:r>
          </w:p>
        </w:tc>
        <w:tc>
          <w:tcPr>
            <w:tcW w:w="828" w:type="dxa"/>
            <w:noWrap/>
            <w:vAlign w:val="center"/>
          </w:tcPr>
          <w:p w14:paraId="07290B01">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7937FD0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1F5E2E61">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60B6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3" w:type="dxa"/>
            <w:vMerge w:val="continue"/>
            <w:noWrap/>
            <w:vAlign w:val="center"/>
          </w:tcPr>
          <w:p w14:paraId="14814977">
            <w:pPr>
              <w:widowControl/>
              <w:spacing w:line="280" w:lineRule="exact"/>
              <w:rPr>
                <w:rFonts w:ascii="仿宋" w:hAnsi="仿宋" w:eastAsia="仿宋" w:cs="仿宋"/>
                <w:sz w:val="20"/>
                <w:szCs w:val="20"/>
              </w:rPr>
            </w:pPr>
          </w:p>
        </w:tc>
        <w:tc>
          <w:tcPr>
            <w:tcW w:w="2157" w:type="dxa"/>
            <w:gridSpan w:val="2"/>
            <w:noWrap/>
            <w:vAlign w:val="center"/>
          </w:tcPr>
          <w:p w14:paraId="052D84CE">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上年结转资金　</w:t>
            </w:r>
          </w:p>
        </w:tc>
        <w:tc>
          <w:tcPr>
            <w:tcW w:w="1149" w:type="dxa"/>
            <w:noWrap/>
            <w:vAlign w:val="center"/>
          </w:tcPr>
          <w:p w14:paraId="5ACBA975">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759B5707">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4FEE4667">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6F318142">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654ACE66">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5A6ECBF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71E2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3" w:type="dxa"/>
            <w:vMerge w:val="continue"/>
            <w:noWrap/>
            <w:vAlign w:val="center"/>
          </w:tcPr>
          <w:p w14:paraId="76685A2C">
            <w:pPr>
              <w:widowControl/>
              <w:spacing w:line="280" w:lineRule="exact"/>
              <w:rPr>
                <w:rFonts w:ascii="仿宋" w:hAnsi="仿宋" w:eastAsia="仿宋" w:cs="仿宋"/>
                <w:sz w:val="20"/>
                <w:szCs w:val="20"/>
              </w:rPr>
            </w:pPr>
          </w:p>
        </w:tc>
        <w:tc>
          <w:tcPr>
            <w:tcW w:w="2157" w:type="dxa"/>
            <w:gridSpan w:val="2"/>
            <w:noWrap/>
            <w:vAlign w:val="center"/>
          </w:tcPr>
          <w:p w14:paraId="360A6908">
            <w:pPr>
              <w:widowControl/>
              <w:spacing w:line="280" w:lineRule="exact"/>
              <w:ind w:firstLine="600" w:firstLineChars="300"/>
              <w:rPr>
                <w:rFonts w:ascii="仿宋" w:hAnsi="仿宋" w:eastAsia="仿宋" w:cs="仿宋"/>
                <w:sz w:val="20"/>
                <w:szCs w:val="20"/>
              </w:rPr>
            </w:pPr>
            <w:r>
              <w:rPr>
                <w:rFonts w:hint="eastAsia" w:ascii="仿宋" w:hAnsi="仿宋" w:eastAsia="仿宋" w:cs="仿宋"/>
                <w:sz w:val="20"/>
                <w:szCs w:val="20"/>
              </w:rPr>
              <w:t>其他资金</w:t>
            </w:r>
          </w:p>
        </w:tc>
        <w:tc>
          <w:tcPr>
            <w:tcW w:w="1149" w:type="dxa"/>
            <w:noWrap/>
            <w:vAlign w:val="center"/>
          </w:tcPr>
          <w:p w14:paraId="522039E2">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209" w:type="dxa"/>
            <w:noWrap/>
            <w:vAlign w:val="center"/>
          </w:tcPr>
          <w:p w14:paraId="7250D8D4">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134" w:type="dxa"/>
            <w:noWrap/>
            <w:vAlign w:val="center"/>
          </w:tcPr>
          <w:p w14:paraId="06E53BE8">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28" w:type="dxa"/>
            <w:noWrap/>
            <w:vAlign w:val="center"/>
          </w:tcPr>
          <w:p w14:paraId="2227F18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873" w:type="dxa"/>
            <w:noWrap/>
            <w:vAlign w:val="center"/>
          </w:tcPr>
          <w:p w14:paraId="1F46FFE1">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c>
          <w:tcPr>
            <w:tcW w:w="1418" w:type="dxa"/>
            <w:noWrap/>
            <w:vAlign w:val="center"/>
          </w:tcPr>
          <w:p w14:paraId="1DE3CF3C">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07E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83" w:type="dxa"/>
            <w:vMerge w:val="restart"/>
            <w:noWrap/>
            <w:vAlign w:val="center"/>
          </w:tcPr>
          <w:p w14:paraId="5AEE744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年度总体目标</w:t>
            </w:r>
          </w:p>
        </w:tc>
        <w:tc>
          <w:tcPr>
            <w:tcW w:w="4515" w:type="dxa"/>
            <w:gridSpan w:val="4"/>
            <w:noWrap/>
            <w:vAlign w:val="center"/>
          </w:tcPr>
          <w:p w14:paraId="2E50EFE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预期目标</w:t>
            </w:r>
          </w:p>
        </w:tc>
        <w:tc>
          <w:tcPr>
            <w:tcW w:w="4253" w:type="dxa"/>
            <w:gridSpan w:val="4"/>
            <w:noWrap/>
            <w:vAlign w:val="center"/>
          </w:tcPr>
          <w:p w14:paraId="1F129DB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实际完成情况　</w:t>
            </w:r>
          </w:p>
        </w:tc>
      </w:tr>
      <w:tr w14:paraId="66E8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83" w:type="dxa"/>
            <w:vMerge w:val="continue"/>
            <w:noWrap/>
            <w:vAlign w:val="center"/>
          </w:tcPr>
          <w:p w14:paraId="011F41CE">
            <w:pPr>
              <w:widowControl/>
              <w:spacing w:line="280" w:lineRule="exact"/>
              <w:rPr>
                <w:rFonts w:ascii="仿宋" w:hAnsi="仿宋" w:eastAsia="仿宋" w:cs="仿宋"/>
                <w:sz w:val="20"/>
                <w:szCs w:val="20"/>
              </w:rPr>
            </w:pPr>
          </w:p>
        </w:tc>
        <w:tc>
          <w:tcPr>
            <w:tcW w:w="4515" w:type="dxa"/>
            <w:gridSpan w:val="4"/>
            <w:noWrap/>
            <w:vAlign w:val="center"/>
          </w:tcPr>
          <w:p w14:paraId="6FF30965">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27.00</w:t>
            </w:r>
          </w:p>
        </w:tc>
        <w:tc>
          <w:tcPr>
            <w:tcW w:w="4253" w:type="dxa"/>
            <w:gridSpan w:val="4"/>
            <w:noWrap/>
            <w:vAlign w:val="center"/>
          </w:tcPr>
          <w:p w14:paraId="54BCB3D4">
            <w:pPr>
              <w:widowControl/>
              <w:spacing w:line="280" w:lineRule="exact"/>
              <w:jc w:val="center"/>
              <w:rPr>
                <w:rFonts w:ascii="仿宋" w:hAnsi="仿宋" w:eastAsia="仿宋" w:cs="仿宋"/>
                <w:sz w:val="20"/>
                <w:szCs w:val="20"/>
              </w:rPr>
            </w:pPr>
            <w:r>
              <w:rPr>
                <w:rFonts w:hint="eastAsia" w:ascii="仿宋" w:hAnsi="仿宋" w:eastAsia="仿宋" w:cs="仿宋"/>
                <w:sz w:val="20"/>
                <w:szCs w:val="20"/>
                <w:lang w:eastAsia="zh-CN"/>
              </w:rPr>
              <w:t>27.00</w:t>
            </w:r>
          </w:p>
        </w:tc>
      </w:tr>
      <w:tr w14:paraId="1DC1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3" w:type="dxa"/>
            <w:vMerge w:val="restart"/>
            <w:noWrap/>
            <w:vAlign w:val="center"/>
          </w:tcPr>
          <w:p w14:paraId="63946AFE">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绩</w:t>
            </w:r>
          </w:p>
          <w:p w14:paraId="275DF22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效</w:t>
            </w:r>
          </w:p>
          <w:p w14:paraId="412BFA4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w:t>
            </w:r>
          </w:p>
          <w:p w14:paraId="4E35515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标</w:t>
            </w:r>
          </w:p>
        </w:tc>
        <w:tc>
          <w:tcPr>
            <w:tcW w:w="1077" w:type="dxa"/>
            <w:noWrap/>
            <w:vAlign w:val="center"/>
          </w:tcPr>
          <w:p w14:paraId="656E16D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一级指标</w:t>
            </w:r>
          </w:p>
        </w:tc>
        <w:tc>
          <w:tcPr>
            <w:tcW w:w="1080" w:type="dxa"/>
            <w:noWrap/>
            <w:vAlign w:val="center"/>
          </w:tcPr>
          <w:p w14:paraId="431EDAC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二级指标</w:t>
            </w:r>
          </w:p>
        </w:tc>
        <w:tc>
          <w:tcPr>
            <w:tcW w:w="1149" w:type="dxa"/>
            <w:noWrap/>
            <w:vAlign w:val="center"/>
          </w:tcPr>
          <w:p w14:paraId="6F4D0F0F">
            <w:pPr>
              <w:widowControl/>
              <w:jc w:val="center"/>
              <w:rPr>
                <w:rFonts w:ascii="仿宋" w:hAnsi="仿宋" w:eastAsia="仿宋" w:cs="仿宋"/>
                <w:sz w:val="15"/>
                <w:szCs w:val="15"/>
                <w:lang w:eastAsia="zh-CN"/>
              </w:rPr>
            </w:pPr>
            <w:r>
              <w:rPr>
                <w:rFonts w:hint="eastAsia" w:ascii="仿宋_GB2312" w:hAnsi="宋体" w:eastAsia="仿宋_GB2312" w:cs="宋体"/>
                <w:sz w:val="15"/>
                <w:szCs w:val="15"/>
              </w:rPr>
              <w:t>三级指标</w:t>
            </w:r>
          </w:p>
        </w:tc>
        <w:tc>
          <w:tcPr>
            <w:tcW w:w="1209" w:type="dxa"/>
            <w:noWrap/>
            <w:vAlign w:val="center"/>
          </w:tcPr>
          <w:p w14:paraId="2E0554FE">
            <w:pPr>
              <w:widowControl/>
              <w:jc w:val="center"/>
              <w:rPr>
                <w:rFonts w:ascii="仿宋" w:hAnsi="仿宋" w:eastAsia="仿宋" w:cs="仿宋"/>
                <w:sz w:val="18"/>
                <w:szCs w:val="18"/>
              </w:rPr>
            </w:pPr>
            <w:r>
              <w:rPr>
                <w:rFonts w:hint="eastAsia" w:ascii="仿宋_GB2312" w:hAnsi="宋体" w:eastAsia="仿宋_GB2312" w:cs="宋体"/>
                <w:sz w:val="18"/>
                <w:szCs w:val="18"/>
              </w:rPr>
              <w:t>年度指标值</w:t>
            </w:r>
          </w:p>
        </w:tc>
        <w:tc>
          <w:tcPr>
            <w:tcW w:w="1134" w:type="dxa"/>
            <w:noWrap/>
            <w:vAlign w:val="center"/>
          </w:tcPr>
          <w:p w14:paraId="7F36E8E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实际</w:t>
            </w:r>
          </w:p>
          <w:p w14:paraId="6147B5F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完成值</w:t>
            </w:r>
          </w:p>
        </w:tc>
        <w:tc>
          <w:tcPr>
            <w:tcW w:w="828" w:type="dxa"/>
            <w:noWrap/>
            <w:vAlign w:val="center"/>
          </w:tcPr>
          <w:p w14:paraId="5F54462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分值</w:t>
            </w:r>
          </w:p>
        </w:tc>
        <w:tc>
          <w:tcPr>
            <w:tcW w:w="873" w:type="dxa"/>
            <w:noWrap/>
            <w:vAlign w:val="center"/>
          </w:tcPr>
          <w:p w14:paraId="3F403C4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得分</w:t>
            </w:r>
          </w:p>
        </w:tc>
        <w:tc>
          <w:tcPr>
            <w:tcW w:w="1418" w:type="dxa"/>
            <w:noWrap/>
            <w:vAlign w:val="center"/>
          </w:tcPr>
          <w:p w14:paraId="7E541F34">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偏差原因</w:t>
            </w:r>
          </w:p>
          <w:p w14:paraId="44452EAB">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分析及</w:t>
            </w:r>
          </w:p>
          <w:p w14:paraId="37E0A9F3">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改进措施</w:t>
            </w:r>
          </w:p>
        </w:tc>
      </w:tr>
      <w:tr w14:paraId="6516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83" w:type="dxa"/>
            <w:vMerge w:val="continue"/>
            <w:noWrap/>
            <w:vAlign w:val="center"/>
          </w:tcPr>
          <w:p w14:paraId="075E1728">
            <w:pPr>
              <w:widowControl/>
              <w:spacing w:line="280" w:lineRule="exact"/>
              <w:rPr>
                <w:rFonts w:ascii="仿宋" w:hAnsi="仿宋" w:eastAsia="仿宋" w:cs="仿宋"/>
                <w:sz w:val="20"/>
                <w:szCs w:val="20"/>
                <w:lang w:eastAsia="zh-CN"/>
              </w:rPr>
            </w:pPr>
          </w:p>
        </w:tc>
        <w:tc>
          <w:tcPr>
            <w:tcW w:w="1077" w:type="dxa"/>
            <w:vMerge w:val="restart"/>
            <w:noWrap/>
            <w:vAlign w:val="center"/>
          </w:tcPr>
          <w:p w14:paraId="50063AA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产出指标</w:t>
            </w:r>
          </w:p>
          <w:p w14:paraId="41D62836">
            <w:pPr>
              <w:widowControl/>
              <w:spacing w:line="280" w:lineRule="exact"/>
              <w:jc w:val="center"/>
              <w:rPr>
                <w:rFonts w:ascii="仿宋" w:hAnsi="仿宋" w:eastAsia="仿宋" w:cs="仿宋"/>
                <w:sz w:val="20"/>
                <w:szCs w:val="20"/>
                <w:lang w:eastAsia="zh-CN"/>
              </w:rPr>
            </w:pPr>
            <w:r>
              <w:rPr>
                <w:rFonts w:hint="eastAsia" w:ascii="仿宋" w:hAnsi="仿宋" w:eastAsia="仿宋" w:cs="仿宋"/>
                <w:sz w:val="20"/>
                <w:szCs w:val="20"/>
                <w:lang w:eastAsia="zh-CN"/>
              </w:rPr>
              <w:t>（</w:t>
            </w:r>
            <w:r>
              <w:rPr>
                <w:rFonts w:hint="eastAsia" w:ascii="仿宋" w:hAnsi="仿宋" w:eastAsia="仿宋" w:cs="仿宋"/>
                <w:sz w:val="20"/>
                <w:szCs w:val="20"/>
              </w:rPr>
              <w:t>50分</w:t>
            </w:r>
            <w:r>
              <w:rPr>
                <w:rFonts w:hint="eastAsia" w:ascii="仿宋" w:hAnsi="仿宋" w:eastAsia="仿宋" w:cs="仿宋"/>
                <w:sz w:val="20"/>
                <w:szCs w:val="20"/>
                <w:lang w:eastAsia="zh-CN"/>
              </w:rPr>
              <w:t>）</w:t>
            </w:r>
          </w:p>
        </w:tc>
        <w:tc>
          <w:tcPr>
            <w:tcW w:w="1080" w:type="dxa"/>
            <w:noWrap/>
            <w:vAlign w:val="center"/>
          </w:tcPr>
          <w:p w14:paraId="2CF718B1">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数量指标</w:t>
            </w:r>
          </w:p>
        </w:tc>
        <w:tc>
          <w:tcPr>
            <w:tcW w:w="1149" w:type="dxa"/>
            <w:noWrap/>
            <w:vAlign w:val="bottom"/>
          </w:tcPr>
          <w:p w14:paraId="1A269F67">
            <w:pPr>
              <w:widowControl/>
              <w:rPr>
                <w:sz w:val="15"/>
                <w:szCs w:val="15"/>
                <w:lang w:eastAsia="zh-CN"/>
              </w:rPr>
            </w:pPr>
            <w:r>
              <w:rPr>
                <w:rFonts w:hint="eastAsia" w:ascii="仿宋" w:hAnsi="仿宋" w:eastAsia="仿宋" w:cs="仿宋"/>
                <w:sz w:val="15"/>
                <w:szCs w:val="15"/>
                <w:lang w:eastAsia="zh-CN"/>
              </w:rPr>
              <w:t>　铁路安全隐患整治年内完成省、市交办的各项工作任务</w:t>
            </w:r>
          </w:p>
        </w:tc>
        <w:tc>
          <w:tcPr>
            <w:tcW w:w="1209" w:type="dxa"/>
            <w:noWrap/>
            <w:vAlign w:val="bottom"/>
          </w:tcPr>
          <w:p w14:paraId="0E94F603">
            <w:pPr>
              <w:widowControl/>
              <w:rPr>
                <w:sz w:val="18"/>
                <w:szCs w:val="18"/>
              </w:rPr>
            </w:pPr>
            <w:r>
              <w:rPr>
                <w:rFonts w:hint="eastAsia" w:ascii="仿宋" w:hAnsi="仿宋" w:eastAsia="仿宋" w:cs="仿宋"/>
                <w:sz w:val="18"/>
                <w:szCs w:val="18"/>
                <w:lang w:eastAsia="zh-CN"/>
              </w:rPr>
              <w:t>273</w:t>
            </w:r>
          </w:p>
        </w:tc>
        <w:tc>
          <w:tcPr>
            <w:tcW w:w="1134" w:type="dxa"/>
            <w:noWrap/>
            <w:vAlign w:val="bottom"/>
          </w:tcPr>
          <w:p w14:paraId="3F35AD1B">
            <w:pPr>
              <w:widowControl/>
              <w:rPr>
                <w:rFonts w:ascii="仿宋" w:hAnsi="仿宋" w:eastAsia="仿宋" w:cs="仿宋"/>
                <w:sz w:val="18"/>
                <w:szCs w:val="18"/>
              </w:rPr>
            </w:pPr>
            <w:r>
              <w:rPr>
                <w:rFonts w:hint="eastAsia" w:ascii="仿宋" w:hAnsi="仿宋" w:eastAsia="仿宋" w:cs="仿宋"/>
                <w:sz w:val="18"/>
                <w:szCs w:val="18"/>
                <w:lang w:eastAsia="zh-CN"/>
              </w:rPr>
              <w:t>273</w:t>
            </w:r>
            <w:r>
              <w:rPr>
                <w:rFonts w:hint="eastAsia" w:ascii="仿宋" w:hAnsi="仿宋" w:eastAsia="仿宋" w:cs="仿宋"/>
                <w:sz w:val="18"/>
                <w:szCs w:val="18"/>
              </w:rPr>
              <w:t>处</w:t>
            </w:r>
          </w:p>
        </w:tc>
        <w:tc>
          <w:tcPr>
            <w:tcW w:w="828" w:type="dxa"/>
            <w:noWrap/>
            <w:vAlign w:val="center"/>
          </w:tcPr>
          <w:p w14:paraId="5A0AC42A">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75313A64">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3ED9B7C6">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6CD4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83" w:type="dxa"/>
            <w:vMerge w:val="continue"/>
            <w:noWrap/>
            <w:vAlign w:val="center"/>
          </w:tcPr>
          <w:p w14:paraId="6259B220">
            <w:pPr>
              <w:widowControl/>
              <w:spacing w:line="280" w:lineRule="exact"/>
              <w:rPr>
                <w:rFonts w:ascii="仿宋" w:hAnsi="仿宋" w:eastAsia="仿宋" w:cs="仿宋"/>
                <w:sz w:val="20"/>
                <w:szCs w:val="20"/>
              </w:rPr>
            </w:pPr>
          </w:p>
        </w:tc>
        <w:tc>
          <w:tcPr>
            <w:tcW w:w="1077" w:type="dxa"/>
            <w:vMerge w:val="continue"/>
            <w:noWrap/>
            <w:vAlign w:val="center"/>
          </w:tcPr>
          <w:p w14:paraId="73FF6C4B">
            <w:pPr>
              <w:widowControl/>
              <w:spacing w:line="280" w:lineRule="exact"/>
              <w:rPr>
                <w:rFonts w:ascii="仿宋" w:hAnsi="仿宋" w:eastAsia="仿宋" w:cs="仿宋"/>
                <w:sz w:val="20"/>
                <w:szCs w:val="20"/>
              </w:rPr>
            </w:pPr>
          </w:p>
        </w:tc>
        <w:tc>
          <w:tcPr>
            <w:tcW w:w="1080" w:type="dxa"/>
            <w:noWrap/>
            <w:vAlign w:val="center"/>
          </w:tcPr>
          <w:p w14:paraId="02E37FD2">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质量指标</w:t>
            </w:r>
          </w:p>
        </w:tc>
        <w:tc>
          <w:tcPr>
            <w:tcW w:w="1149" w:type="dxa"/>
            <w:noWrap/>
            <w:vAlign w:val="bottom"/>
          </w:tcPr>
          <w:p w14:paraId="62C4A3B3">
            <w:pPr>
              <w:widowControl/>
              <w:rPr>
                <w:rFonts w:ascii="仿宋" w:hAnsi="仿宋" w:eastAsia="仿宋" w:cs="仿宋"/>
                <w:sz w:val="15"/>
                <w:szCs w:val="15"/>
                <w:lang w:eastAsia="zh-CN"/>
              </w:rPr>
            </w:pPr>
            <w:r>
              <w:rPr>
                <w:rFonts w:hint="eastAsia" w:ascii="仿宋" w:hAnsi="仿宋" w:eastAsia="仿宋" w:cs="仿宋"/>
                <w:sz w:val="15"/>
                <w:szCs w:val="15"/>
              </w:rPr>
              <w:t>铁路</w:t>
            </w:r>
            <w:r>
              <w:rPr>
                <w:rFonts w:hint="eastAsia" w:ascii="仿宋" w:hAnsi="仿宋" w:eastAsia="仿宋" w:cs="仿宋"/>
                <w:sz w:val="15"/>
                <w:szCs w:val="15"/>
                <w:lang w:eastAsia="zh-CN"/>
              </w:rPr>
              <w:t>路外伤亡事故</w:t>
            </w:r>
          </w:p>
        </w:tc>
        <w:tc>
          <w:tcPr>
            <w:tcW w:w="1209" w:type="dxa"/>
            <w:noWrap/>
            <w:vAlign w:val="bottom"/>
          </w:tcPr>
          <w:p w14:paraId="0F2E40B3">
            <w:pPr>
              <w:widowControl/>
              <w:rPr>
                <w:rFonts w:ascii="仿宋" w:hAnsi="仿宋" w:eastAsia="仿宋" w:cs="仿宋"/>
                <w:sz w:val="18"/>
                <w:szCs w:val="18"/>
                <w:lang w:eastAsia="zh-CN"/>
              </w:rPr>
            </w:pPr>
            <w:r>
              <w:rPr>
                <w:rFonts w:hint="eastAsia" w:ascii="仿宋" w:hAnsi="仿宋" w:eastAsia="仿宋" w:cs="仿宋"/>
                <w:sz w:val="18"/>
                <w:szCs w:val="18"/>
                <w:lang w:eastAsia="zh-CN"/>
              </w:rPr>
              <w:t>0</w:t>
            </w:r>
          </w:p>
        </w:tc>
        <w:tc>
          <w:tcPr>
            <w:tcW w:w="1134" w:type="dxa"/>
            <w:noWrap/>
            <w:vAlign w:val="bottom"/>
          </w:tcPr>
          <w:p w14:paraId="16583908">
            <w:pPr>
              <w:widowControl/>
              <w:rPr>
                <w:rFonts w:ascii="仿宋" w:hAnsi="仿宋" w:eastAsia="仿宋" w:cs="仿宋"/>
                <w:sz w:val="18"/>
                <w:szCs w:val="18"/>
                <w:lang w:eastAsia="zh-CN"/>
              </w:rPr>
            </w:pPr>
            <w:r>
              <w:rPr>
                <w:rFonts w:hint="eastAsia" w:ascii="仿宋" w:hAnsi="仿宋" w:eastAsia="仿宋" w:cs="仿宋"/>
                <w:sz w:val="18"/>
                <w:szCs w:val="18"/>
                <w:lang w:eastAsia="zh-CN"/>
              </w:rPr>
              <w:t>0</w:t>
            </w:r>
          </w:p>
        </w:tc>
        <w:tc>
          <w:tcPr>
            <w:tcW w:w="828" w:type="dxa"/>
            <w:noWrap/>
            <w:vAlign w:val="center"/>
          </w:tcPr>
          <w:p w14:paraId="109E15C7">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6D625B30">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519D7F28">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3333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3" w:type="dxa"/>
            <w:vMerge w:val="continue"/>
            <w:noWrap/>
            <w:vAlign w:val="center"/>
          </w:tcPr>
          <w:p w14:paraId="0307E2E5">
            <w:pPr>
              <w:widowControl/>
              <w:spacing w:line="280" w:lineRule="exact"/>
              <w:rPr>
                <w:rFonts w:ascii="仿宋" w:hAnsi="仿宋" w:eastAsia="仿宋" w:cs="仿宋"/>
                <w:sz w:val="20"/>
                <w:szCs w:val="20"/>
              </w:rPr>
            </w:pPr>
          </w:p>
        </w:tc>
        <w:tc>
          <w:tcPr>
            <w:tcW w:w="1077" w:type="dxa"/>
            <w:vMerge w:val="continue"/>
            <w:noWrap/>
            <w:vAlign w:val="center"/>
          </w:tcPr>
          <w:p w14:paraId="362660E8">
            <w:pPr>
              <w:widowControl/>
              <w:spacing w:line="280" w:lineRule="exact"/>
              <w:rPr>
                <w:rFonts w:ascii="仿宋" w:hAnsi="仿宋" w:eastAsia="仿宋" w:cs="仿宋"/>
                <w:sz w:val="20"/>
                <w:szCs w:val="20"/>
              </w:rPr>
            </w:pPr>
          </w:p>
        </w:tc>
        <w:tc>
          <w:tcPr>
            <w:tcW w:w="1080" w:type="dxa"/>
            <w:noWrap/>
            <w:vAlign w:val="center"/>
          </w:tcPr>
          <w:p w14:paraId="4EB812EC">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时效指标</w:t>
            </w:r>
          </w:p>
        </w:tc>
        <w:tc>
          <w:tcPr>
            <w:tcW w:w="1149" w:type="dxa"/>
            <w:noWrap/>
            <w:vAlign w:val="center"/>
          </w:tcPr>
          <w:p w14:paraId="1DC38DA8">
            <w:pPr>
              <w:widowControl/>
              <w:textAlignment w:val="center"/>
              <w:rPr>
                <w:rFonts w:ascii="仿宋" w:hAnsi="仿宋" w:eastAsia="仿宋" w:cs="仿宋"/>
                <w:sz w:val="15"/>
                <w:szCs w:val="15"/>
              </w:rPr>
            </w:pPr>
            <w:r>
              <w:rPr>
                <w:rFonts w:hint="eastAsia" w:ascii="仿宋" w:hAnsi="仿宋" w:eastAsia="仿宋" w:cs="仿宋"/>
                <w:sz w:val="15"/>
                <w:szCs w:val="15"/>
              </w:rPr>
              <w:t>完成及时率</w:t>
            </w:r>
          </w:p>
        </w:tc>
        <w:tc>
          <w:tcPr>
            <w:tcW w:w="1209" w:type="dxa"/>
            <w:noWrap/>
            <w:vAlign w:val="bottom"/>
          </w:tcPr>
          <w:p w14:paraId="46848614">
            <w:pPr>
              <w:widowControl/>
              <w:rPr>
                <w:rFonts w:ascii="仿宋" w:hAnsi="仿宋" w:eastAsia="仿宋" w:cs="仿宋"/>
                <w:sz w:val="18"/>
                <w:szCs w:val="18"/>
              </w:rPr>
            </w:pPr>
            <w:r>
              <w:rPr>
                <w:rFonts w:hint="eastAsia" w:ascii="仿宋" w:hAnsi="仿宋" w:eastAsia="仿宋" w:cs="仿宋"/>
                <w:sz w:val="18"/>
                <w:szCs w:val="18"/>
              </w:rPr>
              <w:t>100%</w:t>
            </w:r>
          </w:p>
        </w:tc>
        <w:tc>
          <w:tcPr>
            <w:tcW w:w="1134" w:type="dxa"/>
            <w:noWrap/>
            <w:vAlign w:val="bottom"/>
          </w:tcPr>
          <w:p w14:paraId="1722EB85">
            <w:pPr>
              <w:widowControl/>
              <w:rPr>
                <w:rFonts w:ascii="仿宋" w:hAnsi="仿宋" w:eastAsia="仿宋" w:cs="仿宋"/>
                <w:sz w:val="18"/>
                <w:szCs w:val="18"/>
              </w:rPr>
            </w:pPr>
            <w:r>
              <w:rPr>
                <w:rFonts w:hint="eastAsia" w:ascii="仿宋" w:hAnsi="仿宋" w:eastAsia="仿宋" w:cs="仿宋"/>
                <w:sz w:val="18"/>
                <w:szCs w:val="18"/>
              </w:rPr>
              <w:t>100%</w:t>
            </w:r>
          </w:p>
        </w:tc>
        <w:tc>
          <w:tcPr>
            <w:tcW w:w="828" w:type="dxa"/>
            <w:noWrap/>
            <w:vAlign w:val="center"/>
          </w:tcPr>
          <w:p w14:paraId="035AF06E">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4E5EA5D1">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1103F110">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28A7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Merge w:val="continue"/>
            <w:noWrap/>
            <w:vAlign w:val="center"/>
          </w:tcPr>
          <w:p w14:paraId="41B07CDD">
            <w:pPr>
              <w:widowControl/>
              <w:spacing w:line="280" w:lineRule="exact"/>
              <w:rPr>
                <w:rFonts w:ascii="仿宋" w:hAnsi="仿宋" w:eastAsia="仿宋" w:cs="仿宋"/>
                <w:sz w:val="20"/>
                <w:szCs w:val="20"/>
              </w:rPr>
            </w:pPr>
          </w:p>
        </w:tc>
        <w:tc>
          <w:tcPr>
            <w:tcW w:w="1077" w:type="dxa"/>
            <w:vMerge w:val="continue"/>
            <w:noWrap/>
            <w:vAlign w:val="center"/>
          </w:tcPr>
          <w:p w14:paraId="4370CC6F">
            <w:pPr>
              <w:widowControl/>
              <w:spacing w:line="280" w:lineRule="exact"/>
              <w:rPr>
                <w:rFonts w:ascii="仿宋" w:hAnsi="仿宋" w:eastAsia="仿宋" w:cs="仿宋"/>
                <w:sz w:val="20"/>
                <w:szCs w:val="20"/>
              </w:rPr>
            </w:pPr>
          </w:p>
        </w:tc>
        <w:tc>
          <w:tcPr>
            <w:tcW w:w="1080" w:type="dxa"/>
            <w:noWrap/>
            <w:vAlign w:val="center"/>
          </w:tcPr>
          <w:p w14:paraId="5974EC2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成本指标</w:t>
            </w:r>
          </w:p>
        </w:tc>
        <w:tc>
          <w:tcPr>
            <w:tcW w:w="1149" w:type="dxa"/>
            <w:noWrap/>
          </w:tcPr>
          <w:p w14:paraId="6F4597C2">
            <w:pPr>
              <w:rPr>
                <w:rFonts w:ascii="仿宋" w:hAnsi="仿宋" w:eastAsia="仿宋" w:cs="仿宋"/>
                <w:sz w:val="15"/>
                <w:szCs w:val="15"/>
              </w:rPr>
            </w:pPr>
            <w:r>
              <w:rPr>
                <w:rFonts w:hint="eastAsia" w:ascii="仿宋" w:hAnsi="仿宋" w:eastAsia="仿宋" w:cs="仿宋"/>
                <w:sz w:val="15"/>
                <w:szCs w:val="15"/>
              </w:rPr>
              <w:t>节约成本</w:t>
            </w:r>
          </w:p>
        </w:tc>
        <w:tc>
          <w:tcPr>
            <w:tcW w:w="1209" w:type="dxa"/>
            <w:noWrap/>
          </w:tcPr>
          <w:p w14:paraId="656ACCC5">
            <w:pPr>
              <w:rPr>
                <w:rFonts w:ascii="仿宋" w:hAnsi="仿宋" w:eastAsia="仿宋" w:cs="仿宋"/>
                <w:sz w:val="18"/>
                <w:szCs w:val="18"/>
              </w:rPr>
            </w:pPr>
            <w:r>
              <w:rPr>
                <w:rFonts w:hint="eastAsia" w:ascii="仿宋" w:hAnsi="仿宋" w:eastAsia="仿宋" w:cs="仿宋"/>
                <w:sz w:val="18"/>
                <w:szCs w:val="18"/>
              </w:rPr>
              <w:t>不超过</w:t>
            </w:r>
            <w:r>
              <w:rPr>
                <w:rFonts w:hint="eastAsia" w:ascii="仿宋" w:hAnsi="仿宋" w:eastAsia="仿宋" w:cs="仿宋"/>
                <w:sz w:val="18"/>
                <w:szCs w:val="18"/>
                <w:lang w:eastAsia="zh-CN"/>
              </w:rPr>
              <w:t>预</w:t>
            </w:r>
            <w:r>
              <w:rPr>
                <w:rFonts w:hint="eastAsia" w:ascii="仿宋" w:hAnsi="仿宋" w:eastAsia="仿宋" w:cs="仿宋"/>
                <w:sz w:val="18"/>
                <w:szCs w:val="18"/>
              </w:rPr>
              <w:t>算</w:t>
            </w:r>
          </w:p>
        </w:tc>
        <w:tc>
          <w:tcPr>
            <w:tcW w:w="1134" w:type="dxa"/>
            <w:noWrap/>
          </w:tcPr>
          <w:p w14:paraId="4080D566">
            <w:pPr>
              <w:rPr>
                <w:rFonts w:ascii="仿宋" w:hAnsi="仿宋" w:eastAsia="仿宋" w:cs="仿宋"/>
                <w:sz w:val="18"/>
                <w:szCs w:val="18"/>
              </w:rPr>
            </w:pPr>
            <w:r>
              <w:rPr>
                <w:rFonts w:hint="eastAsia" w:ascii="仿宋" w:hAnsi="仿宋" w:eastAsia="仿宋" w:cs="仿宋"/>
                <w:sz w:val="18"/>
                <w:szCs w:val="18"/>
              </w:rPr>
              <w:t>成本控制在</w:t>
            </w:r>
            <w:r>
              <w:rPr>
                <w:rFonts w:hint="eastAsia" w:ascii="仿宋" w:hAnsi="仿宋" w:eastAsia="仿宋" w:cs="仿宋"/>
                <w:sz w:val="18"/>
                <w:szCs w:val="18"/>
                <w:lang w:eastAsia="zh-CN"/>
              </w:rPr>
              <w:t>预</w:t>
            </w:r>
            <w:r>
              <w:rPr>
                <w:rFonts w:hint="eastAsia" w:ascii="仿宋" w:hAnsi="仿宋" w:eastAsia="仿宋" w:cs="仿宋"/>
                <w:sz w:val="18"/>
                <w:szCs w:val="18"/>
              </w:rPr>
              <w:t>算内</w:t>
            </w:r>
          </w:p>
        </w:tc>
        <w:tc>
          <w:tcPr>
            <w:tcW w:w="828" w:type="dxa"/>
            <w:noWrap/>
            <w:vAlign w:val="center"/>
          </w:tcPr>
          <w:p w14:paraId="6EBE698F">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w:t>
            </w:r>
          </w:p>
        </w:tc>
        <w:tc>
          <w:tcPr>
            <w:tcW w:w="873" w:type="dxa"/>
            <w:noWrap/>
            <w:vAlign w:val="center"/>
          </w:tcPr>
          <w:p w14:paraId="17C656A6">
            <w:pPr>
              <w:widowControl/>
              <w:spacing w:line="280" w:lineRule="exact"/>
              <w:rPr>
                <w:rFonts w:ascii="仿宋" w:hAnsi="仿宋" w:eastAsia="仿宋" w:cs="仿宋"/>
                <w:sz w:val="20"/>
                <w:szCs w:val="20"/>
              </w:rPr>
            </w:pPr>
            <w:r>
              <w:rPr>
                <w:rFonts w:hint="eastAsia" w:ascii="仿宋" w:hAnsi="仿宋" w:eastAsia="仿宋" w:cs="仿宋"/>
                <w:sz w:val="20"/>
                <w:szCs w:val="20"/>
                <w:lang w:eastAsia="zh-CN"/>
              </w:rPr>
              <w:t>10</w:t>
            </w:r>
          </w:p>
        </w:tc>
        <w:tc>
          <w:tcPr>
            <w:tcW w:w="1418" w:type="dxa"/>
            <w:noWrap/>
            <w:vAlign w:val="center"/>
          </w:tcPr>
          <w:p w14:paraId="3F896093">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r w14:paraId="1609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83" w:type="dxa"/>
            <w:vMerge w:val="continue"/>
            <w:noWrap/>
            <w:vAlign w:val="center"/>
          </w:tcPr>
          <w:p w14:paraId="3CCCAAC8">
            <w:pPr>
              <w:widowControl/>
              <w:spacing w:line="280" w:lineRule="exact"/>
              <w:rPr>
                <w:rFonts w:ascii="仿宋" w:hAnsi="仿宋" w:eastAsia="仿宋" w:cs="仿宋"/>
                <w:sz w:val="20"/>
                <w:szCs w:val="20"/>
              </w:rPr>
            </w:pPr>
          </w:p>
        </w:tc>
        <w:tc>
          <w:tcPr>
            <w:tcW w:w="1077" w:type="dxa"/>
            <w:vMerge w:val="restart"/>
            <w:noWrap/>
            <w:vAlign w:val="center"/>
          </w:tcPr>
          <w:p w14:paraId="34FB4956">
            <w:pPr>
              <w:widowControl/>
              <w:spacing w:line="280" w:lineRule="exact"/>
              <w:rPr>
                <w:rFonts w:ascii="仿宋" w:hAnsi="仿宋" w:eastAsia="仿宋" w:cs="仿宋"/>
                <w:sz w:val="20"/>
                <w:szCs w:val="20"/>
              </w:rPr>
            </w:pPr>
            <w:r>
              <w:rPr>
                <w:rFonts w:hint="eastAsia" w:ascii="仿宋" w:hAnsi="仿宋" w:eastAsia="仿宋" w:cs="仿宋"/>
                <w:sz w:val="20"/>
                <w:szCs w:val="20"/>
              </w:rPr>
              <w:t>效益指标</w:t>
            </w:r>
          </w:p>
          <w:p w14:paraId="77DD7697">
            <w:pPr>
              <w:widowControl/>
              <w:spacing w:line="280" w:lineRule="exact"/>
              <w:rPr>
                <w:rFonts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eastAsia="zh-CN"/>
              </w:rPr>
              <w:t>4</w:t>
            </w:r>
            <w:r>
              <w:rPr>
                <w:rFonts w:hint="eastAsia" w:ascii="仿宋" w:hAnsi="仿宋" w:eastAsia="仿宋" w:cs="仿宋"/>
                <w:sz w:val="20"/>
                <w:szCs w:val="20"/>
              </w:rPr>
              <w:t>0分）</w:t>
            </w:r>
          </w:p>
        </w:tc>
        <w:tc>
          <w:tcPr>
            <w:tcW w:w="1080" w:type="dxa"/>
            <w:noWrap/>
            <w:vAlign w:val="center"/>
          </w:tcPr>
          <w:p w14:paraId="6CC41E65">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经济效</w:t>
            </w:r>
          </w:p>
          <w:p w14:paraId="18C6DBF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43D2B104">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减少因铁路外部环境造成的损失</w:t>
            </w:r>
          </w:p>
        </w:tc>
        <w:tc>
          <w:tcPr>
            <w:tcW w:w="1209" w:type="dxa"/>
            <w:noWrap/>
            <w:vAlign w:val="center"/>
          </w:tcPr>
          <w:p w14:paraId="20D59FA4">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　</w:t>
            </w:r>
            <w:r>
              <w:rPr>
                <w:rFonts w:hint="eastAsia" w:ascii="仿宋" w:hAnsi="仿宋" w:eastAsia="仿宋" w:cs="仿宋"/>
                <w:sz w:val="18"/>
                <w:szCs w:val="18"/>
              </w:rPr>
              <w:t>减少</w:t>
            </w:r>
          </w:p>
        </w:tc>
        <w:tc>
          <w:tcPr>
            <w:tcW w:w="1134" w:type="dxa"/>
            <w:noWrap/>
            <w:vAlign w:val="center"/>
          </w:tcPr>
          <w:p w14:paraId="1EFE2C41">
            <w:pPr>
              <w:widowControl/>
              <w:spacing w:line="280" w:lineRule="exact"/>
              <w:rPr>
                <w:rFonts w:ascii="仿宋" w:hAnsi="仿宋" w:eastAsia="仿宋" w:cs="仿宋"/>
                <w:sz w:val="18"/>
                <w:szCs w:val="18"/>
              </w:rPr>
            </w:pPr>
            <w:r>
              <w:rPr>
                <w:rFonts w:hint="eastAsia" w:ascii="仿宋" w:hAnsi="仿宋" w:eastAsia="仿宋" w:cs="仿宋"/>
                <w:sz w:val="18"/>
                <w:szCs w:val="18"/>
              </w:rPr>
              <w:t>　减少</w:t>
            </w:r>
          </w:p>
        </w:tc>
        <w:tc>
          <w:tcPr>
            <w:tcW w:w="828" w:type="dxa"/>
            <w:noWrap/>
            <w:vAlign w:val="center"/>
          </w:tcPr>
          <w:p w14:paraId="1FA90635">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6F109EBF">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4A2826B5">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2026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3" w:type="dxa"/>
            <w:vMerge w:val="continue"/>
            <w:noWrap/>
            <w:vAlign w:val="center"/>
          </w:tcPr>
          <w:p w14:paraId="18B8B8B5">
            <w:pPr>
              <w:widowControl/>
              <w:spacing w:line="280" w:lineRule="exact"/>
              <w:rPr>
                <w:rFonts w:ascii="仿宋" w:hAnsi="仿宋" w:eastAsia="仿宋" w:cs="仿宋"/>
                <w:sz w:val="20"/>
                <w:szCs w:val="20"/>
              </w:rPr>
            </w:pPr>
          </w:p>
        </w:tc>
        <w:tc>
          <w:tcPr>
            <w:tcW w:w="1077" w:type="dxa"/>
            <w:vMerge w:val="continue"/>
            <w:noWrap/>
            <w:vAlign w:val="center"/>
          </w:tcPr>
          <w:p w14:paraId="4B9DC94B">
            <w:pPr>
              <w:widowControl/>
              <w:spacing w:line="280" w:lineRule="exact"/>
              <w:rPr>
                <w:rFonts w:ascii="仿宋" w:hAnsi="仿宋" w:eastAsia="仿宋" w:cs="仿宋"/>
                <w:sz w:val="20"/>
                <w:szCs w:val="20"/>
              </w:rPr>
            </w:pPr>
          </w:p>
        </w:tc>
        <w:tc>
          <w:tcPr>
            <w:tcW w:w="1080" w:type="dxa"/>
            <w:noWrap/>
            <w:vAlign w:val="center"/>
          </w:tcPr>
          <w:p w14:paraId="0C4C1FC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社会效</w:t>
            </w:r>
          </w:p>
          <w:p w14:paraId="4CE389F3">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304D1D78">
            <w:pPr>
              <w:widowControl/>
              <w:spacing w:line="280" w:lineRule="exact"/>
              <w:rPr>
                <w:rFonts w:ascii="仿宋" w:hAnsi="仿宋" w:eastAsia="仿宋" w:cs="仿宋"/>
                <w:sz w:val="18"/>
                <w:szCs w:val="18"/>
                <w:lang w:eastAsia="zh-CN"/>
              </w:rPr>
            </w:pPr>
            <w:r>
              <w:rPr>
                <w:rFonts w:hint="eastAsia" w:ascii="仿宋" w:hAnsi="仿宋" w:eastAsia="仿宋" w:cs="仿宋"/>
                <w:sz w:val="18"/>
                <w:szCs w:val="18"/>
              </w:rPr>
              <w:t>　满足</w:t>
            </w:r>
            <w:r>
              <w:rPr>
                <w:rFonts w:hint="eastAsia" w:ascii="仿宋" w:hAnsi="仿宋" w:eastAsia="仿宋" w:cs="仿宋"/>
                <w:sz w:val="18"/>
                <w:szCs w:val="18"/>
                <w:lang w:eastAsia="zh-CN"/>
              </w:rPr>
              <w:t>人民安全出行</w:t>
            </w:r>
          </w:p>
        </w:tc>
        <w:tc>
          <w:tcPr>
            <w:tcW w:w="1209" w:type="dxa"/>
            <w:noWrap/>
            <w:vAlign w:val="center"/>
          </w:tcPr>
          <w:p w14:paraId="4386EC7F">
            <w:pPr>
              <w:rPr>
                <w:rFonts w:ascii="仿宋" w:hAnsi="仿宋" w:eastAsia="仿宋" w:cs="仿宋"/>
                <w:sz w:val="18"/>
                <w:szCs w:val="18"/>
              </w:rPr>
            </w:pPr>
            <w:r>
              <w:rPr>
                <w:rFonts w:hint="eastAsia" w:ascii="仿宋" w:hAnsi="仿宋" w:eastAsia="仿宋" w:cs="仿宋"/>
                <w:sz w:val="18"/>
                <w:szCs w:val="18"/>
              </w:rPr>
              <w:t>满足</w:t>
            </w:r>
          </w:p>
          <w:p w14:paraId="4ABAB79E">
            <w:pPr>
              <w:widowControl/>
              <w:spacing w:line="280" w:lineRule="exact"/>
              <w:rPr>
                <w:rFonts w:ascii="仿宋" w:hAnsi="仿宋" w:eastAsia="仿宋" w:cs="仿宋"/>
                <w:sz w:val="18"/>
                <w:szCs w:val="18"/>
              </w:rPr>
            </w:pPr>
          </w:p>
        </w:tc>
        <w:tc>
          <w:tcPr>
            <w:tcW w:w="1134" w:type="dxa"/>
            <w:noWrap/>
            <w:vAlign w:val="center"/>
          </w:tcPr>
          <w:p w14:paraId="6A95A731">
            <w:pPr>
              <w:rPr>
                <w:rFonts w:ascii="仿宋" w:hAnsi="仿宋" w:eastAsia="仿宋" w:cs="仿宋"/>
                <w:sz w:val="18"/>
                <w:szCs w:val="18"/>
              </w:rPr>
            </w:pPr>
            <w:r>
              <w:rPr>
                <w:rFonts w:hint="eastAsia" w:ascii="仿宋" w:hAnsi="仿宋" w:eastAsia="仿宋" w:cs="仿宋"/>
                <w:sz w:val="18"/>
                <w:szCs w:val="18"/>
              </w:rPr>
              <w:t>　满足</w:t>
            </w:r>
          </w:p>
          <w:p w14:paraId="242CBB51">
            <w:pPr>
              <w:widowControl/>
              <w:spacing w:line="280" w:lineRule="exact"/>
              <w:rPr>
                <w:rFonts w:ascii="仿宋" w:hAnsi="仿宋" w:eastAsia="仿宋" w:cs="仿宋"/>
                <w:sz w:val="18"/>
                <w:szCs w:val="18"/>
              </w:rPr>
            </w:pPr>
          </w:p>
        </w:tc>
        <w:tc>
          <w:tcPr>
            <w:tcW w:w="828" w:type="dxa"/>
            <w:noWrap/>
            <w:vAlign w:val="center"/>
          </w:tcPr>
          <w:p w14:paraId="25619674">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3091F312">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5E84A6FB">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3D5F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3" w:type="dxa"/>
            <w:vMerge w:val="continue"/>
            <w:noWrap/>
            <w:vAlign w:val="center"/>
          </w:tcPr>
          <w:p w14:paraId="4F80BA59">
            <w:pPr>
              <w:widowControl/>
              <w:spacing w:line="280" w:lineRule="exact"/>
              <w:rPr>
                <w:rFonts w:ascii="仿宋" w:hAnsi="仿宋" w:eastAsia="仿宋" w:cs="仿宋"/>
                <w:sz w:val="20"/>
                <w:szCs w:val="20"/>
              </w:rPr>
            </w:pPr>
          </w:p>
        </w:tc>
        <w:tc>
          <w:tcPr>
            <w:tcW w:w="1077" w:type="dxa"/>
            <w:vMerge w:val="continue"/>
            <w:noWrap/>
            <w:vAlign w:val="center"/>
          </w:tcPr>
          <w:p w14:paraId="638AB25F">
            <w:pPr>
              <w:widowControl/>
              <w:spacing w:line="280" w:lineRule="exact"/>
              <w:rPr>
                <w:rFonts w:ascii="仿宋" w:hAnsi="仿宋" w:eastAsia="仿宋" w:cs="仿宋"/>
                <w:sz w:val="20"/>
                <w:szCs w:val="20"/>
              </w:rPr>
            </w:pPr>
          </w:p>
        </w:tc>
        <w:tc>
          <w:tcPr>
            <w:tcW w:w="1080" w:type="dxa"/>
            <w:noWrap/>
            <w:vAlign w:val="center"/>
          </w:tcPr>
          <w:p w14:paraId="2CDA1D28">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生态效</w:t>
            </w:r>
          </w:p>
          <w:p w14:paraId="01E0672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益指标</w:t>
            </w:r>
          </w:p>
        </w:tc>
        <w:tc>
          <w:tcPr>
            <w:tcW w:w="1149" w:type="dxa"/>
            <w:noWrap/>
            <w:vAlign w:val="center"/>
          </w:tcPr>
          <w:p w14:paraId="26CC3355">
            <w:pPr>
              <w:widowControl/>
              <w:spacing w:line="280" w:lineRule="exact"/>
              <w:rPr>
                <w:rFonts w:ascii="仿宋" w:hAnsi="仿宋" w:eastAsia="仿宋" w:cs="仿宋"/>
                <w:sz w:val="18"/>
                <w:szCs w:val="18"/>
              </w:rPr>
            </w:pPr>
            <w:r>
              <w:rPr>
                <w:rFonts w:hint="eastAsia" w:ascii="仿宋" w:hAnsi="仿宋" w:eastAsia="仿宋" w:cs="仿宋"/>
                <w:sz w:val="18"/>
                <w:szCs w:val="18"/>
              </w:rPr>
              <w:t>　满足环保要求</w:t>
            </w:r>
          </w:p>
        </w:tc>
        <w:tc>
          <w:tcPr>
            <w:tcW w:w="1209" w:type="dxa"/>
            <w:noWrap/>
            <w:vAlign w:val="center"/>
          </w:tcPr>
          <w:p w14:paraId="3482F5A6">
            <w:pPr>
              <w:rPr>
                <w:rFonts w:ascii="仿宋" w:hAnsi="仿宋" w:eastAsia="仿宋" w:cs="仿宋"/>
                <w:sz w:val="18"/>
                <w:szCs w:val="18"/>
              </w:rPr>
            </w:pPr>
            <w:r>
              <w:rPr>
                <w:rFonts w:hint="eastAsia" w:ascii="仿宋" w:hAnsi="仿宋" w:eastAsia="仿宋" w:cs="仿宋"/>
                <w:sz w:val="18"/>
                <w:szCs w:val="18"/>
              </w:rPr>
              <w:t>满足</w:t>
            </w:r>
          </w:p>
          <w:p w14:paraId="4BD1F87E">
            <w:pPr>
              <w:widowControl/>
              <w:spacing w:line="280" w:lineRule="exact"/>
              <w:rPr>
                <w:rFonts w:ascii="仿宋" w:hAnsi="仿宋" w:eastAsia="仿宋" w:cs="仿宋"/>
                <w:sz w:val="18"/>
                <w:szCs w:val="18"/>
              </w:rPr>
            </w:pPr>
          </w:p>
        </w:tc>
        <w:tc>
          <w:tcPr>
            <w:tcW w:w="1134" w:type="dxa"/>
            <w:noWrap/>
            <w:vAlign w:val="center"/>
          </w:tcPr>
          <w:p w14:paraId="2CF203D8">
            <w:pPr>
              <w:rPr>
                <w:rFonts w:ascii="仿宋" w:hAnsi="仿宋" w:eastAsia="仿宋" w:cs="仿宋"/>
                <w:sz w:val="18"/>
                <w:szCs w:val="18"/>
              </w:rPr>
            </w:pPr>
            <w:r>
              <w:rPr>
                <w:rFonts w:hint="eastAsia" w:ascii="仿宋" w:hAnsi="仿宋" w:eastAsia="仿宋" w:cs="仿宋"/>
                <w:sz w:val="18"/>
                <w:szCs w:val="18"/>
              </w:rPr>
              <w:t>满足</w:t>
            </w:r>
          </w:p>
          <w:p w14:paraId="112ECB36">
            <w:pPr>
              <w:widowControl/>
              <w:spacing w:line="280" w:lineRule="exact"/>
              <w:rPr>
                <w:rFonts w:ascii="仿宋" w:hAnsi="仿宋" w:eastAsia="仿宋" w:cs="仿宋"/>
                <w:sz w:val="18"/>
                <w:szCs w:val="18"/>
              </w:rPr>
            </w:pPr>
          </w:p>
        </w:tc>
        <w:tc>
          <w:tcPr>
            <w:tcW w:w="828" w:type="dxa"/>
            <w:noWrap/>
            <w:vAlign w:val="center"/>
          </w:tcPr>
          <w:p w14:paraId="5CAF49B2">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15B87983">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02052C21">
            <w:pPr>
              <w:widowControl/>
              <w:spacing w:line="280" w:lineRule="exact"/>
              <w:rPr>
                <w:rFonts w:ascii="仿宋" w:hAnsi="仿宋" w:eastAsia="仿宋" w:cs="仿宋"/>
                <w:sz w:val="18"/>
                <w:szCs w:val="18"/>
                <w:lang w:eastAsia="zh-CN"/>
              </w:rPr>
            </w:pPr>
            <w:r>
              <w:rPr>
                <w:rFonts w:hint="eastAsia" w:ascii="仿宋" w:hAnsi="仿宋" w:eastAsia="仿宋" w:cs="仿宋"/>
                <w:sz w:val="18"/>
                <w:szCs w:val="18"/>
              </w:rPr>
              <w:t>　</w:t>
            </w:r>
            <w:r>
              <w:rPr>
                <w:rFonts w:hint="eastAsia" w:ascii="仿宋" w:hAnsi="仿宋" w:eastAsia="仿宋" w:cs="仿宋"/>
                <w:sz w:val="18"/>
                <w:szCs w:val="18"/>
                <w:lang w:eastAsia="zh-CN"/>
              </w:rPr>
              <w:t>强化治理</w:t>
            </w:r>
          </w:p>
        </w:tc>
      </w:tr>
      <w:tr w14:paraId="4D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3" w:type="dxa"/>
            <w:vMerge w:val="continue"/>
            <w:noWrap/>
            <w:vAlign w:val="center"/>
          </w:tcPr>
          <w:p w14:paraId="5A4F9282">
            <w:pPr>
              <w:widowControl/>
              <w:spacing w:line="280" w:lineRule="exact"/>
              <w:jc w:val="center"/>
              <w:rPr>
                <w:rFonts w:ascii="仿宋" w:hAnsi="仿宋" w:eastAsia="仿宋" w:cs="仿宋"/>
                <w:sz w:val="20"/>
                <w:szCs w:val="20"/>
              </w:rPr>
            </w:pPr>
          </w:p>
        </w:tc>
        <w:tc>
          <w:tcPr>
            <w:tcW w:w="1077" w:type="dxa"/>
            <w:vMerge w:val="continue"/>
            <w:noWrap/>
            <w:vAlign w:val="center"/>
          </w:tcPr>
          <w:p w14:paraId="59DE9FA7">
            <w:pPr>
              <w:widowControl/>
              <w:spacing w:line="280" w:lineRule="exact"/>
              <w:rPr>
                <w:rFonts w:ascii="仿宋" w:hAnsi="仿宋" w:eastAsia="仿宋" w:cs="仿宋"/>
                <w:sz w:val="20"/>
                <w:szCs w:val="20"/>
              </w:rPr>
            </w:pPr>
          </w:p>
        </w:tc>
        <w:tc>
          <w:tcPr>
            <w:tcW w:w="1080" w:type="dxa"/>
            <w:noWrap/>
            <w:vAlign w:val="center"/>
          </w:tcPr>
          <w:p w14:paraId="3BBE382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可持续影响指标</w:t>
            </w:r>
          </w:p>
        </w:tc>
        <w:tc>
          <w:tcPr>
            <w:tcW w:w="1149" w:type="dxa"/>
            <w:noWrap/>
            <w:vAlign w:val="center"/>
          </w:tcPr>
          <w:p w14:paraId="737B873F">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减少路外伤亡事故</w:t>
            </w:r>
          </w:p>
        </w:tc>
        <w:tc>
          <w:tcPr>
            <w:tcW w:w="1209" w:type="dxa"/>
            <w:noWrap/>
            <w:vAlign w:val="center"/>
          </w:tcPr>
          <w:p w14:paraId="0187FA0F">
            <w:pPr>
              <w:rPr>
                <w:rFonts w:ascii="仿宋" w:hAnsi="仿宋" w:eastAsia="仿宋" w:cs="仿宋"/>
                <w:sz w:val="18"/>
                <w:szCs w:val="18"/>
              </w:rPr>
            </w:pPr>
            <w:r>
              <w:rPr>
                <w:rFonts w:hint="eastAsia" w:ascii="仿宋" w:hAnsi="仿宋" w:eastAsia="仿宋" w:cs="仿宋"/>
                <w:sz w:val="18"/>
                <w:szCs w:val="18"/>
                <w:lang w:eastAsia="zh-CN"/>
              </w:rPr>
              <w:t>　</w:t>
            </w:r>
            <w:r>
              <w:rPr>
                <w:rFonts w:hint="eastAsia" w:ascii="仿宋" w:hAnsi="仿宋" w:eastAsia="仿宋" w:cs="仿宋"/>
                <w:sz w:val="18"/>
                <w:szCs w:val="18"/>
              </w:rPr>
              <w:t>压减路外伤亡</w:t>
            </w:r>
          </w:p>
          <w:p w14:paraId="51275AAA">
            <w:pPr>
              <w:widowControl/>
              <w:spacing w:line="280" w:lineRule="exact"/>
              <w:rPr>
                <w:rFonts w:ascii="仿宋" w:hAnsi="仿宋" w:eastAsia="仿宋" w:cs="仿宋"/>
                <w:sz w:val="18"/>
                <w:szCs w:val="18"/>
              </w:rPr>
            </w:pPr>
          </w:p>
        </w:tc>
        <w:tc>
          <w:tcPr>
            <w:tcW w:w="1134" w:type="dxa"/>
            <w:noWrap/>
            <w:vAlign w:val="center"/>
          </w:tcPr>
          <w:p w14:paraId="3D99C079">
            <w:pPr>
              <w:widowControl/>
              <w:spacing w:line="280" w:lineRule="exact"/>
              <w:rPr>
                <w:rFonts w:ascii="仿宋" w:hAnsi="仿宋" w:eastAsia="仿宋" w:cs="仿宋"/>
                <w:sz w:val="18"/>
                <w:szCs w:val="18"/>
              </w:rPr>
            </w:pPr>
            <w:r>
              <w:rPr>
                <w:rFonts w:hint="eastAsia" w:ascii="仿宋" w:hAnsi="仿宋" w:eastAsia="仿宋" w:cs="仿宋"/>
                <w:sz w:val="18"/>
                <w:szCs w:val="18"/>
              </w:rPr>
              <w:t>　压减50%</w:t>
            </w:r>
          </w:p>
        </w:tc>
        <w:tc>
          <w:tcPr>
            <w:tcW w:w="828" w:type="dxa"/>
            <w:noWrap/>
            <w:vAlign w:val="center"/>
          </w:tcPr>
          <w:p w14:paraId="621897C9">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7E6E59F3">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10</w:t>
            </w:r>
          </w:p>
        </w:tc>
        <w:tc>
          <w:tcPr>
            <w:tcW w:w="1418" w:type="dxa"/>
            <w:noWrap/>
            <w:vAlign w:val="center"/>
          </w:tcPr>
          <w:p w14:paraId="325B4145">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7EF0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3" w:type="dxa"/>
            <w:vMerge w:val="continue"/>
            <w:noWrap/>
            <w:vAlign w:val="center"/>
          </w:tcPr>
          <w:p w14:paraId="7280444E">
            <w:pPr>
              <w:widowControl/>
              <w:spacing w:line="280" w:lineRule="exact"/>
              <w:rPr>
                <w:rFonts w:ascii="仿宋" w:hAnsi="仿宋" w:eastAsia="仿宋" w:cs="仿宋"/>
                <w:sz w:val="20"/>
                <w:szCs w:val="20"/>
              </w:rPr>
            </w:pPr>
          </w:p>
        </w:tc>
        <w:tc>
          <w:tcPr>
            <w:tcW w:w="1077" w:type="dxa"/>
            <w:noWrap/>
            <w:vAlign w:val="center"/>
          </w:tcPr>
          <w:p w14:paraId="1193DAC4">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满意度</w:t>
            </w:r>
          </w:p>
          <w:p w14:paraId="19C0F766">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指标</w:t>
            </w:r>
          </w:p>
          <w:p w14:paraId="5F161E4A">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（10分）</w:t>
            </w:r>
          </w:p>
        </w:tc>
        <w:tc>
          <w:tcPr>
            <w:tcW w:w="1080" w:type="dxa"/>
            <w:noWrap/>
            <w:vAlign w:val="center"/>
          </w:tcPr>
          <w:p w14:paraId="0659C06F">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服务对象满意度指标</w:t>
            </w:r>
          </w:p>
        </w:tc>
        <w:tc>
          <w:tcPr>
            <w:tcW w:w="1149" w:type="dxa"/>
            <w:noWrap/>
            <w:vAlign w:val="center"/>
          </w:tcPr>
          <w:p w14:paraId="63C0AF59">
            <w:pPr>
              <w:rPr>
                <w:rFonts w:ascii="仿宋" w:hAnsi="仿宋" w:eastAsia="仿宋" w:cs="仿宋"/>
                <w:szCs w:val="21"/>
                <w:lang w:eastAsia="zh-CN"/>
              </w:rPr>
            </w:pPr>
            <w:r>
              <w:rPr>
                <w:rFonts w:hint="eastAsia" w:ascii="仿宋" w:hAnsi="仿宋" w:eastAsia="仿宋" w:cs="仿宋"/>
                <w:sz w:val="18"/>
                <w:szCs w:val="18"/>
                <w:lang w:eastAsia="zh-CN"/>
              </w:rPr>
              <w:t>铁路沿线群众和铁路运输企业</w:t>
            </w:r>
          </w:p>
        </w:tc>
        <w:tc>
          <w:tcPr>
            <w:tcW w:w="1209" w:type="dxa"/>
            <w:noWrap/>
            <w:vAlign w:val="center"/>
          </w:tcPr>
          <w:p w14:paraId="4036D42F">
            <w:pPr>
              <w:widowControl/>
              <w:spacing w:line="280" w:lineRule="exact"/>
              <w:rPr>
                <w:rFonts w:ascii="仿宋" w:hAnsi="仿宋" w:eastAsia="仿宋" w:cs="仿宋"/>
                <w:sz w:val="18"/>
                <w:szCs w:val="18"/>
              </w:rPr>
            </w:pPr>
            <w:r>
              <w:rPr>
                <w:rFonts w:hint="eastAsia" w:ascii="仿宋" w:hAnsi="仿宋" w:eastAsia="仿宋" w:cs="仿宋"/>
                <w:sz w:val="18"/>
                <w:szCs w:val="18"/>
                <w:lang w:eastAsia="zh-CN"/>
              </w:rPr>
              <w:t>　</w:t>
            </w:r>
            <w:r>
              <w:rPr>
                <w:rFonts w:hint="eastAsia" w:ascii="仿宋" w:hAnsi="仿宋" w:eastAsia="仿宋" w:cs="仿宋"/>
                <w:sz w:val="18"/>
                <w:szCs w:val="18"/>
              </w:rPr>
              <w:t>95%以上</w:t>
            </w:r>
          </w:p>
        </w:tc>
        <w:tc>
          <w:tcPr>
            <w:tcW w:w="1134" w:type="dxa"/>
            <w:noWrap/>
            <w:vAlign w:val="center"/>
          </w:tcPr>
          <w:p w14:paraId="07AACADA">
            <w:pPr>
              <w:widowControl/>
              <w:spacing w:line="280" w:lineRule="exact"/>
              <w:rPr>
                <w:rFonts w:ascii="仿宋" w:hAnsi="仿宋" w:eastAsia="仿宋" w:cs="仿宋"/>
                <w:sz w:val="18"/>
                <w:szCs w:val="18"/>
              </w:rPr>
            </w:pPr>
            <w:r>
              <w:rPr>
                <w:rFonts w:hint="eastAsia" w:ascii="仿宋" w:hAnsi="仿宋" w:eastAsia="仿宋" w:cs="仿宋"/>
                <w:sz w:val="18"/>
                <w:szCs w:val="18"/>
              </w:rPr>
              <w:t>95%以上</w:t>
            </w:r>
          </w:p>
        </w:tc>
        <w:tc>
          <w:tcPr>
            <w:tcW w:w="828" w:type="dxa"/>
            <w:noWrap/>
            <w:vAlign w:val="center"/>
          </w:tcPr>
          <w:p w14:paraId="23E22AA6">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873" w:type="dxa"/>
            <w:noWrap/>
            <w:vAlign w:val="center"/>
          </w:tcPr>
          <w:p w14:paraId="038B84F0">
            <w:pPr>
              <w:widowControl/>
              <w:spacing w:line="280" w:lineRule="exact"/>
              <w:rPr>
                <w:rFonts w:ascii="仿宋" w:hAnsi="仿宋" w:eastAsia="仿宋" w:cs="仿宋"/>
                <w:sz w:val="18"/>
                <w:szCs w:val="18"/>
                <w:lang w:eastAsia="zh-CN"/>
              </w:rPr>
            </w:pPr>
            <w:r>
              <w:rPr>
                <w:rFonts w:hint="eastAsia" w:ascii="仿宋" w:hAnsi="仿宋" w:eastAsia="仿宋" w:cs="仿宋"/>
                <w:sz w:val="18"/>
                <w:szCs w:val="18"/>
                <w:lang w:eastAsia="zh-CN"/>
              </w:rPr>
              <w:t>10</w:t>
            </w:r>
          </w:p>
        </w:tc>
        <w:tc>
          <w:tcPr>
            <w:tcW w:w="1418" w:type="dxa"/>
            <w:noWrap/>
            <w:vAlign w:val="center"/>
          </w:tcPr>
          <w:p w14:paraId="66A771B6">
            <w:pPr>
              <w:widowControl/>
              <w:spacing w:line="280" w:lineRule="exact"/>
              <w:rPr>
                <w:rFonts w:ascii="仿宋" w:hAnsi="仿宋" w:eastAsia="仿宋" w:cs="仿宋"/>
                <w:sz w:val="18"/>
                <w:szCs w:val="18"/>
              </w:rPr>
            </w:pPr>
            <w:r>
              <w:rPr>
                <w:rFonts w:hint="eastAsia" w:ascii="仿宋" w:hAnsi="仿宋" w:eastAsia="仿宋" w:cs="仿宋"/>
                <w:sz w:val="18"/>
                <w:szCs w:val="18"/>
              </w:rPr>
              <w:t>　</w:t>
            </w:r>
          </w:p>
        </w:tc>
      </w:tr>
      <w:tr w14:paraId="4726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32" w:type="dxa"/>
            <w:gridSpan w:val="6"/>
            <w:noWrap/>
            <w:vAlign w:val="center"/>
          </w:tcPr>
          <w:p w14:paraId="522C6F79">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总分</w:t>
            </w:r>
          </w:p>
        </w:tc>
        <w:tc>
          <w:tcPr>
            <w:tcW w:w="828" w:type="dxa"/>
            <w:noWrap/>
            <w:vAlign w:val="center"/>
          </w:tcPr>
          <w:p w14:paraId="5418E667">
            <w:pPr>
              <w:widowControl/>
              <w:spacing w:line="280" w:lineRule="exact"/>
              <w:jc w:val="center"/>
              <w:rPr>
                <w:rFonts w:ascii="仿宋" w:hAnsi="仿宋" w:eastAsia="仿宋" w:cs="仿宋"/>
                <w:sz w:val="20"/>
                <w:szCs w:val="20"/>
              </w:rPr>
            </w:pPr>
            <w:r>
              <w:rPr>
                <w:rFonts w:hint="eastAsia" w:ascii="仿宋" w:hAnsi="仿宋" w:eastAsia="仿宋" w:cs="仿宋"/>
                <w:sz w:val="20"/>
                <w:szCs w:val="20"/>
              </w:rPr>
              <w:t>100</w:t>
            </w:r>
          </w:p>
        </w:tc>
        <w:tc>
          <w:tcPr>
            <w:tcW w:w="873" w:type="dxa"/>
            <w:noWrap/>
            <w:vAlign w:val="center"/>
          </w:tcPr>
          <w:p w14:paraId="6EAD7014">
            <w:pPr>
              <w:widowControl/>
              <w:spacing w:line="280" w:lineRule="exact"/>
              <w:rPr>
                <w:rFonts w:ascii="仿宋" w:hAnsi="仿宋" w:eastAsia="仿宋" w:cs="仿宋"/>
                <w:sz w:val="20"/>
                <w:szCs w:val="20"/>
                <w:lang w:eastAsia="zh-CN"/>
              </w:rPr>
            </w:pPr>
            <w:r>
              <w:rPr>
                <w:rFonts w:hint="eastAsia" w:ascii="仿宋" w:hAnsi="仿宋" w:eastAsia="仿宋" w:cs="仿宋"/>
                <w:sz w:val="20"/>
                <w:szCs w:val="20"/>
                <w:lang w:eastAsia="zh-CN"/>
              </w:rPr>
              <w:t>100</w:t>
            </w:r>
          </w:p>
        </w:tc>
        <w:tc>
          <w:tcPr>
            <w:tcW w:w="1418" w:type="dxa"/>
            <w:noWrap/>
            <w:vAlign w:val="center"/>
          </w:tcPr>
          <w:p w14:paraId="48EC13F0">
            <w:pPr>
              <w:widowControl/>
              <w:spacing w:line="280" w:lineRule="exact"/>
              <w:rPr>
                <w:rFonts w:ascii="仿宋" w:hAnsi="仿宋" w:eastAsia="仿宋" w:cs="仿宋"/>
                <w:sz w:val="20"/>
                <w:szCs w:val="20"/>
              </w:rPr>
            </w:pPr>
            <w:r>
              <w:rPr>
                <w:rFonts w:hint="eastAsia" w:ascii="仿宋" w:hAnsi="仿宋" w:eastAsia="仿宋" w:cs="仿宋"/>
                <w:sz w:val="20"/>
                <w:szCs w:val="20"/>
              </w:rPr>
              <w:t>　</w:t>
            </w:r>
          </w:p>
        </w:tc>
      </w:tr>
    </w:tbl>
    <w:p w14:paraId="3BB2728A">
      <w:pPr>
        <w:spacing w:line="600" w:lineRule="exact"/>
        <w:ind w:firstLine="420" w:firstLineChars="200"/>
        <w:jc w:val="both"/>
        <w:rPr>
          <w:lang w:eastAsia="zh-CN"/>
        </w:rPr>
      </w:pPr>
      <w:r>
        <w:rPr>
          <w:rFonts w:eastAsia="仿宋_GB2312"/>
          <w:lang w:eastAsia="zh-CN" w:bidi="ar-SA"/>
        </w:rPr>
        <w:t>填表人：</w:t>
      </w:r>
      <w:r>
        <w:rPr>
          <w:rFonts w:hint="eastAsia" w:eastAsia="仿宋_GB2312"/>
          <w:lang w:eastAsia="zh-CN" w:bidi="ar-SA"/>
        </w:rPr>
        <w:t>舒辉</w:t>
      </w:r>
      <w:r>
        <w:rPr>
          <w:rFonts w:eastAsia="仿宋_GB2312"/>
          <w:lang w:eastAsia="zh-CN" w:bidi="ar-SA"/>
        </w:rPr>
        <w:t xml:space="preserve">  填报日期：</w:t>
      </w:r>
      <w:r>
        <w:rPr>
          <w:rFonts w:hint="eastAsia" w:eastAsia="仿宋_GB2312"/>
          <w:lang w:eastAsia="zh-CN" w:bidi="ar-SA"/>
        </w:rPr>
        <w:t>2025年6月20日</w:t>
      </w:r>
      <w:r>
        <w:rPr>
          <w:rFonts w:eastAsia="仿宋_GB2312"/>
          <w:lang w:eastAsia="zh-CN" w:bidi="ar-SA"/>
        </w:rPr>
        <w:t xml:space="preserve">  联系电话：</w:t>
      </w:r>
      <w:r>
        <w:rPr>
          <w:rFonts w:hint="eastAsia" w:eastAsia="仿宋_GB2312"/>
          <w:lang w:eastAsia="zh-CN" w:bidi="ar-SA"/>
        </w:rPr>
        <w:t>15386271098</w:t>
      </w:r>
    </w:p>
    <w:p w14:paraId="63A5DEA2">
      <w:pPr>
        <w:pStyle w:val="8"/>
        <w:spacing w:line="240" w:lineRule="auto"/>
        <w:ind w:firstLine="0" w:firstLineChars="0"/>
        <w:jc w:val="both"/>
        <w:rPr>
          <w:rFonts w:ascii="楷体_GB2312" w:hAnsi="宋体" w:eastAsia="楷体_GB2312" w:cs="楷体_GB2312"/>
          <w:b/>
          <w:bCs/>
          <w:color w:val="000000" w:themeColor="text1"/>
          <w:szCs w:val="24"/>
          <w:lang w:eastAsia="zh-CN"/>
        </w:rPr>
      </w:pPr>
    </w:p>
    <w:p w14:paraId="20238509">
      <w:pPr>
        <w:pStyle w:val="7"/>
        <w:widowControl/>
        <w:shd w:val="clear" w:color="auto" w:fill="FFFFFF"/>
        <w:spacing w:beforeAutospacing="0" w:afterAutospacing="0" w:line="480" w:lineRule="atLeast"/>
        <w:rPr>
          <w:rFonts w:ascii="仿宋" w:hAnsi="仿宋" w:eastAsia="仿宋" w:cs="仿宋"/>
          <w:color w:val="000000"/>
          <w:sz w:val="32"/>
          <w:szCs w:val="32"/>
          <w:shd w:val="clear" w:color="auto" w:fill="FFFFFF"/>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E52BD3-1BD3-465D-B66F-E0E311B2FA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B20A331-AC8A-4B6C-A383-D3E7A6C50A25}"/>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embedRegular r:id="rId3" w:fontKey="{99153F06-C927-418B-A4FD-5CB4A71C8569}"/>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48035596-5953-4CDF-B836-F09648217B46}"/>
  </w:font>
  <w:font w:name="楷体">
    <w:panose1 w:val="02010609060101010101"/>
    <w:charset w:val="86"/>
    <w:family w:val="modern"/>
    <w:pitch w:val="default"/>
    <w:sig w:usb0="800002BF" w:usb1="38CF7CFA" w:usb2="00000016" w:usb3="00000000" w:csb0="00040001" w:csb1="00000000"/>
    <w:embedRegular r:id="rId5" w:fontKey="{9D12996F-6216-44E8-BAC0-7F2DAE02ACC0}"/>
  </w:font>
  <w:font w:name="Malgun Gothic Semilight">
    <w:panose1 w:val="020B0502040204020203"/>
    <w:charset w:val="86"/>
    <w:family w:val="swiss"/>
    <w:pitch w:val="default"/>
    <w:sig w:usb0="900002AF" w:usb1="01D77CFB" w:usb2="00000012" w:usb3="00000000" w:csb0="203E01BD" w:csb1="D7FF0000"/>
    <w:embedRegular r:id="rId6" w:fontKey="{8AD704E9-9651-4402-9FB7-07BC97973255}"/>
  </w:font>
  <w:font w:name="仿宋_GB2312">
    <w:altName w:val="仿宋"/>
    <w:panose1 w:val="00000000000000000000"/>
    <w:charset w:val="86"/>
    <w:family w:val="modern"/>
    <w:pitch w:val="default"/>
    <w:sig w:usb0="00000000" w:usb1="00000000" w:usb2="00000000" w:usb3="00000000" w:csb0="00040000" w:csb1="00000000"/>
    <w:embedRegular r:id="rId7" w:fontKey="{B6C6749B-42EB-41DD-A801-8E9B71E3E443}"/>
  </w:font>
  <w:font w:name="方正仿宋_GB2312">
    <w:altName w:val="仿宋"/>
    <w:panose1 w:val="00000000000000000000"/>
    <w:charset w:val="86"/>
    <w:family w:val="auto"/>
    <w:pitch w:val="default"/>
    <w:sig w:usb0="00000000" w:usb1="00000000" w:usb2="00000012" w:usb3="00000000" w:csb0="00040001" w:csb1="00000000"/>
    <w:embedRegular r:id="rId8" w:fontKey="{1C88C4DC-605E-4D9B-9D6D-4389CF6BD12A}"/>
  </w:font>
  <w:font w:name="方正小标宋简体">
    <w:altName w:val="Arial Unicode MS"/>
    <w:panose1 w:val="00000000000000000000"/>
    <w:charset w:val="86"/>
    <w:family w:val="auto"/>
    <w:pitch w:val="default"/>
    <w:sig w:usb0="00000000" w:usb1="0000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embedRegular r:id="rId9" w:fontKey="{AB72F217-9EDA-4C5B-B330-A509E47E23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9EA3">
    <w:pPr>
      <w:pStyle w:val="5"/>
    </w:pPr>
    <w:r>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7DA97EB4">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A3191"/>
    <w:multiLevelType w:val="singleLevel"/>
    <w:tmpl w:val="ADCA3191"/>
    <w:lvl w:ilvl="0" w:tentative="0">
      <w:start w:val="2"/>
      <w:numFmt w:val="decimal"/>
      <w:suff w:val="nothing"/>
      <w:lvlText w:val="%1、"/>
      <w:lvlJc w:val="left"/>
    </w:lvl>
  </w:abstractNum>
  <w:abstractNum w:abstractNumId="1">
    <w:nsid w:val="E956A9BB"/>
    <w:multiLevelType w:val="singleLevel"/>
    <w:tmpl w:val="E956A9BB"/>
    <w:lvl w:ilvl="0" w:tentative="0">
      <w:start w:val="4"/>
      <w:numFmt w:val="chineseCounting"/>
      <w:suff w:val="nothing"/>
      <w:lvlText w:val="%1、"/>
      <w:lvlJc w:val="left"/>
      <w:rPr>
        <w:rFonts w:hint="eastAsia"/>
      </w:rPr>
    </w:lvl>
  </w:abstractNum>
  <w:abstractNum w:abstractNumId="2">
    <w:nsid w:val="F1E6B9B6"/>
    <w:multiLevelType w:val="singleLevel"/>
    <w:tmpl w:val="F1E6B9B6"/>
    <w:lvl w:ilvl="0" w:tentative="0">
      <w:start w:val="1"/>
      <w:numFmt w:val="decimal"/>
      <w:suff w:val="nothing"/>
      <w:lvlText w:val="（%1）"/>
      <w:lvlJc w:val="left"/>
      <w:pPr>
        <w:ind w:left="142" w:firstLine="0"/>
      </w:pPr>
    </w:lvl>
  </w:abstractNum>
  <w:abstractNum w:abstractNumId="3">
    <w:nsid w:val="173BF9EE"/>
    <w:multiLevelType w:val="singleLevel"/>
    <w:tmpl w:val="173BF9EE"/>
    <w:lvl w:ilvl="0" w:tentative="0">
      <w:start w:val="2"/>
      <w:numFmt w:val="decimal"/>
      <w:suff w:val="nothing"/>
      <w:lvlText w:val="%1、"/>
      <w:lvlJc w:val="left"/>
    </w:lvl>
  </w:abstractNum>
  <w:abstractNum w:abstractNumId="4">
    <w:nsid w:val="4FAB661D"/>
    <w:multiLevelType w:val="singleLevel"/>
    <w:tmpl w:val="4FAB661D"/>
    <w:lvl w:ilvl="0" w:tentative="0">
      <w:start w:val="2"/>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ZlNGJjN2QzYTBiY2Y4Yjg2NjVmNjVkNTZjNWI5ZDkifQ=="/>
    <w:docVar w:name="KSO_WPS_MARK_KEY" w:val="9920a277-c0c3-43b4-93d3-1636fe398e0b"/>
  </w:docVars>
  <w:rsids>
    <w:rsidRoot w:val="753C4E9B"/>
    <w:rsid w:val="00091267"/>
    <w:rsid w:val="000A49C2"/>
    <w:rsid w:val="00133D6D"/>
    <w:rsid w:val="001675F1"/>
    <w:rsid w:val="001C145B"/>
    <w:rsid w:val="002A1AEB"/>
    <w:rsid w:val="002C2E94"/>
    <w:rsid w:val="00327D2E"/>
    <w:rsid w:val="00375F04"/>
    <w:rsid w:val="00392B56"/>
    <w:rsid w:val="003B71D1"/>
    <w:rsid w:val="004657ED"/>
    <w:rsid w:val="004B3ECF"/>
    <w:rsid w:val="0054518B"/>
    <w:rsid w:val="00641960"/>
    <w:rsid w:val="006F6ECC"/>
    <w:rsid w:val="00741A2D"/>
    <w:rsid w:val="007F619E"/>
    <w:rsid w:val="00833D6D"/>
    <w:rsid w:val="00875A88"/>
    <w:rsid w:val="008E3F89"/>
    <w:rsid w:val="00905AE7"/>
    <w:rsid w:val="00926F8D"/>
    <w:rsid w:val="00936809"/>
    <w:rsid w:val="00991789"/>
    <w:rsid w:val="009B3F48"/>
    <w:rsid w:val="00A94D8A"/>
    <w:rsid w:val="00AC7EF0"/>
    <w:rsid w:val="00B7280E"/>
    <w:rsid w:val="00BC6D89"/>
    <w:rsid w:val="00BF58E4"/>
    <w:rsid w:val="00C6273D"/>
    <w:rsid w:val="00C6639B"/>
    <w:rsid w:val="00D14948"/>
    <w:rsid w:val="00D32E38"/>
    <w:rsid w:val="00D67F40"/>
    <w:rsid w:val="00D86B93"/>
    <w:rsid w:val="00DB7584"/>
    <w:rsid w:val="00DE340E"/>
    <w:rsid w:val="00DF6489"/>
    <w:rsid w:val="00E01F85"/>
    <w:rsid w:val="00E21249"/>
    <w:rsid w:val="00EC55F2"/>
    <w:rsid w:val="00ED0DC8"/>
    <w:rsid w:val="00F32F40"/>
    <w:rsid w:val="00F61FED"/>
    <w:rsid w:val="01AF70E0"/>
    <w:rsid w:val="02E35293"/>
    <w:rsid w:val="02FD434A"/>
    <w:rsid w:val="05E95AA6"/>
    <w:rsid w:val="094840A2"/>
    <w:rsid w:val="0C180A78"/>
    <w:rsid w:val="0C2A7A8F"/>
    <w:rsid w:val="0D276746"/>
    <w:rsid w:val="0D464D9C"/>
    <w:rsid w:val="0DD52794"/>
    <w:rsid w:val="0E956870"/>
    <w:rsid w:val="10C666A5"/>
    <w:rsid w:val="1223366A"/>
    <w:rsid w:val="143877FD"/>
    <w:rsid w:val="162419F3"/>
    <w:rsid w:val="1780534F"/>
    <w:rsid w:val="189A2440"/>
    <w:rsid w:val="18C463BD"/>
    <w:rsid w:val="19727303"/>
    <w:rsid w:val="19E805B2"/>
    <w:rsid w:val="22FE234B"/>
    <w:rsid w:val="25452835"/>
    <w:rsid w:val="277E6F02"/>
    <w:rsid w:val="292F0982"/>
    <w:rsid w:val="298E38FB"/>
    <w:rsid w:val="29990575"/>
    <w:rsid w:val="2AF6742D"/>
    <w:rsid w:val="2E833798"/>
    <w:rsid w:val="312A2265"/>
    <w:rsid w:val="33E2248A"/>
    <w:rsid w:val="36D05553"/>
    <w:rsid w:val="36FC0F5D"/>
    <w:rsid w:val="37476E97"/>
    <w:rsid w:val="375773F8"/>
    <w:rsid w:val="38A87E0A"/>
    <w:rsid w:val="393E32BB"/>
    <w:rsid w:val="3A347BA7"/>
    <w:rsid w:val="419B2857"/>
    <w:rsid w:val="41D71DA8"/>
    <w:rsid w:val="42ED11CB"/>
    <w:rsid w:val="46C91677"/>
    <w:rsid w:val="49D0216D"/>
    <w:rsid w:val="4BCF2B77"/>
    <w:rsid w:val="4C6611ED"/>
    <w:rsid w:val="541A6A29"/>
    <w:rsid w:val="552A0475"/>
    <w:rsid w:val="560B1CAC"/>
    <w:rsid w:val="578D10CB"/>
    <w:rsid w:val="5A5915AC"/>
    <w:rsid w:val="610B7004"/>
    <w:rsid w:val="66E01DF3"/>
    <w:rsid w:val="679B7E48"/>
    <w:rsid w:val="69D1246D"/>
    <w:rsid w:val="69E91EAC"/>
    <w:rsid w:val="6A12486A"/>
    <w:rsid w:val="70480FAF"/>
    <w:rsid w:val="70D54E41"/>
    <w:rsid w:val="74C46067"/>
    <w:rsid w:val="753C4E9B"/>
    <w:rsid w:val="772D6CD1"/>
    <w:rsid w:val="781113A7"/>
    <w:rsid w:val="791E6510"/>
    <w:rsid w:val="7C8D4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autoRedefine/>
    <w:unhideWhenUsed/>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spacing w:beforeAutospacing="1" w:afterAutospacing="1"/>
      <w:jc w:val="left"/>
    </w:pPr>
    <w:rPr>
      <w:rFonts w:cs="Times New Roman"/>
      <w:kern w:val="0"/>
      <w:sz w:val="24"/>
    </w:rPr>
  </w:style>
  <w:style w:type="paragraph" w:styleId="8">
    <w:name w:val="Title"/>
    <w:basedOn w:val="1"/>
    <w:qFormat/>
    <w:uiPriority w:val="0"/>
    <w:pPr>
      <w:spacing w:line="600" w:lineRule="exact"/>
      <w:ind w:firstLine="880" w:firstLineChars="200"/>
      <w:outlineLvl w:val="0"/>
    </w:pPr>
    <w:rPr>
      <w:rFonts w:ascii="仿宋" w:hAnsi="仿宋" w:cs="方正小标宋简体"/>
      <w:szCs w:val="44"/>
    </w:rPr>
  </w:style>
  <w:style w:type="paragraph" w:styleId="9">
    <w:name w:val="Body Text First Indent 2"/>
    <w:basedOn w:val="4"/>
    <w:autoRedefine/>
    <w:unhideWhenUsed/>
    <w:qFormat/>
    <w:uiPriority w:val="99"/>
    <w:pPr>
      <w:ind w:firstLine="420"/>
    </w:p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styleId="14">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firstLineChars="200"/>
    </w:pPr>
    <w:rPr>
      <w:rFonts w:ascii="Calibri" w:hAnsi="Calibri" w:eastAsia="宋体" w:cs="Times New Roman"/>
      <w:szCs w:val="22"/>
    </w:rPr>
  </w:style>
  <w:style w:type="paragraph" w:customStyle="1" w:styleId="1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Header or footer|1"/>
    <w:basedOn w:val="1"/>
    <w:autoRedefine/>
    <w:qFormat/>
    <w:uiPriority w:val="0"/>
    <w:pPr>
      <w:spacing w:line="322" w:lineRule="auto"/>
      <w:ind w:right="33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25D01-58F1-445E-B031-E45F339427B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5069</Words>
  <Characters>5276</Characters>
  <Lines>38</Lines>
  <Paragraphs>10</Paragraphs>
  <TotalTime>0</TotalTime>
  <ScaleCrop>false</ScaleCrop>
  <LinksUpToDate>false</LinksUpToDate>
  <CharactersWithSpaces>5282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2024-05-06T07:37:00Z</dcterms:created>
  <dc:creator>1402836399</dc:creator>
  <cp:lastModifiedBy>WPS_1621561607</cp:lastModifiedBy>
  <cp:lastPrinted>2025-06-18T07:29:00Z</cp:lastPrinted>
  <dcterms:modified xsi:type="dcterms:W3CDTF">2025-09-26T03:11:43Z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4B545E2748234224AA7888E0D1AE4147_13</vt:lpwstr>
  </property>
  <property fmtid="{D5CDD505-2E9C-101B-9397-08002B2CF9AE}" pid="4" name="KSOTemplateDocerSaveRecord">
    <vt:lpwstr>eyJoZGlkIjoiMWRkMTc4MmFlNmUxZWVhNzFlZDkxNWE1OWRlZTgxN2QiLCJ1c2VySWQiOiIxMjE0NTQ1Mjc2In0=</vt:lpwstr>
  </property>
</Properties>
</file>