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AE05">
      <w:pPr>
        <w:pStyle w:val="15"/>
        <w:jc w:val="center"/>
        <w:rPr>
          <w:rFonts w:ascii="Times New Roman" w:hAnsi="Times New Roman" w:cs="Times New Roman"/>
          <w:sz w:val="56"/>
          <w:szCs w:val="56"/>
        </w:rPr>
      </w:pPr>
      <w:bookmarkStart w:id="3" w:name="_GoBack"/>
      <w:bookmarkEnd w:id="3"/>
    </w:p>
    <w:p w14:paraId="0253C0B9">
      <w:pPr>
        <w:pStyle w:val="15"/>
        <w:jc w:val="center"/>
        <w:rPr>
          <w:rFonts w:ascii="Times New Roman" w:hAnsi="Times New Roman" w:cs="Times New Roman"/>
          <w:sz w:val="84"/>
          <w:szCs w:val="84"/>
        </w:rPr>
      </w:pPr>
    </w:p>
    <w:p w14:paraId="79D330E7">
      <w:pPr>
        <w:pStyle w:val="15"/>
        <w:jc w:val="center"/>
        <w:rPr>
          <w:rFonts w:ascii="Times New Roman" w:hAnsi="Times New Roman" w:cs="Times New Roman"/>
          <w:sz w:val="84"/>
          <w:szCs w:val="84"/>
        </w:rPr>
      </w:pPr>
    </w:p>
    <w:p w14:paraId="7E21D53B">
      <w:pPr>
        <w:pStyle w:val="15"/>
        <w:jc w:val="center"/>
        <w:rPr>
          <w:rFonts w:ascii="Times New Roman" w:hAnsi="Times New Roman" w:eastAsia="方正小标宋简体" w:cs="Times New Roman"/>
          <w:sz w:val="84"/>
          <w:szCs w:val="84"/>
        </w:rPr>
      </w:pPr>
      <w:r>
        <w:rPr>
          <w:rFonts w:ascii="Times New Roman" w:hAnsi="Times New Roman" w:eastAsia="方正小标宋简体" w:cs="Times New Roman"/>
          <w:sz w:val="84"/>
          <w:szCs w:val="84"/>
        </w:rPr>
        <w:t>2024年度</w:t>
      </w:r>
    </w:p>
    <w:p w14:paraId="175608D1">
      <w:pPr>
        <w:pStyle w:val="15"/>
        <w:jc w:val="center"/>
        <w:rPr>
          <w:rFonts w:ascii="Times New Roman" w:hAnsi="Times New Roman" w:eastAsia="方正小标宋简体" w:cs="Times New Roman"/>
          <w:sz w:val="84"/>
          <w:szCs w:val="84"/>
        </w:rPr>
      </w:pPr>
      <w:r>
        <w:rPr>
          <w:rFonts w:hint="eastAsia" w:ascii="Times New Roman" w:hAnsi="Times New Roman" w:eastAsia="方正小标宋简体" w:cs="Times New Roman"/>
          <w:sz w:val="84"/>
          <w:szCs w:val="84"/>
        </w:rPr>
        <w:t>怀化市生态环境局会同分局</w:t>
      </w:r>
      <w:r>
        <w:rPr>
          <w:rFonts w:ascii="Times New Roman" w:hAnsi="Times New Roman" w:eastAsia="方正小标宋简体" w:cs="Times New Roman"/>
          <w:sz w:val="84"/>
          <w:szCs w:val="84"/>
        </w:rPr>
        <w:t>部门决算</w:t>
      </w:r>
    </w:p>
    <w:p w14:paraId="43853B06">
      <w:pPr>
        <w:pStyle w:val="15"/>
        <w:jc w:val="center"/>
        <w:rPr>
          <w:rFonts w:ascii="Times New Roman" w:hAnsi="Times New Roman" w:eastAsia="方正小标宋_GBK" w:cs="Times New Roman"/>
          <w:sz w:val="56"/>
          <w:szCs w:val="56"/>
        </w:rPr>
      </w:pPr>
    </w:p>
    <w:p w14:paraId="450C93D7">
      <w:pPr>
        <w:pStyle w:val="15"/>
        <w:jc w:val="center"/>
        <w:rPr>
          <w:rFonts w:ascii="Times New Roman" w:hAnsi="Times New Roman" w:cs="Times New Roman"/>
          <w:sz w:val="56"/>
          <w:szCs w:val="56"/>
        </w:rPr>
      </w:pPr>
    </w:p>
    <w:p w14:paraId="7D2B5F84">
      <w:pPr>
        <w:pStyle w:val="15"/>
        <w:rPr>
          <w:rFonts w:ascii="Times New Roman" w:hAnsi="Times New Roman" w:cs="Times New Roman"/>
          <w:sz w:val="56"/>
          <w:szCs w:val="56"/>
        </w:rPr>
      </w:pPr>
    </w:p>
    <w:p w14:paraId="46707A50">
      <w:pPr>
        <w:pStyle w:val="15"/>
        <w:jc w:val="center"/>
        <w:rPr>
          <w:rFonts w:ascii="Times New Roman" w:hAnsi="Times New Roman" w:cs="Times New Roman"/>
          <w:sz w:val="32"/>
          <w:szCs w:val="32"/>
        </w:rPr>
      </w:pPr>
    </w:p>
    <w:p w14:paraId="20FB061B">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1F24933">
      <w:pPr>
        <w:pStyle w:val="15"/>
        <w:spacing w:line="600" w:lineRule="exact"/>
        <w:jc w:val="both"/>
        <w:rPr>
          <w:rFonts w:ascii="Times New Roman" w:hAnsi="Times New Roman" w:cs="Times New Roman"/>
          <w:b/>
          <w:sz w:val="36"/>
          <w:szCs w:val="28"/>
        </w:rPr>
      </w:pPr>
    </w:p>
    <w:p w14:paraId="6F475FB5">
      <w:pPr>
        <w:tabs>
          <w:tab w:val="left" w:pos="7693"/>
        </w:tabs>
        <w:sectPr>
          <w:footerReference r:id="rId3" w:type="default"/>
          <w:pgSz w:w="11906" w:h="16838"/>
          <w:pgMar w:top="1417" w:right="1588" w:bottom="1417" w:left="1588" w:header="851" w:footer="992" w:gutter="0"/>
          <w:pgNumType w:start="1"/>
          <w:cols w:space="425" w:num="1"/>
          <w:docGrid w:type="lines" w:linePitch="312" w:charSpace="0"/>
        </w:sectPr>
      </w:pPr>
    </w:p>
    <w:p w14:paraId="10EEFB5D">
      <w:pPr>
        <w:pStyle w:val="15"/>
        <w:spacing w:line="600" w:lineRule="exact"/>
        <w:jc w:val="both"/>
        <w:rPr>
          <w:rFonts w:ascii="Times New Roman" w:hAnsi="Times New Roman" w:cs="Times New Roman"/>
          <w:b/>
          <w:sz w:val="36"/>
          <w:szCs w:val="28"/>
        </w:rPr>
      </w:pPr>
    </w:p>
    <w:p w14:paraId="22D95211">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4C072B72">
      <w:pPr>
        <w:pStyle w:val="15"/>
        <w:spacing w:line="600" w:lineRule="exact"/>
        <w:jc w:val="center"/>
        <w:rPr>
          <w:rFonts w:ascii="Times New Roman" w:hAnsi="Times New Roman" w:cs="Times New Roman"/>
          <w:b/>
          <w:sz w:val="36"/>
          <w:szCs w:val="28"/>
        </w:rPr>
      </w:pPr>
    </w:p>
    <w:p w14:paraId="4CA94D31">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怀化市生态环境局会同分局</w:t>
      </w:r>
      <w:r>
        <w:rPr>
          <w:rFonts w:ascii="Times New Roman" w:hAnsi="Times New Roman" w:cs="Times New Roman"/>
          <w:bCs/>
          <w:sz w:val="32"/>
          <w:szCs w:val="32"/>
        </w:rPr>
        <w:t>部门概况</w:t>
      </w:r>
    </w:p>
    <w:p w14:paraId="1198880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26C000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6CCFA1F">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7E7AD01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5276BC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505A7B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30B6B8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34AE4BB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5E8821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D85C50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54183E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678555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BC437DB">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CE15F9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798AC4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18579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56C1CC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9D668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09724FF">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41EBFD9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C34F6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0D60B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8802073">
      <w:pPr>
        <w:autoSpaceDE w:val="0"/>
        <w:autoSpaceDN w:val="0"/>
        <w:adjustRightInd w:val="0"/>
        <w:spacing w:line="600" w:lineRule="exact"/>
        <w:jc w:val="left"/>
        <w:rPr>
          <w:rFonts w:ascii="仿宋" w:hAnsi="仿宋" w:eastAsia="仿宋" w:cs="Times New Roman"/>
          <w:color w:val="000000"/>
          <w:kern w:val="0"/>
          <w:sz w:val="32"/>
          <w:szCs w:val="32"/>
        </w:rPr>
      </w:pPr>
      <w:r>
        <w:rPr>
          <w:rFonts w:ascii="Times New Roman" w:hAnsi="Times New Roman" w:eastAsia="仿宋_GB2312" w:cs="Times New Roman"/>
          <w:color w:val="000000"/>
          <w:kern w:val="0"/>
          <w:sz w:val="32"/>
          <w:szCs w:val="32"/>
        </w:rPr>
        <w:t>九、</w:t>
      </w:r>
      <w:r>
        <w:rPr>
          <w:rFonts w:hint="eastAsia" w:ascii="仿宋_GB2312" w:hAnsi="仿宋" w:eastAsia="仿宋_GB2312" w:cs="黑体"/>
          <w:color w:val="000000"/>
          <w:kern w:val="0"/>
          <w:sz w:val="32"/>
          <w:szCs w:val="32"/>
        </w:rPr>
        <w:t>国有资本经营预算收入支出决算说明</w:t>
      </w:r>
    </w:p>
    <w:p w14:paraId="4C5013F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十、关于机关运行经费支出说明</w:t>
      </w:r>
    </w:p>
    <w:p w14:paraId="62E1F48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3FBEA12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十二、关于政府采购支出说明</w:t>
      </w:r>
    </w:p>
    <w:p w14:paraId="6A9AF6B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十三、关于国有资产占用情况说明</w:t>
      </w:r>
    </w:p>
    <w:p w14:paraId="1A31AD78">
      <w:pPr>
        <w:pStyle w:val="15"/>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w:t>
      </w:r>
      <w:r>
        <w:rPr>
          <w:rFonts w:ascii="Times New Roman" w:hAnsi="Times New Roman" w:eastAsia="仿宋_GB2312" w:cs="Times New Roman"/>
          <w:sz w:val="32"/>
          <w:szCs w:val="32"/>
        </w:rPr>
        <w:t>关于2024年度预算绩效管理情况的说明</w:t>
      </w:r>
    </w:p>
    <w:p w14:paraId="36835A7C">
      <w:pPr>
        <w:pStyle w:val="15"/>
        <w:spacing w:line="600" w:lineRule="exact"/>
        <w:rPr>
          <w:rFonts w:ascii="Times New Roman" w:hAnsi="Times New Roman" w:eastAsia="仿宋_GB2312" w:cs="Times New Roman"/>
          <w:sz w:val="32"/>
          <w:szCs w:val="32"/>
        </w:rPr>
      </w:pPr>
    </w:p>
    <w:p w14:paraId="211A28C8">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CCA1050">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624CA529">
      <w:pPr>
        <w:pStyle w:val="15"/>
        <w:spacing w:line="600" w:lineRule="exact"/>
        <w:rPr>
          <w:rFonts w:ascii="Times New Roman" w:hAnsi="Times New Roman" w:cs="Times New Roman"/>
          <w:bCs/>
          <w:sz w:val="28"/>
          <w:szCs w:val="28"/>
        </w:rPr>
      </w:pPr>
    </w:p>
    <w:p w14:paraId="1C077A23">
      <w:pPr>
        <w:jc w:val="center"/>
        <w:rPr>
          <w:rFonts w:ascii="Times New Roman" w:hAnsi="Times New Roman" w:cs="Times New Roman"/>
          <w:sz w:val="72"/>
          <w:szCs w:val="72"/>
        </w:rPr>
      </w:pPr>
    </w:p>
    <w:p w14:paraId="5D352C97">
      <w:pPr>
        <w:jc w:val="center"/>
        <w:rPr>
          <w:rFonts w:ascii="Times New Roman" w:hAnsi="Times New Roman" w:cs="Times New Roman"/>
          <w:sz w:val="72"/>
          <w:szCs w:val="72"/>
        </w:rPr>
      </w:pPr>
    </w:p>
    <w:p w14:paraId="4806866F">
      <w:pPr>
        <w:jc w:val="center"/>
        <w:rPr>
          <w:rFonts w:ascii="Times New Roman" w:hAnsi="Times New Roman" w:cs="Times New Roman"/>
          <w:sz w:val="72"/>
          <w:szCs w:val="72"/>
        </w:rPr>
      </w:pPr>
    </w:p>
    <w:p w14:paraId="35FDFDF5">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7189054">
      <w:pPr>
        <w:rPr>
          <w:rFonts w:ascii="Times New Roman" w:hAnsi="Times New Roman" w:eastAsia="方正小标宋_GBK" w:cs="Times New Roman"/>
          <w:sz w:val="72"/>
          <w:szCs w:val="72"/>
        </w:rPr>
      </w:pPr>
    </w:p>
    <w:p w14:paraId="33763D3D">
      <w:pPr>
        <w:pStyle w:val="2"/>
      </w:pPr>
    </w:p>
    <w:p w14:paraId="499E80A7">
      <w:pPr>
        <w:pStyle w:val="3"/>
        <w:ind w:firstLine="480"/>
      </w:pPr>
    </w:p>
    <w:p w14:paraId="4B91CF14">
      <w:pPr>
        <w:pStyle w:val="15"/>
        <w:spacing w:line="360" w:lineRule="auto"/>
        <w:jc w:val="center"/>
        <w:rPr>
          <w:rFonts w:ascii="Times New Roman" w:hAnsi="Times New Roman" w:eastAsia="方正小标宋_GBK" w:cs="Times New Roman"/>
          <w:sz w:val="84"/>
          <w:szCs w:val="84"/>
        </w:rPr>
      </w:pPr>
    </w:p>
    <w:p w14:paraId="7A8375C3">
      <w:pPr>
        <w:pStyle w:val="15"/>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第一部分</w:t>
      </w:r>
    </w:p>
    <w:p w14:paraId="4A9D45AF">
      <w:pPr>
        <w:pStyle w:val="15"/>
        <w:spacing w:line="360" w:lineRule="auto"/>
        <w:jc w:val="center"/>
        <w:rPr>
          <w:rFonts w:ascii="Times New Roman" w:hAnsi="Times New Roman" w:eastAsia="方正小标宋_GBK" w:cs="Times New Roman"/>
          <w:sz w:val="84"/>
          <w:szCs w:val="84"/>
        </w:rPr>
      </w:pPr>
    </w:p>
    <w:p w14:paraId="04E6CC68">
      <w:pPr>
        <w:pStyle w:val="15"/>
        <w:spacing w:line="360" w:lineRule="auto"/>
        <w:jc w:val="center"/>
        <w:rPr>
          <w:rFonts w:ascii="Times New Roman" w:hAnsi="Times New Roman" w:eastAsia="方正小标宋_GBK" w:cs="Times New Roman"/>
          <w:sz w:val="84"/>
          <w:szCs w:val="84"/>
        </w:rPr>
      </w:pPr>
      <w:r>
        <w:rPr>
          <w:rFonts w:hint="eastAsia" w:ascii="Times New Roman" w:hAnsi="Times New Roman" w:eastAsia="方正小标宋_GBK" w:cs="Times New Roman"/>
          <w:sz w:val="84"/>
          <w:szCs w:val="84"/>
        </w:rPr>
        <w:t>怀化市生态环境局会同分局</w:t>
      </w:r>
      <w:r>
        <w:rPr>
          <w:rFonts w:ascii="Times New Roman" w:hAnsi="Times New Roman" w:eastAsia="方正小标宋_GBK" w:cs="Times New Roman"/>
          <w:sz w:val="84"/>
          <w:szCs w:val="84"/>
        </w:rPr>
        <w:t>概况</w:t>
      </w:r>
    </w:p>
    <w:p w14:paraId="0D2BCBD5">
      <w:pPr>
        <w:widowControl/>
        <w:jc w:val="left"/>
        <w:rPr>
          <w:rFonts w:ascii="Times New Roman" w:hAnsi="Times New Roman" w:eastAsia="方正小标宋_GBK" w:cs="Times New Roman"/>
          <w:color w:val="000000"/>
          <w:kern w:val="0"/>
          <w:sz w:val="84"/>
          <w:szCs w:val="84"/>
        </w:rPr>
      </w:pPr>
      <w:r>
        <w:rPr>
          <w:rFonts w:ascii="Times New Roman" w:hAnsi="Times New Roman" w:eastAsia="方正小标宋_GBK" w:cs="Times New Roman"/>
          <w:sz w:val="84"/>
          <w:szCs w:val="84"/>
        </w:rPr>
        <w:br w:type="page"/>
      </w:r>
    </w:p>
    <w:p w14:paraId="781EEF63">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C02D9C8">
      <w:pPr>
        <w:pStyle w:val="10"/>
        <w:rPr>
          <w:kern w:val="0"/>
        </w:rPr>
      </w:pPr>
      <w:r>
        <w:rPr>
          <w:rFonts w:hint="eastAsia"/>
          <w:kern w:val="0"/>
        </w:rPr>
        <w:t>（一) 贯彻执行国家生态环境基本制度。会同同级有关部门拟订生态环境保护规划、规范、制度，经批准的组织实施；会同同级有关部门编制并监督实施重点区域、流域、饮用水水源地生态环境规划和水功能区划。</w:t>
      </w:r>
    </w:p>
    <w:p w14:paraId="72CE4F8A">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（二)负责统筹协调和监督管理生态环境保护局工作。组织协调环境污染事故和生态破坏事件的调查处理，指导协调突发生态环境事件的应急、预警工作，参与实施生态环境损害赔偿制度。</w:t>
      </w:r>
    </w:p>
    <w:p w14:paraId="0F74A3DB">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（三)负责监督管理减排目标的落实。组织制度并监督实施本辖区污染物排放总量控制计划及相关措施。</w:t>
      </w:r>
    </w:p>
    <w:p w14:paraId="46CBCC66">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（四)负责环境污染防治的监督管理。组织拟订本辖区大气、水、土壤、噪声、光、恶臭、固体废物、废弃化学品、危险废物、机动车等的污染防治管理制度并监督实施。</w:t>
      </w:r>
    </w:p>
    <w:p w14:paraId="1066890E">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（五)指导协调和监督生态保护修复工作。监督管理对生态环境有影响的自然资源开发利用活动、重要生态环境建设和生态破坏恢复工作；指导协调和监督各类自然保护地的生态环境保护工作。</w:t>
      </w:r>
    </w:p>
    <w:p w14:paraId="3941689F">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（六)负责核与辐射安全的监督管理。牵头核安全工作协调机制有关工作，参与核事故应急处理，监督管理核设施、核技术应用、电磁辐射、伴有放射性矿产资源开发利用活动中的污染防治。</w:t>
      </w:r>
    </w:p>
    <w:p w14:paraId="5AC68907">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（七)负责生态环境准入的监督管理。组织实施生态环境准入清单；按规定审批或审查开发建设区域、规划、项目环境影响评价文件。</w:t>
      </w:r>
    </w:p>
    <w:p w14:paraId="19FCD1D3">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（八)负责生态环境监测工作。组织实施生态环境执法监测、应急监测、环境质量监测、污染源监测。</w:t>
      </w:r>
    </w:p>
    <w:p w14:paraId="6633BBA3">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九)协调配合做好中央和省生态环境保护督察相关工作。指导、协调、督促生态环境保护督察反馈问题整改工作室；对同级有关部门贯彻落实生态环境保护决策部署情况、对生态环境保护督察反馈问题整改扁平中、对“党政同责”“一岗双责”落实落实情况进行督查督办，对贯彻落实不到位、整改不力的提请问责。</w:t>
      </w:r>
    </w:p>
    <w:p w14:paraId="665D200A">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 xml:space="preserve">（十)统一负责生态环境保护综合行政执法。组织开展生态环境保护执法检查活动，查处生态环境违法问题。                      </w:t>
      </w:r>
    </w:p>
    <w:p w14:paraId="25976192">
      <w:pPr>
        <w:widowControl/>
        <w:autoSpaceDE w:val="0"/>
        <w:spacing w:line="560" w:lineRule="exact"/>
        <w:ind w:firstLine="684" w:firstLineChars="200"/>
        <w:rPr>
          <w:rFonts w:ascii="仿宋" w:hAnsi="仿宋" w:eastAsia="仿宋" w:cs="仿宋"/>
          <w:color w:val="000000"/>
          <w:spacing w:val="11"/>
          <w:kern w:val="0"/>
          <w:sz w:val="32"/>
          <w:szCs w:val="32"/>
        </w:rPr>
      </w:pPr>
      <w:r>
        <w:rPr>
          <w:rFonts w:hint="eastAsia" w:ascii="仿宋" w:hAnsi="仿宋" w:eastAsia="仿宋" w:cs="仿宋"/>
          <w:color w:val="000000"/>
          <w:spacing w:val="11"/>
          <w:kern w:val="0"/>
          <w:sz w:val="32"/>
          <w:szCs w:val="32"/>
        </w:rPr>
        <w:t>（十一)组织指导和协调生态环境宣传教育工作。推动社会组织和公众参与生态环境保护；开展生态环境科技工作，组织生态环境重大科学研究和技术工程示范。</w:t>
      </w:r>
    </w:p>
    <w:p w14:paraId="0AE0DDF2">
      <w:pPr>
        <w:widowControl/>
        <w:autoSpaceDE w:val="0"/>
        <w:spacing w:line="560" w:lineRule="exact"/>
        <w:ind w:firstLine="684" w:firstLineChars="200"/>
        <w:rPr>
          <w:rFonts w:ascii="仿宋" w:hAnsi="仿宋" w:eastAsia="仿宋" w:cs="仿宋"/>
          <w:spacing w:val="20"/>
          <w:sz w:val="32"/>
          <w:szCs w:val="32"/>
        </w:rPr>
      </w:pPr>
      <w:r>
        <w:rPr>
          <w:rFonts w:hint="eastAsia" w:ascii="仿宋" w:hAnsi="仿宋" w:eastAsia="仿宋" w:cs="仿宋"/>
          <w:color w:val="000000"/>
          <w:spacing w:val="11"/>
          <w:kern w:val="0"/>
          <w:sz w:val="32"/>
          <w:szCs w:val="32"/>
        </w:rPr>
        <w:t>（十二)完成市生态环境局和县市区委、政府交办的其他工作。</w:t>
      </w:r>
    </w:p>
    <w:p w14:paraId="723487F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3AD7CFA">
      <w:pPr>
        <w:widowControl/>
        <w:spacing w:line="560" w:lineRule="exact"/>
        <w:ind w:firstLine="640" w:firstLineChars="200"/>
        <w:jc w:val="left"/>
        <w:rPr>
          <w:rFonts w:ascii="仿宋" w:hAnsi="仿宋" w:eastAsia="仿宋" w:cs="仿宋"/>
          <w:spacing w:val="11"/>
          <w:sz w:val="32"/>
          <w:szCs w:val="32"/>
        </w:rPr>
      </w:pPr>
      <w:r>
        <w:rPr>
          <w:rFonts w:ascii="Times New Roman" w:hAnsi="Times New Roman" w:eastAsia="仿宋_GB2312" w:cs="Times New Roman"/>
          <w:bCs/>
          <w:kern w:val="0"/>
          <w:sz w:val="32"/>
          <w:szCs w:val="32"/>
        </w:rPr>
        <w:t>（一）内设机构设置。</w:t>
      </w:r>
      <w:r>
        <w:rPr>
          <w:rFonts w:hint="eastAsia" w:ascii="仿宋" w:hAnsi="仿宋" w:eastAsia="仿宋" w:cs="仿宋"/>
          <w:color w:val="000000"/>
          <w:spacing w:val="11"/>
          <w:kern w:val="0"/>
          <w:sz w:val="32"/>
          <w:szCs w:val="32"/>
        </w:rPr>
        <w:t>怀化市生态环境局会同分局</w:t>
      </w:r>
      <w:r>
        <w:rPr>
          <w:rFonts w:hint="eastAsia" w:ascii="仿宋" w:hAnsi="仿宋" w:eastAsia="仿宋" w:cs="仿宋"/>
          <w:bCs/>
          <w:spacing w:val="11"/>
          <w:kern w:val="0"/>
          <w:sz w:val="32"/>
          <w:szCs w:val="32"/>
        </w:rPr>
        <w:t>内设机构4个，为</w:t>
      </w:r>
      <w:r>
        <w:rPr>
          <w:rFonts w:hint="eastAsia" w:ascii="仿宋" w:hAnsi="仿宋" w:eastAsia="仿宋" w:cs="仿宋"/>
          <w:color w:val="000000"/>
          <w:spacing w:val="11"/>
          <w:kern w:val="0"/>
          <w:sz w:val="32"/>
          <w:szCs w:val="32"/>
        </w:rPr>
        <w:t>办公室、环保督察协调股、行政审批股（法制宣传股）、污染防治股。 核定总编制数 31 名，其中：行政编制 7 名；全额拨款事业编制 24 名。全局实有在编人员 26名，退休人员15名。本部门车辆 2台，其中：</w:t>
      </w:r>
      <w:r>
        <w:rPr>
          <w:rFonts w:hint="eastAsia" w:ascii="仿宋" w:hAnsi="仿宋" w:eastAsia="仿宋" w:cs="仿宋"/>
          <w:spacing w:val="11"/>
          <w:sz w:val="32"/>
          <w:szCs w:val="32"/>
        </w:rPr>
        <w:t>公务执法用车1台，监测专用车1台。</w:t>
      </w:r>
    </w:p>
    <w:p w14:paraId="4222D5E3">
      <w:pPr>
        <w:widowControl/>
        <w:spacing w:line="560" w:lineRule="exact"/>
        <w:ind w:firstLine="640" w:firstLineChars="200"/>
        <w:rPr>
          <w:rFonts w:ascii="仿宋" w:hAnsi="仿宋" w:eastAsia="仿宋" w:cs="仿宋"/>
          <w:bCs/>
          <w:spacing w:val="6"/>
          <w:kern w:val="0"/>
          <w:sz w:val="32"/>
          <w:szCs w:val="32"/>
        </w:rPr>
      </w:pPr>
      <w:r>
        <w:rPr>
          <w:rFonts w:ascii="Times New Roman" w:hAnsi="Times New Roman" w:eastAsia="仿宋_GB2312" w:cs="Times New Roman"/>
          <w:bCs/>
          <w:kern w:val="0"/>
          <w:sz w:val="32"/>
          <w:szCs w:val="32"/>
        </w:rPr>
        <w:t>（二）决算单位构成。</w:t>
      </w:r>
      <w:r>
        <w:rPr>
          <w:rFonts w:hint="eastAsia" w:ascii="仿宋" w:hAnsi="仿宋" w:eastAsia="仿宋" w:cs="仿宋"/>
          <w:color w:val="000000"/>
          <w:spacing w:val="11"/>
          <w:kern w:val="0"/>
          <w:sz w:val="32"/>
          <w:szCs w:val="32"/>
        </w:rPr>
        <w:t>怀化市生态环境局会同分局</w:t>
      </w:r>
      <w:r>
        <w:rPr>
          <w:rFonts w:hint="eastAsia" w:ascii="仿宋" w:hAnsi="仿宋" w:eastAsia="仿宋" w:cs="仿宋"/>
          <w:bCs/>
          <w:spacing w:val="11"/>
          <w:kern w:val="0"/>
          <w:sz w:val="32"/>
          <w:szCs w:val="32"/>
        </w:rPr>
        <w:t>202</w:t>
      </w:r>
      <w:r>
        <w:rPr>
          <w:rFonts w:hint="eastAsia" w:ascii="仿宋" w:hAnsi="仿宋" w:eastAsia="仿宋" w:cs="仿宋"/>
          <w:bCs/>
          <w:spacing w:val="11"/>
          <w:kern w:val="0"/>
          <w:sz w:val="32"/>
          <w:szCs w:val="32"/>
          <w:lang w:val="en-US" w:eastAsia="zh-CN"/>
        </w:rPr>
        <w:t>4</w:t>
      </w:r>
      <w:r>
        <w:rPr>
          <w:rFonts w:hint="eastAsia" w:ascii="仿宋" w:hAnsi="仿宋" w:eastAsia="仿宋" w:cs="仿宋"/>
          <w:bCs/>
          <w:spacing w:val="11"/>
          <w:kern w:val="0"/>
          <w:sz w:val="32"/>
          <w:szCs w:val="32"/>
        </w:rPr>
        <w:t>年部门决算汇总公开单位构成包括：</w:t>
      </w:r>
      <w:r>
        <w:rPr>
          <w:rFonts w:hint="eastAsia" w:ascii="仿宋" w:hAnsi="仿宋" w:eastAsia="仿宋" w:cs="仿宋"/>
          <w:color w:val="000000"/>
          <w:spacing w:val="11"/>
          <w:kern w:val="0"/>
          <w:sz w:val="32"/>
          <w:szCs w:val="32"/>
        </w:rPr>
        <w:t>怀化市生态环境局会同</w:t>
      </w:r>
      <w:r>
        <w:rPr>
          <w:rFonts w:hint="eastAsia" w:ascii="仿宋" w:hAnsi="仿宋" w:eastAsia="仿宋" w:cs="仿宋"/>
          <w:color w:val="000000"/>
          <w:spacing w:val="6"/>
          <w:kern w:val="0"/>
          <w:sz w:val="32"/>
          <w:szCs w:val="32"/>
        </w:rPr>
        <w:t>分局</w:t>
      </w:r>
      <w:r>
        <w:rPr>
          <w:rFonts w:hint="eastAsia" w:ascii="仿宋" w:hAnsi="仿宋" w:eastAsia="仿宋" w:cs="仿宋"/>
          <w:bCs/>
          <w:spacing w:val="6"/>
          <w:kern w:val="0"/>
          <w:sz w:val="32"/>
          <w:szCs w:val="32"/>
        </w:rPr>
        <w:t>本级。</w:t>
      </w:r>
    </w:p>
    <w:p w14:paraId="51752FAE">
      <w:pPr>
        <w:widowControl/>
        <w:spacing w:line="600" w:lineRule="exact"/>
        <w:rPr>
          <w:rFonts w:ascii="Times New Roman" w:hAnsi="Times New Roman" w:eastAsia="仿宋_GB2312" w:cs="Times New Roman"/>
          <w:bCs/>
          <w:kern w:val="0"/>
          <w:sz w:val="32"/>
          <w:szCs w:val="32"/>
        </w:rPr>
      </w:pPr>
    </w:p>
    <w:p w14:paraId="58210F70">
      <w:pPr>
        <w:jc w:val="left"/>
        <w:rPr>
          <w:rFonts w:ascii="Times New Roman" w:hAnsi="Times New Roman" w:eastAsia="仿宋_GB2312" w:cs="Times New Roman"/>
          <w:sz w:val="28"/>
          <w:szCs w:val="32"/>
        </w:rPr>
      </w:pPr>
    </w:p>
    <w:p w14:paraId="6DF2F0A9">
      <w:pPr>
        <w:jc w:val="center"/>
        <w:rPr>
          <w:rFonts w:ascii="Times New Roman" w:hAnsi="Times New Roman" w:eastAsia="黑体" w:cs="Times New Roman"/>
          <w:sz w:val="28"/>
          <w:szCs w:val="28"/>
        </w:rPr>
      </w:pPr>
    </w:p>
    <w:p w14:paraId="6B84EA1A">
      <w:pPr>
        <w:jc w:val="center"/>
        <w:rPr>
          <w:rFonts w:ascii="Times New Roman" w:hAnsi="Times New Roman" w:eastAsia="黑体" w:cs="Times New Roman"/>
          <w:sz w:val="28"/>
          <w:szCs w:val="28"/>
        </w:rPr>
      </w:pPr>
    </w:p>
    <w:p w14:paraId="78984F82">
      <w:pPr>
        <w:jc w:val="center"/>
        <w:rPr>
          <w:rFonts w:ascii="Times New Roman" w:hAnsi="Times New Roman" w:eastAsia="黑体" w:cs="Times New Roman"/>
          <w:sz w:val="28"/>
          <w:szCs w:val="28"/>
        </w:rPr>
      </w:pPr>
    </w:p>
    <w:p w14:paraId="18740BF3">
      <w:pPr>
        <w:jc w:val="center"/>
        <w:rPr>
          <w:rFonts w:ascii="Times New Roman" w:hAnsi="Times New Roman" w:eastAsia="黑体" w:cs="Times New Roman"/>
          <w:sz w:val="28"/>
          <w:szCs w:val="28"/>
        </w:rPr>
      </w:pPr>
    </w:p>
    <w:p w14:paraId="6931FED5">
      <w:pPr>
        <w:jc w:val="center"/>
        <w:rPr>
          <w:rFonts w:ascii="Times New Roman" w:hAnsi="Times New Roman" w:eastAsia="黑体" w:cs="Times New Roman"/>
          <w:sz w:val="28"/>
          <w:szCs w:val="28"/>
        </w:rPr>
      </w:pPr>
    </w:p>
    <w:p w14:paraId="32611219">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5CA9309">
      <w:pPr>
        <w:pStyle w:val="15"/>
        <w:jc w:val="center"/>
        <w:rPr>
          <w:rFonts w:ascii="Times New Roman" w:hAnsi="Times New Roman" w:eastAsia="方正小标宋_GBK" w:cs="Times New Roman"/>
          <w:sz w:val="84"/>
          <w:szCs w:val="84"/>
        </w:rPr>
      </w:pPr>
    </w:p>
    <w:p w14:paraId="64241DE7">
      <w:pPr>
        <w:pStyle w:val="15"/>
        <w:jc w:val="center"/>
        <w:rPr>
          <w:rFonts w:ascii="Times New Roman" w:hAnsi="Times New Roman" w:eastAsia="方正小标宋_GBK" w:cs="Times New Roman"/>
          <w:sz w:val="84"/>
          <w:szCs w:val="84"/>
        </w:rPr>
      </w:pPr>
    </w:p>
    <w:p w14:paraId="656745C1">
      <w:pPr>
        <w:pStyle w:val="15"/>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第二部分</w:t>
      </w:r>
    </w:p>
    <w:p w14:paraId="46A5133A">
      <w:pPr>
        <w:pStyle w:val="15"/>
        <w:jc w:val="center"/>
        <w:rPr>
          <w:rFonts w:ascii="Times New Roman" w:hAnsi="Times New Roman" w:eastAsia="方正小标宋_GBK" w:cs="Times New Roman"/>
          <w:sz w:val="84"/>
          <w:szCs w:val="84"/>
        </w:rPr>
      </w:pPr>
    </w:p>
    <w:p w14:paraId="22690820">
      <w:pPr>
        <w:pStyle w:val="15"/>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部门决算表</w:t>
      </w:r>
    </w:p>
    <w:p w14:paraId="60066400">
      <w:pPr>
        <w:widowControl/>
        <w:jc w:val="left"/>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br w:type="page"/>
      </w:r>
    </w:p>
    <w:p w14:paraId="1DC5DAE2">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AB6B14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5748E614">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1"/>
        <w:tblW w:w="14896" w:type="dxa"/>
        <w:jc w:val="center"/>
        <w:tblLayout w:type="fixed"/>
        <w:tblCellMar>
          <w:top w:w="0" w:type="dxa"/>
          <w:left w:w="108" w:type="dxa"/>
          <w:bottom w:w="0" w:type="dxa"/>
          <w:right w:w="108" w:type="dxa"/>
        </w:tblCellMar>
      </w:tblPr>
      <w:tblGrid>
        <w:gridCol w:w="5416"/>
        <w:gridCol w:w="893"/>
        <w:gridCol w:w="1429"/>
        <w:gridCol w:w="4836"/>
        <w:gridCol w:w="893"/>
        <w:gridCol w:w="1429"/>
      </w:tblGrid>
      <w:tr w14:paraId="6BEA331B">
        <w:tblPrEx>
          <w:tblCellMar>
            <w:top w:w="0" w:type="dxa"/>
            <w:left w:w="108" w:type="dxa"/>
            <w:bottom w:w="0" w:type="dxa"/>
            <w:right w:w="108" w:type="dxa"/>
          </w:tblCellMar>
        </w:tblPrEx>
        <w:trPr>
          <w:trHeight w:val="447" w:hRule="exact"/>
          <w:jc w:val="center"/>
        </w:trPr>
        <w:tc>
          <w:tcPr>
            <w:tcW w:w="773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28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71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81A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1A3016BE">
        <w:tblPrEx>
          <w:tblCellMar>
            <w:top w:w="0" w:type="dxa"/>
            <w:left w:w="108" w:type="dxa"/>
            <w:bottom w:w="0" w:type="dxa"/>
            <w:right w:w="108" w:type="dxa"/>
          </w:tblCellMar>
        </w:tblPrEx>
        <w:trPr>
          <w:trHeight w:val="567"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F3EF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CD50B">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F177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7BE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3880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9E0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033A4DB7">
        <w:tblPrEx>
          <w:tblCellMar>
            <w:top w:w="0" w:type="dxa"/>
            <w:left w:w="108" w:type="dxa"/>
            <w:bottom w:w="0" w:type="dxa"/>
            <w:right w:w="108" w:type="dxa"/>
          </w:tblCellMar>
        </w:tblPrEx>
        <w:trPr>
          <w:trHeight w:val="561"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D25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D4987">
            <w:pPr>
              <w:jc w:val="center"/>
              <w:rPr>
                <w:rFonts w:ascii="Times New Roman" w:hAnsi="Times New Roman" w:eastAsia="仿宋_GB2312" w:cs="Times New Roman"/>
                <w:color w:val="000000"/>
                <w:sz w:val="24"/>
                <w:szCs w:val="24"/>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D9B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CAA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47D5E">
            <w:pPr>
              <w:jc w:val="center"/>
              <w:rPr>
                <w:rFonts w:ascii="Times New Roman" w:hAnsi="Times New Roman" w:eastAsia="仿宋_GB2312" w:cs="Times New Roman"/>
                <w:color w:val="000000"/>
                <w:sz w:val="24"/>
                <w:szCs w:val="24"/>
              </w:rPr>
            </w:pPr>
          </w:p>
        </w:tc>
        <w:tc>
          <w:tcPr>
            <w:tcW w:w="14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448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9FE9F15">
        <w:tblPrEx>
          <w:tblCellMar>
            <w:top w:w="0" w:type="dxa"/>
            <w:left w:w="108" w:type="dxa"/>
            <w:bottom w:w="0" w:type="dxa"/>
            <w:right w:w="108" w:type="dxa"/>
          </w:tblCellMar>
        </w:tblPrEx>
        <w:trPr>
          <w:trHeight w:val="555"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59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201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9F79">
            <w:pPr>
              <w:jc w:val="center"/>
              <w:rPr>
                <w:rFonts w:ascii="宋体" w:hAnsi="宋体" w:eastAsia="宋体" w:cs="宋体"/>
                <w:color w:val="000000"/>
                <w:sz w:val="22"/>
              </w:rPr>
            </w:pPr>
            <w:r>
              <w:rPr>
                <w:rFonts w:hint="eastAsia" w:ascii="宋体" w:hAnsi="宋体" w:eastAsia="宋体" w:cs="宋体"/>
                <w:color w:val="000000"/>
                <w:sz w:val="22"/>
              </w:rPr>
              <w:t>296.10</w:t>
            </w:r>
          </w:p>
        </w:tc>
        <w:tc>
          <w:tcPr>
            <w:tcW w:w="4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065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45A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r>
              <w:rPr>
                <w:rFonts w:hint="eastAsia" w:ascii="Times New Roman" w:hAnsi="Times New Roman" w:eastAsia="仿宋_GB2312" w:cs="Times New Roman"/>
                <w:color w:val="000000"/>
                <w:kern w:val="0"/>
                <w:sz w:val="22"/>
              </w:rPr>
              <w:t>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DE6DB">
            <w:pPr>
              <w:jc w:val="center"/>
              <w:rPr>
                <w:rFonts w:ascii="宋体" w:hAnsi="宋体" w:eastAsia="宋体" w:cs="宋体"/>
                <w:color w:val="000000"/>
                <w:sz w:val="22"/>
              </w:rPr>
            </w:pPr>
            <w:r>
              <w:rPr>
                <w:rFonts w:hint="eastAsia" w:ascii="宋体" w:hAnsi="宋体" w:eastAsia="宋体" w:cs="宋体"/>
                <w:sz w:val="24"/>
                <w:szCs w:val="24"/>
              </w:rPr>
              <w:t>0.00</w:t>
            </w:r>
          </w:p>
        </w:tc>
      </w:tr>
      <w:tr w14:paraId="50E88E0A">
        <w:tblPrEx>
          <w:tblCellMar>
            <w:top w:w="0" w:type="dxa"/>
            <w:left w:w="108" w:type="dxa"/>
            <w:bottom w:w="0" w:type="dxa"/>
            <w:right w:w="108" w:type="dxa"/>
          </w:tblCellMar>
        </w:tblPrEx>
        <w:trPr>
          <w:trHeight w:val="563"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9C2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7AB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3D3B">
            <w:pPr>
              <w:jc w:val="center"/>
              <w:rPr>
                <w:rFonts w:ascii="宋体" w:hAnsi="宋体" w:eastAsia="宋体" w:cs="宋体"/>
                <w:color w:val="000000"/>
                <w:sz w:val="22"/>
              </w:rPr>
            </w:pPr>
            <w:r>
              <w:rPr>
                <w:rFonts w:hint="eastAsia" w:ascii="宋体" w:hAnsi="宋体" w:eastAsia="宋体" w:cs="宋体"/>
                <w:sz w:val="24"/>
                <w:szCs w:val="24"/>
              </w:rPr>
              <w:t>0.00</w:t>
            </w:r>
          </w:p>
        </w:tc>
        <w:tc>
          <w:tcPr>
            <w:tcW w:w="4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948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8F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r>
              <w:rPr>
                <w:rFonts w:hint="eastAsia" w:ascii="Times New Roman" w:hAnsi="Times New Roman" w:eastAsia="仿宋_GB2312" w:cs="Times New Roman"/>
                <w:color w:val="000000"/>
                <w:kern w:val="0"/>
                <w:sz w:val="22"/>
              </w:rPr>
              <w:t>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79C9">
            <w:pPr>
              <w:jc w:val="center"/>
              <w:rPr>
                <w:rFonts w:ascii="宋体" w:hAnsi="宋体" w:eastAsia="宋体" w:cs="宋体"/>
                <w:color w:val="000000"/>
                <w:sz w:val="22"/>
              </w:rPr>
            </w:pPr>
            <w:r>
              <w:rPr>
                <w:rFonts w:hint="eastAsia" w:ascii="宋体" w:hAnsi="宋体" w:eastAsia="宋体" w:cs="宋体"/>
                <w:sz w:val="24"/>
                <w:szCs w:val="24"/>
              </w:rPr>
              <w:t>0.00</w:t>
            </w:r>
          </w:p>
        </w:tc>
      </w:tr>
      <w:tr w14:paraId="70EF357B">
        <w:tblPrEx>
          <w:tblCellMar>
            <w:top w:w="0" w:type="dxa"/>
            <w:left w:w="108" w:type="dxa"/>
            <w:bottom w:w="0" w:type="dxa"/>
            <w:right w:w="108" w:type="dxa"/>
          </w:tblCellMar>
        </w:tblPrEx>
        <w:trPr>
          <w:trHeight w:val="557"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40D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40A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D419">
            <w:pPr>
              <w:jc w:val="center"/>
              <w:rPr>
                <w:rFonts w:ascii="宋体" w:hAnsi="宋体" w:eastAsia="宋体" w:cs="宋体"/>
                <w:color w:val="000000"/>
                <w:sz w:val="22"/>
              </w:rPr>
            </w:pPr>
            <w:r>
              <w:rPr>
                <w:rFonts w:hint="eastAsia" w:ascii="宋体" w:hAnsi="宋体" w:eastAsia="宋体" w:cs="宋体"/>
                <w:sz w:val="24"/>
                <w:szCs w:val="24"/>
              </w:rPr>
              <w:t>0.00</w:t>
            </w:r>
          </w:p>
        </w:tc>
        <w:tc>
          <w:tcPr>
            <w:tcW w:w="4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D7A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67A92">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20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78D6">
            <w:pPr>
              <w:jc w:val="center"/>
              <w:rPr>
                <w:rFonts w:ascii="宋体" w:hAnsi="宋体" w:eastAsia="宋体" w:cs="宋体"/>
                <w:color w:val="000000"/>
                <w:sz w:val="22"/>
              </w:rPr>
            </w:pPr>
            <w:r>
              <w:rPr>
                <w:rFonts w:hint="eastAsia" w:ascii="宋体" w:hAnsi="宋体" w:eastAsia="宋体" w:cs="宋体"/>
                <w:sz w:val="24"/>
                <w:szCs w:val="24"/>
              </w:rPr>
              <w:t>0.00</w:t>
            </w:r>
          </w:p>
        </w:tc>
      </w:tr>
      <w:tr w14:paraId="0DF0213E">
        <w:tblPrEx>
          <w:tblCellMar>
            <w:top w:w="0" w:type="dxa"/>
            <w:left w:w="108" w:type="dxa"/>
            <w:bottom w:w="0" w:type="dxa"/>
            <w:right w:w="108" w:type="dxa"/>
          </w:tblCellMar>
        </w:tblPrEx>
        <w:trPr>
          <w:trHeight w:val="565"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E6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AD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D18A">
            <w:pPr>
              <w:jc w:val="center"/>
              <w:rPr>
                <w:rFonts w:ascii="宋体" w:hAnsi="宋体" w:eastAsia="宋体" w:cs="宋体"/>
                <w:color w:val="000000"/>
                <w:sz w:val="22"/>
              </w:rPr>
            </w:pPr>
            <w:r>
              <w:rPr>
                <w:rFonts w:hint="eastAsia" w:ascii="宋体" w:hAnsi="宋体" w:eastAsia="宋体" w:cs="宋体"/>
                <w:sz w:val="24"/>
                <w:szCs w:val="24"/>
              </w:rPr>
              <w:t>0.00</w:t>
            </w:r>
          </w:p>
        </w:tc>
        <w:tc>
          <w:tcPr>
            <w:tcW w:w="4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C55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4A492">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21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243A">
            <w:pPr>
              <w:jc w:val="center"/>
              <w:rPr>
                <w:rFonts w:ascii="宋体" w:hAnsi="宋体" w:eastAsia="宋体" w:cs="宋体"/>
                <w:color w:val="000000"/>
                <w:sz w:val="22"/>
              </w:rPr>
            </w:pPr>
            <w:r>
              <w:rPr>
                <w:rFonts w:hint="eastAsia" w:ascii="宋体" w:hAnsi="宋体" w:eastAsia="宋体" w:cs="宋体"/>
                <w:sz w:val="24"/>
                <w:szCs w:val="24"/>
              </w:rPr>
              <w:t>0.00</w:t>
            </w:r>
          </w:p>
        </w:tc>
      </w:tr>
      <w:tr w14:paraId="24FE8B21">
        <w:tblPrEx>
          <w:tblCellMar>
            <w:top w:w="0" w:type="dxa"/>
            <w:left w:w="108" w:type="dxa"/>
            <w:bottom w:w="0" w:type="dxa"/>
            <w:right w:w="108" w:type="dxa"/>
          </w:tblCellMar>
        </w:tblPrEx>
        <w:trPr>
          <w:trHeight w:val="574"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23B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EB0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9FA3">
            <w:pPr>
              <w:jc w:val="center"/>
              <w:rPr>
                <w:rFonts w:ascii="宋体" w:hAnsi="宋体" w:eastAsia="宋体" w:cs="宋体"/>
                <w:color w:val="000000"/>
                <w:sz w:val="22"/>
              </w:rPr>
            </w:pPr>
            <w:r>
              <w:rPr>
                <w:rFonts w:hint="eastAsia" w:ascii="宋体" w:hAnsi="宋体" w:eastAsia="宋体" w:cs="宋体"/>
                <w:sz w:val="24"/>
                <w:szCs w:val="24"/>
              </w:rPr>
              <w:t>0.00</w:t>
            </w:r>
          </w:p>
        </w:tc>
        <w:tc>
          <w:tcPr>
            <w:tcW w:w="4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C956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EA1C5">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22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BA4F">
            <w:pPr>
              <w:jc w:val="center"/>
              <w:rPr>
                <w:rFonts w:ascii="宋体" w:hAnsi="宋体" w:eastAsia="宋体" w:cs="宋体"/>
                <w:color w:val="000000"/>
                <w:sz w:val="22"/>
              </w:rPr>
            </w:pPr>
            <w:r>
              <w:rPr>
                <w:rFonts w:hint="eastAsia" w:ascii="宋体" w:hAnsi="宋体" w:eastAsia="宋体" w:cs="宋体"/>
                <w:sz w:val="24"/>
                <w:szCs w:val="24"/>
              </w:rPr>
              <w:t>0.00</w:t>
            </w:r>
          </w:p>
        </w:tc>
      </w:tr>
      <w:tr w14:paraId="310FFCB8">
        <w:tblPrEx>
          <w:tblCellMar>
            <w:top w:w="0" w:type="dxa"/>
            <w:left w:w="108" w:type="dxa"/>
            <w:bottom w:w="0" w:type="dxa"/>
            <w:right w:w="108" w:type="dxa"/>
          </w:tblCellMar>
        </w:tblPrEx>
        <w:trPr>
          <w:trHeight w:val="554"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C5EF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0F6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349D">
            <w:pPr>
              <w:jc w:val="center"/>
              <w:rPr>
                <w:rFonts w:ascii="宋体" w:hAnsi="宋体" w:eastAsia="宋体" w:cs="宋体"/>
                <w:color w:val="000000"/>
                <w:sz w:val="22"/>
              </w:rPr>
            </w:pPr>
            <w:r>
              <w:rPr>
                <w:rFonts w:hint="eastAsia" w:ascii="宋体" w:hAnsi="宋体" w:eastAsia="宋体" w:cs="宋体"/>
                <w:sz w:val="24"/>
                <w:szCs w:val="24"/>
              </w:rPr>
              <w:t>0.00</w:t>
            </w:r>
          </w:p>
        </w:tc>
        <w:tc>
          <w:tcPr>
            <w:tcW w:w="4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A5F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E3905">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23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CED1">
            <w:pPr>
              <w:jc w:val="center"/>
              <w:rPr>
                <w:rFonts w:ascii="宋体" w:hAnsi="宋体" w:eastAsia="宋体" w:cs="宋体"/>
                <w:color w:val="000000"/>
                <w:sz w:val="22"/>
              </w:rPr>
            </w:pPr>
            <w:r>
              <w:rPr>
                <w:rFonts w:hint="eastAsia" w:ascii="宋体" w:hAnsi="宋体" w:eastAsia="宋体" w:cs="宋体"/>
                <w:sz w:val="24"/>
                <w:szCs w:val="24"/>
              </w:rPr>
              <w:t>0.00</w:t>
            </w:r>
          </w:p>
        </w:tc>
      </w:tr>
      <w:tr w14:paraId="3ED17FA7">
        <w:tblPrEx>
          <w:tblCellMar>
            <w:top w:w="0" w:type="dxa"/>
            <w:left w:w="108" w:type="dxa"/>
            <w:bottom w:w="0" w:type="dxa"/>
            <w:right w:w="108" w:type="dxa"/>
          </w:tblCellMar>
        </w:tblPrEx>
        <w:trPr>
          <w:trHeight w:val="562"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504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5E4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F550">
            <w:pPr>
              <w:jc w:val="center"/>
              <w:rPr>
                <w:rFonts w:ascii="宋体" w:hAnsi="宋体" w:eastAsia="宋体" w:cs="宋体"/>
                <w:color w:val="000000"/>
                <w:sz w:val="22"/>
              </w:rPr>
            </w:pPr>
            <w:r>
              <w:rPr>
                <w:rFonts w:hint="eastAsia" w:ascii="宋体" w:hAnsi="宋体" w:eastAsia="宋体" w:cs="宋体"/>
                <w:sz w:val="24"/>
                <w:szCs w:val="24"/>
              </w:rPr>
              <w:t>0.00</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1FFC">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七、文化旅游体育和传媒支出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22739">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24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2860">
            <w:pPr>
              <w:jc w:val="center"/>
              <w:rPr>
                <w:rFonts w:ascii="宋体" w:hAnsi="宋体" w:eastAsia="宋体" w:cs="宋体"/>
                <w:color w:val="000000"/>
                <w:sz w:val="22"/>
              </w:rPr>
            </w:pPr>
            <w:r>
              <w:rPr>
                <w:rFonts w:hint="eastAsia" w:ascii="宋体" w:hAnsi="宋体" w:eastAsia="宋体" w:cs="宋体"/>
                <w:sz w:val="24"/>
                <w:szCs w:val="24"/>
              </w:rPr>
              <w:t>0.00</w:t>
            </w:r>
          </w:p>
        </w:tc>
      </w:tr>
      <w:tr w14:paraId="5B566E67">
        <w:tblPrEx>
          <w:tblCellMar>
            <w:top w:w="0" w:type="dxa"/>
            <w:left w:w="108" w:type="dxa"/>
            <w:bottom w:w="0" w:type="dxa"/>
            <w:right w:w="108" w:type="dxa"/>
          </w:tblCellMar>
        </w:tblPrEx>
        <w:trPr>
          <w:trHeight w:val="570"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D94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DB5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BAB1">
            <w:pPr>
              <w:jc w:val="center"/>
              <w:rPr>
                <w:rFonts w:ascii="宋体" w:hAnsi="宋体" w:eastAsia="宋体" w:cs="宋体"/>
                <w:color w:val="000000"/>
                <w:sz w:val="22"/>
              </w:rPr>
            </w:pPr>
            <w:r>
              <w:rPr>
                <w:rFonts w:hint="eastAsia" w:ascii="宋体" w:hAnsi="宋体" w:eastAsia="宋体" w:cs="宋体"/>
                <w:color w:val="000000"/>
                <w:sz w:val="22"/>
              </w:rPr>
              <w:t>820.73</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FC79">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14CB4">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25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8E8C">
            <w:pPr>
              <w:jc w:val="center"/>
              <w:rPr>
                <w:rFonts w:ascii="宋体" w:hAnsi="宋体" w:eastAsia="宋体" w:cs="宋体"/>
                <w:color w:val="000000"/>
                <w:sz w:val="22"/>
              </w:rPr>
            </w:pPr>
            <w:r>
              <w:rPr>
                <w:rFonts w:hint="eastAsia" w:ascii="宋体" w:hAnsi="宋体" w:eastAsia="宋体" w:cs="宋体"/>
                <w:color w:val="000000"/>
                <w:sz w:val="22"/>
              </w:rPr>
              <w:t>12.82</w:t>
            </w:r>
          </w:p>
        </w:tc>
      </w:tr>
      <w:tr w14:paraId="3B4EE94E">
        <w:tblPrEx>
          <w:tblCellMar>
            <w:top w:w="0" w:type="dxa"/>
            <w:left w:w="108" w:type="dxa"/>
            <w:bottom w:w="0" w:type="dxa"/>
            <w:right w:w="108" w:type="dxa"/>
          </w:tblCellMar>
        </w:tblPrEx>
        <w:trPr>
          <w:trHeight w:val="570"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9CA74">
            <w:pPr>
              <w:widowControl/>
              <w:jc w:val="left"/>
              <w:textAlignment w:val="center"/>
              <w:rPr>
                <w:rFonts w:ascii="Times New Roman" w:hAnsi="Times New Roman" w:eastAsia="仿宋_GB2312" w:cs="Times New Roman"/>
                <w:color w:val="000000"/>
                <w:kern w:val="0"/>
                <w:sz w:val="22"/>
              </w:rPr>
            </w:pP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2C4B9">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8E9A">
            <w:pPr>
              <w:jc w:val="right"/>
              <w:rPr>
                <w:rFonts w:ascii="宋体" w:hAnsi="宋体" w:eastAsia="宋体" w:cs="宋体"/>
                <w:color w:val="000000"/>
                <w:sz w:val="22"/>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CAD2">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6E40C">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B364">
            <w:pPr>
              <w:jc w:val="center"/>
              <w:rPr>
                <w:rFonts w:ascii="宋体" w:hAnsi="宋体" w:eastAsia="宋体" w:cs="宋体"/>
                <w:color w:val="000000"/>
                <w:sz w:val="22"/>
              </w:rPr>
            </w:pPr>
            <w:r>
              <w:rPr>
                <w:rFonts w:hint="eastAsia" w:ascii="宋体" w:hAnsi="宋体" w:eastAsia="宋体" w:cs="宋体"/>
                <w:color w:val="000000"/>
                <w:sz w:val="22"/>
              </w:rPr>
              <w:t>0.18</w:t>
            </w:r>
          </w:p>
        </w:tc>
      </w:tr>
      <w:tr w14:paraId="130657FA">
        <w:tblPrEx>
          <w:tblCellMar>
            <w:top w:w="0" w:type="dxa"/>
            <w:left w:w="108" w:type="dxa"/>
            <w:bottom w:w="0" w:type="dxa"/>
            <w:right w:w="108" w:type="dxa"/>
          </w:tblCellMar>
        </w:tblPrEx>
        <w:trPr>
          <w:trHeight w:val="564"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9526">
            <w:pPr>
              <w:jc w:val="right"/>
              <w:rPr>
                <w:rFonts w:ascii="Times New Roman" w:hAnsi="Times New Roman" w:eastAsia="仿宋_GB2312" w:cs="Times New Roman"/>
                <w:color w:val="000000"/>
                <w:sz w:val="20"/>
                <w:szCs w:val="20"/>
              </w:rPr>
            </w:pP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F4E9E">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10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5D0A">
            <w:pPr>
              <w:jc w:val="right"/>
              <w:rPr>
                <w:rFonts w:ascii="宋体" w:hAnsi="宋体" w:eastAsia="宋体" w:cs="宋体"/>
                <w:color w:val="000000"/>
                <w:sz w:val="22"/>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A4D0">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十、节能环保支出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623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r>
              <w:rPr>
                <w:rFonts w:hint="eastAsia" w:ascii="Times New Roman" w:hAnsi="Times New Roman" w:eastAsia="仿宋_GB2312" w:cs="Times New Roman"/>
                <w:color w:val="000000"/>
                <w:kern w:val="0"/>
                <w:sz w:val="22"/>
              </w:rPr>
              <w:t>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A202">
            <w:pPr>
              <w:jc w:val="center"/>
              <w:rPr>
                <w:rFonts w:hint="eastAsia" w:ascii="宋体" w:hAnsi="宋体" w:eastAsia="宋体" w:cs="宋体"/>
                <w:color w:val="000000"/>
                <w:sz w:val="22"/>
                <w:lang w:val="en-US" w:eastAsia="zh-CN"/>
              </w:rPr>
            </w:pPr>
            <w:r>
              <w:rPr>
                <w:rFonts w:hint="eastAsia" w:ascii="宋体" w:hAnsi="宋体" w:eastAsia="宋体" w:cs="宋体"/>
                <w:color w:val="000000"/>
                <w:sz w:val="22"/>
              </w:rPr>
              <w:t>503.1</w:t>
            </w:r>
            <w:r>
              <w:rPr>
                <w:rFonts w:hint="eastAsia" w:ascii="宋体" w:hAnsi="宋体" w:eastAsia="宋体" w:cs="宋体"/>
                <w:color w:val="000000"/>
                <w:sz w:val="22"/>
                <w:lang w:val="en-US" w:eastAsia="zh-CN"/>
              </w:rPr>
              <w:t>7</w:t>
            </w:r>
          </w:p>
        </w:tc>
      </w:tr>
      <w:tr w14:paraId="53141EE6">
        <w:tblPrEx>
          <w:tblCellMar>
            <w:top w:w="0" w:type="dxa"/>
            <w:left w:w="108" w:type="dxa"/>
            <w:bottom w:w="0" w:type="dxa"/>
            <w:right w:w="108" w:type="dxa"/>
          </w:tblCellMar>
        </w:tblPrEx>
        <w:trPr>
          <w:trHeight w:val="564"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759A">
            <w:pPr>
              <w:jc w:val="right"/>
              <w:rPr>
                <w:rFonts w:ascii="Times New Roman" w:hAnsi="Times New Roman" w:eastAsia="仿宋_GB2312" w:cs="Times New Roman"/>
                <w:color w:val="000000"/>
                <w:sz w:val="20"/>
                <w:szCs w:val="20"/>
              </w:rPr>
            </w:pP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AD304">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0E48">
            <w:pPr>
              <w:jc w:val="right"/>
              <w:rPr>
                <w:rFonts w:ascii="宋体" w:hAnsi="宋体" w:eastAsia="宋体" w:cs="宋体"/>
                <w:color w:val="000000"/>
                <w:sz w:val="22"/>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3BE0">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十一、城乡社区支出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91B0">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1456">
            <w:pPr>
              <w:jc w:val="center"/>
              <w:rPr>
                <w:rFonts w:ascii="宋体" w:hAnsi="宋体" w:eastAsia="宋体" w:cs="宋体"/>
                <w:color w:val="000000"/>
                <w:sz w:val="22"/>
              </w:rPr>
            </w:pPr>
            <w:r>
              <w:rPr>
                <w:rFonts w:hint="eastAsia" w:ascii="宋体" w:hAnsi="宋体" w:eastAsia="宋体" w:cs="宋体"/>
                <w:color w:val="000000"/>
                <w:sz w:val="22"/>
              </w:rPr>
              <w:t>600.33</w:t>
            </w:r>
          </w:p>
        </w:tc>
      </w:tr>
      <w:tr w14:paraId="2756A082">
        <w:tblPrEx>
          <w:tblCellMar>
            <w:top w:w="0" w:type="dxa"/>
            <w:left w:w="108" w:type="dxa"/>
            <w:bottom w:w="0" w:type="dxa"/>
            <w:right w:w="108" w:type="dxa"/>
          </w:tblCellMar>
        </w:tblPrEx>
        <w:trPr>
          <w:trHeight w:val="564"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5CB4">
            <w:pPr>
              <w:jc w:val="right"/>
              <w:rPr>
                <w:rFonts w:ascii="Times New Roman" w:hAnsi="Times New Roman" w:eastAsia="仿宋_GB2312" w:cs="Times New Roman"/>
                <w:color w:val="000000"/>
                <w:sz w:val="20"/>
                <w:szCs w:val="20"/>
              </w:rPr>
            </w:pP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99BE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406E">
            <w:pPr>
              <w:jc w:val="right"/>
              <w:rPr>
                <w:rFonts w:ascii="宋体" w:hAnsi="宋体" w:eastAsia="宋体" w:cs="宋体"/>
                <w:color w:val="000000"/>
                <w:sz w:val="22"/>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E7E6">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十二、农林水支出</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2F913">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29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F9C2">
            <w:pPr>
              <w:jc w:val="center"/>
              <w:rPr>
                <w:rFonts w:ascii="宋体" w:hAnsi="宋体" w:eastAsia="宋体" w:cs="宋体"/>
                <w:color w:val="000000"/>
                <w:sz w:val="22"/>
              </w:rPr>
            </w:pPr>
            <w:r>
              <w:rPr>
                <w:rFonts w:hint="eastAsia" w:ascii="宋体" w:hAnsi="宋体" w:eastAsia="宋体" w:cs="宋体"/>
                <w:color w:val="000000"/>
                <w:sz w:val="22"/>
              </w:rPr>
              <w:t>0.34</w:t>
            </w:r>
          </w:p>
        </w:tc>
      </w:tr>
      <w:tr w14:paraId="4720AD0A">
        <w:tblPrEx>
          <w:tblCellMar>
            <w:top w:w="0" w:type="dxa"/>
            <w:left w:w="108" w:type="dxa"/>
            <w:bottom w:w="0" w:type="dxa"/>
            <w:right w:w="108" w:type="dxa"/>
          </w:tblCellMar>
        </w:tblPrEx>
        <w:trPr>
          <w:trHeight w:val="564"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F61C">
            <w:pPr>
              <w:jc w:val="right"/>
              <w:rPr>
                <w:rFonts w:ascii="Times New Roman" w:hAnsi="Times New Roman" w:eastAsia="仿宋_GB2312" w:cs="Times New Roman"/>
                <w:color w:val="000000"/>
                <w:sz w:val="20"/>
                <w:szCs w:val="20"/>
              </w:rPr>
            </w:pP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7611C">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13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3E7F">
            <w:pPr>
              <w:jc w:val="right"/>
              <w:rPr>
                <w:rFonts w:ascii="宋体" w:hAnsi="宋体" w:eastAsia="宋体" w:cs="宋体"/>
                <w:color w:val="000000"/>
                <w:sz w:val="22"/>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1EF3">
            <w:pPr>
              <w:jc w:val="left"/>
              <w:rPr>
                <w:rFonts w:ascii="Times New Roman" w:hAnsi="Times New Roman" w:eastAsia="仿宋_GB2312" w:cs="Times New Roman"/>
                <w:color w:val="000000"/>
                <w:sz w:val="20"/>
                <w:szCs w:val="20"/>
              </w:rPr>
            </w:pPr>
            <w:r>
              <w:rPr>
                <w:rFonts w:ascii="Times New Roman" w:hAnsi="Times New Roman" w:eastAsia="仿宋_GB2312" w:cs="Times New Roman"/>
                <w:bCs/>
                <w:kern w:val="0"/>
                <w:sz w:val="32"/>
                <w:szCs w:val="32"/>
              </w:rPr>
              <w:t>……</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5BD4A">
            <w:pPr>
              <w:widowControl/>
              <w:jc w:val="center"/>
              <w:textAlignment w:val="center"/>
              <w:rPr>
                <w:rFonts w:ascii="Times New Roman" w:hAnsi="Times New Roman" w:eastAsia="仿宋_GB2312" w:cs="Times New Roman"/>
                <w:color w:val="000000"/>
                <w:kern w:val="0"/>
                <w:sz w:val="22"/>
              </w:rPr>
            </w:pPr>
            <w:r>
              <w:rPr>
                <w:rFonts w:hint="eastAsia" w:ascii="Times New Roman" w:hAnsi="Times New Roman" w:eastAsia="仿宋_GB2312" w:cs="Times New Roman"/>
                <w:color w:val="000000"/>
                <w:kern w:val="0"/>
                <w:sz w:val="22"/>
              </w:rPr>
              <w:t>30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4A47">
            <w:pPr>
              <w:rPr>
                <w:rFonts w:ascii="宋体" w:hAnsi="宋体" w:eastAsia="宋体" w:cs="宋体"/>
                <w:color w:val="000000"/>
                <w:sz w:val="22"/>
              </w:rPr>
            </w:pPr>
          </w:p>
        </w:tc>
      </w:tr>
      <w:tr w14:paraId="72BE1915">
        <w:tblPrEx>
          <w:tblCellMar>
            <w:top w:w="0" w:type="dxa"/>
            <w:left w:w="108" w:type="dxa"/>
            <w:bottom w:w="0" w:type="dxa"/>
            <w:right w:w="108" w:type="dxa"/>
          </w:tblCellMar>
        </w:tblPrEx>
        <w:trPr>
          <w:trHeight w:val="590"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AE2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1B4C6">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14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DD4A">
            <w:pPr>
              <w:jc w:val="center"/>
              <w:rPr>
                <w:rFonts w:ascii="宋体" w:hAnsi="宋体" w:eastAsia="宋体" w:cs="宋体"/>
                <w:color w:val="000000"/>
                <w:sz w:val="22"/>
              </w:rPr>
            </w:pPr>
            <w:r>
              <w:rPr>
                <w:rFonts w:hint="eastAsia" w:ascii="宋体" w:hAnsi="宋体" w:eastAsia="宋体" w:cs="宋体"/>
                <w:color w:val="000000"/>
                <w:sz w:val="22"/>
              </w:rPr>
              <w:t>1116.83</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CC2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C6684">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31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15DD">
            <w:pPr>
              <w:jc w:val="center"/>
              <w:rPr>
                <w:rFonts w:ascii="宋体" w:hAnsi="宋体" w:eastAsia="宋体" w:cs="宋体"/>
                <w:color w:val="000000"/>
                <w:sz w:val="22"/>
              </w:rPr>
            </w:pPr>
            <w:r>
              <w:rPr>
                <w:rFonts w:hint="eastAsia" w:ascii="宋体" w:hAnsi="宋体" w:eastAsia="宋体" w:cs="宋体"/>
                <w:color w:val="000000"/>
                <w:sz w:val="22"/>
              </w:rPr>
              <w:t>1116.83</w:t>
            </w:r>
          </w:p>
        </w:tc>
      </w:tr>
      <w:tr w14:paraId="203D434E">
        <w:tblPrEx>
          <w:tblCellMar>
            <w:top w:w="0" w:type="dxa"/>
            <w:left w:w="108" w:type="dxa"/>
            <w:bottom w:w="0" w:type="dxa"/>
            <w:right w:w="108" w:type="dxa"/>
          </w:tblCellMar>
        </w:tblPrEx>
        <w:trPr>
          <w:trHeight w:val="557"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599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1FADA">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15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1417">
            <w:pPr>
              <w:jc w:val="center"/>
              <w:rPr>
                <w:rFonts w:ascii="宋体" w:hAnsi="宋体" w:eastAsia="宋体" w:cs="宋体"/>
                <w:color w:val="000000"/>
                <w:sz w:val="22"/>
              </w:rPr>
            </w:pPr>
            <w:r>
              <w:rPr>
                <w:rFonts w:hint="eastAsia" w:ascii="宋体" w:hAnsi="宋体" w:eastAsia="宋体" w:cs="宋体"/>
                <w:sz w:val="24"/>
                <w:szCs w:val="24"/>
              </w:rPr>
              <w:t>0.00</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7DF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3BBCE">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32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E7E3">
            <w:pPr>
              <w:jc w:val="center"/>
              <w:rPr>
                <w:rFonts w:ascii="宋体" w:hAnsi="宋体" w:eastAsia="宋体" w:cs="宋体"/>
                <w:color w:val="000000"/>
                <w:sz w:val="22"/>
              </w:rPr>
            </w:pPr>
            <w:r>
              <w:rPr>
                <w:rFonts w:hint="eastAsia" w:ascii="宋体" w:hAnsi="宋体" w:eastAsia="宋体" w:cs="宋体"/>
                <w:sz w:val="24"/>
                <w:szCs w:val="24"/>
              </w:rPr>
              <w:t>0.00</w:t>
            </w:r>
          </w:p>
        </w:tc>
      </w:tr>
      <w:tr w14:paraId="51214631">
        <w:tblPrEx>
          <w:tblCellMar>
            <w:top w:w="0" w:type="dxa"/>
            <w:left w:w="108" w:type="dxa"/>
            <w:bottom w:w="0" w:type="dxa"/>
            <w:right w:w="108" w:type="dxa"/>
          </w:tblCellMar>
        </w:tblPrEx>
        <w:trPr>
          <w:trHeight w:val="564"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CF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61903">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16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E068">
            <w:pPr>
              <w:jc w:val="center"/>
              <w:rPr>
                <w:rFonts w:ascii="宋体" w:hAnsi="宋体" w:eastAsia="宋体" w:cs="宋体"/>
                <w:color w:val="000000"/>
                <w:sz w:val="22"/>
              </w:rPr>
            </w:pPr>
            <w:r>
              <w:rPr>
                <w:rFonts w:hint="eastAsia" w:ascii="宋体" w:hAnsi="宋体" w:eastAsia="宋体" w:cs="宋体"/>
                <w:sz w:val="24"/>
                <w:szCs w:val="24"/>
              </w:rPr>
              <w:t>0.00</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9FE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BC0ED">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33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9E9E">
            <w:pPr>
              <w:jc w:val="center"/>
              <w:rPr>
                <w:rFonts w:ascii="宋体" w:hAnsi="宋体" w:eastAsia="宋体" w:cs="宋体"/>
                <w:color w:val="000000"/>
                <w:sz w:val="22"/>
              </w:rPr>
            </w:pPr>
            <w:r>
              <w:rPr>
                <w:rFonts w:hint="eastAsia" w:ascii="宋体" w:hAnsi="宋体" w:eastAsia="宋体" w:cs="宋体"/>
                <w:sz w:val="24"/>
                <w:szCs w:val="24"/>
              </w:rPr>
              <w:t>0.00</w:t>
            </w:r>
          </w:p>
        </w:tc>
      </w:tr>
      <w:tr w14:paraId="209036C6">
        <w:tblPrEx>
          <w:tblCellMar>
            <w:top w:w="0" w:type="dxa"/>
            <w:left w:w="108" w:type="dxa"/>
            <w:bottom w:w="0" w:type="dxa"/>
            <w:right w:w="108" w:type="dxa"/>
          </w:tblCellMar>
        </w:tblPrEx>
        <w:trPr>
          <w:trHeight w:val="558" w:hRule="exact"/>
          <w:jc w:val="center"/>
        </w:trPr>
        <w:tc>
          <w:tcPr>
            <w:tcW w:w="5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E612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19F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r>
              <w:rPr>
                <w:rFonts w:hint="eastAsia" w:ascii="Times New Roman" w:hAnsi="Times New Roman" w:eastAsia="仿宋_GB2312" w:cs="Times New Roman"/>
                <w:color w:val="000000"/>
                <w:kern w:val="0"/>
                <w:sz w:val="22"/>
              </w:rPr>
              <w:t>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97B9">
            <w:pPr>
              <w:jc w:val="center"/>
              <w:rPr>
                <w:rFonts w:ascii="宋体" w:hAnsi="宋体" w:eastAsia="宋体" w:cs="宋体"/>
                <w:color w:val="000000"/>
                <w:sz w:val="22"/>
              </w:rPr>
            </w:pPr>
            <w:r>
              <w:rPr>
                <w:rFonts w:hint="eastAsia" w:ascii="宋体" w:hAnsi="宋体" w:eastAsia="宋体" w:cs="宋体"/>
                <w:color w:val="000000"/>
                <w:sz w:val="22"/>
              </w:rPr>
              <w:t>1116.83</w:t>
            </w:r>
          </w:p>
        </w:tc>
        <w:tc>
          <w:tcPr>
            <w:tcW w:w="48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60D1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B8264">
            <w:pPr>
              <w:widowControl/>
              <w:jc w:val="center"/>
              <w:textAlignment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kern w:val="0"/>
                <w:sz w:val="22"/>
              </w:rPr>
              <w:t>34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A01C">
            <w:pPr>
              <w:jc w:val="center"/>
              <w:rPr>
                <w:rFonts w:ascii="宋体" w:hAnsi="宋体" w:eastAsia="宋体" w:cs="宋体"/>
                <w:b/>
                <w:color w:val="000000"/>
                <w:sz w:val="22"/>
              </w:rPr>
            </w:pPr>
            <w:r>
              <w:rPr>
                <w:rFonts w:hint="eastAsia" w:ascii="宋体" w:hAnsi="宋体" w:eastAsia="宋体" w:cs="宋体"/>
                <w:color w:val="000000"/>
                <w:sz w:val="22"/>
              </w:rPr>
              <w:t>1116.83</w:t>
            </w:r>
          </w:p>
        </w:tc>
      </w:tr>
    </w:tbl>
    <w:p w14:paraId="1D767660">
      <w:pPr>
        <w:widowControl/>
        <w:jc w:val="left"/>
        <w:textAlignment w:val="center"/>
        <w:rPr>
          <w:rFonts w:ascii="Times New Roman" w:hAnsi="Times New Roman" w:eastAsia="宋体" w:cs="Times New Roman"/>
          <w:color w:val="000000"/>
          <w:kern w:val="0"/>
          <w:sz w:val="24"/>
          <w:szCs w:val="24"/>
        </w:rPr>
      </w:pPr>
    </w:p>
    <w:p w14:paraId="0829508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5862D3D4">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79D8D9">
      <w:pPr>
        <w:widowControl/>
        <w:spacing w:line="400" w:lineRule="exact"/>
        <w:jc w:val="center"/>
        <w:textAlignment w:val="center"/>
        <w:rPr>
          <w:rFonts w:ascii="Times New Roman" w:hAnsi="Times New Roman" w:eastAsia="黑体" w:cs="Times New Roman"/>
          <w:color w:val="000000"/>
          <w:kern w:val="0"/>
          <w:sz w:val="32"/>
          <w:szCs w:val="32"/>
        </w:rPr>
      </w:pPr>
    </w:p>
    <w:p w14:paraId="7F1C27F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A4D687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978B735">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886"/>
        <w:gridCol w:w="1706"/>
        <w:gridCol w:w="1417"/>
        <w:gridCol w:w="1457"/>
        <w:gridCol w:w="1640"/>
        <w:gridCol w:w="1640"/>
        <w:gridCol w:w="1640"/>
        <w:gridCol w:w="1897"/>
        <w:gridCol w:w="1383"/>
      </w:tblGrid>
      <w:tr w14:paraId="4A849967">
        <w:tblPrEx>
          <w:tblCellMar>
            <w:top w:w="0" w:type="dxa"/>
            <w:left w:w="0" w:type="dxa"/>
            <w:bottom w:w="0" w:type="dxa"/>
            <w:right w:w="0" w:type="dxa"/>
          </w:tblCellMar>
        </w:tblPrEx>
        <w:trPr>
          <w:trHeight w:val="450" w:hRule="atLeast"/>
          <w:jc w:val="center"/>
        </w:trPr>
        <w:tc>
          <w:tcPr>
            <w:tcW w:w="35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7E2A3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C69C7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5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D913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A5DC6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B6FF7E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FFF5B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8ABCC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53F25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8C2D4C6">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57624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70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74887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CA349B9">
            <w:pPr>
              <w:rPr>
                <w:rFonts w:ascii="Times New Roman" w:hAnsi="Times New Roman" w:eastAsia="仿宋_GB2312" w:cs="Times New Roman"/>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14:paraId="10BAA9A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F87F70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741A64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E8A74FF">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E42EA2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8DF69CA">
            <w:pPr>
              <w:rPr>
                <w:rFonts w:ascii="Times New Roman" w:hAnsi="Times New Roman" w:eastAsia="仿宋_GB2312" w:cs="Times New Roman"/>
                <w:sz w:val="24"/>
                <w:szCs w:val="24"/>
              </w:rPr>
            </w:pPr>
          </w:p>
        </w:tc>
      </w:tr>
      <w:tr w14:paraId="50185821">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789A493">
            <w:pPr>
              <w:rPr>
                <w:rFonts w:ascii="Times New Roman" w:hAnsi="Times New Roman" w:eastAsia="仿宋_GB2312" w:cs="Times New Roman"/>
                <w:sz w:val="24"/>
                <w:szCs w:val="24"/>
              </w:rPr>
            </w:pPr>
          </w:p>
        </w:tc>
        <w:tc>
          <w:tcPr>
            <w:tcW w:w="1706" w:type="dxa"/>
            <w:vMerge w:val="continue"/>
            <w:tcBorders>
              <w:top w:val="nil"/>
              <w:left w:val="single" w:color="auto" w:sz="4" w:space="0"/>
              <w:bottom w:val="single" w:color="auto" w:sz="4" w:space="0"/>
              <w:right w:val="single" w:color="auto" w:sz="4" w:space="0"/>
            </w:tcBorders>
            <w:vAlign w:val="center"/>
          </w:tcPr>
          <w:p w14:paraId="302CE43D">
            <w:pPr>
              <w:rPr>
                <w:rFonts w:ascii="Times New Roman" w:hAnsi="Times New Roman" w:eastAsia="仿宋_GB2312" w:cs="Times New Roman"/>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3AAADD0">
            <w:pPr>
              <w:rPr>
                <w:rFonts w:ascii="Times New Roman" w:hAnsi="Times New Roman" w:eastAsia="仿宋_GB2312" w:cs="Times New Roman"/>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14:paraId="14E053E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6BD1A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E6933F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FB9E92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B62029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1079FED">
            <w:pPr>
              <w:rPr>
                <w:rFonts w:ascii="Times New Roman" w:hAnsi="Times New Roman" w:eastAsia="仿宋_GB2312" w:cs="Times New Roman"/>
                <w:sz w:val="24"/>
                <w:szCs w:val="24"/>
              </w:rPr>
            </w:pPr>
          </w:p>
        </w:tc>
      </w:tr>
      <w:tr w14:paraId="6FD6CF9A">
        <w:tblPrEx>
          <w:tblCellMar>
            <w:top w:w="0" w:type="dxa"/>
            <w:left w:w="0" w:type="dxa"/>
            <w:bottom w:w="0" w:type="dxa"/>
            <w:right w:w="0" w:type="dxa"/>
          </w:tblCellMar>
        </w:tblPrEx>
        <w:trPr>
          <w:trHeight w:val="450" w:hRule="atLeast"/>
          <w:jc w:val="center"/>
        </w:trPr>
        <w:tc>
          <w:tcPr>
            <w:tcW w:w="35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B1C2B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3695BA">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900284">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0B30F9">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40C6D">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DAB863">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2D682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38356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B502A9C">
        <w:tblPrEx>
          <w:tblCellMar>
            <w:top w:w="0" w:type="dxa"/>
            <w:left w:w="0" w:type="dxa"/>
            <w:bottom w:w="0" w:type="dxa"/>
            <w:right w:w="0" w:type="dxa"/>
          </w:tblCellMar>
        </w:tblPrEx>
        <w:trPr>
          <w:trHeight w:val="450" w:hRule="atLeast"/>
          <w:jc w:val="center"/>
        </w:trPr>
        <w:tc>
          <w:tcPr>
            <w:tcW w:w="359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AA9451">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6FBF17">
            <w:pPr>
              <w:jc w:val="right"/>
              <w:rPr>
                <w:rFonts w:ascii="Times New Roman" w:hAnsi="Times New Roman" w:eastAsia="仿宋_GB2312" w:cs="Times New Roman"/>
                <w:sz w:val="24"/>
                <w:szCs w:val="24"/>
              </w:rPr>
            </w:pPr>
            <w:r>
              <w:rPr>
                <w:rFonts w:hint="eastAsia" w:ascii="宋体" w:hAnsi="宋体" w:eastAsia="宋体" w:cs="宋体"/>
                <w:color w:val="000000"/>
                <w:sz w:val="22"/>
              </w:rPr>
              <w:t>1116.83</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C239F">
            <w:pPr>
              <w:jc w:val="right"/>
              <w:rPr>
                <w:rFonts w:ascii="Times New Roman" w:hAnsi="Times New Roman" w:eastAsia="仿宋_GB2312" w:cs="Times New Roman"/>
                <w:sz w:val="24"/>
                <w:szCs w:val="24"/>
              </w:rPr>
            </w:pPr>
            <w:r>
              <w:rPr>
                <w:rFonts w:hint="eastAsia" w:ascii="Times New Roman" w:hAnsi="Times New Roman" w:eastAsia="仿宋_GB2312" w:cs="Times New Roman"/>
              </w:rPr>
              <w:t>296.10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53D5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B62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7F3C0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015E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7D56B">
            <w:pPr>
              <w:jc w:val="right"/>
              <w:rPr>
                <w:rFonts w:ascii="Times New Roman" w:hAnsi="Times New Roman" w:eastAsia="仿宋_GB2312" w:cs="Times New Roman"/>
                <w:sz w:val="24"/>
                <w:szCs w:val="24"/>
              </w:rPr>
            </w:pPr>
            <w:r>
              <w:rPr>
                <w:rFonts w:hint="eastAsia" w:ascii="Times New Roman" w:hAnsi="Times New Roman" w:eastAsia="仿宋_GB2312" w:cs="Times New Roman"/>
              </w:rPr>
              <w:t>820.73</w:t>
            </w:r>
          </w:p>
        </w:tc>
      </w:tr>
      <w:tr w14:paraId="6F43239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EB56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2080501</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6EC6A">
            <w:pPr>
              <w:rPr>
                <w:rFonts w:ascii="宋体" w:hAnsi="宋体" w:eastAsia="宋体" w:cs="宋体"/>
                <w:color w:val="000000"/>
                <w:sz w:val="22"/>
              </w:rPr>
            </w:pPr>
            <w:r>
              <w:rPr>
                <w:rFonts w:hint="eastAsia"/>
                <w:color w:val="000000"/>
                <w:sz w:val="22"/>
              </w:rPr>
              <w:t>行政单位离退休</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B9DC8">
            <w:pPr>
              <w:jc w:val="right"/>
              <w:rPr>
                <w:rFonts w:ascii="宋体" w:hAnsi="宋体" w:eastAsia="宋体" w:cs="宋体"/>
                <w:color w:val="000000"/>
                <w:sz w:val="22"/>
              </w:rPr>
            </w:pPr>
            <w:r>
              <w:rPr>
                <w:rFonts w:hint="eastAsia"/>
                <w:color w:val="000000"/>
                <w:sz w:val="22"/>
              </w:rPr>
              <w:t>3.23</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70D40">
            <w:pPr>
              <w:jc w:val="right"/>
              <w:rPr>
                <w:rFonts w:ascii="宋体" w:hAnsi="宋体" w:eastAsia="宋体" w:cs="宋体"/>
                <w:color w:val="000000"/>
                <w:sz w:val="22"/>
              </w:rPr>
            </w:pPr>
            <w:r>
              <w:rPr>
                <w:rFonts w:hint="eastAsia"/>
                <w:color w:val="000000"/>
                <w:sz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FAA2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247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821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DFE8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E3549">
            <w:pPr>
              <w:jc w:val="right"/>
              <w:rPr>
                <w:rFonts w:ascii="宋体" w:hAnsi="宋体" w:eastAsia="宋体" w:cs="宋体"/>
                <w:color w:val="000000"/>
                <w:sz w:val="22"/>
              </w:rPr>
            </w:pPr>
            <w:r>
              <w:rPr>
                <w:rFonts w:hint="eastAsia"/>
                <w:color w:val="000000"/>
                <w:sz w:val="22"/>
              </w:rPr>
              <w:t>3.23</w:t>
            </w:r>
          </w:p>
        </w:tc>
      </w:tr>
      <w:tr w14:paraId="076EC0A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1D61B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2080505</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D26FA2">
            <w:pPr>
              <w:rPr>
                <w:rFonts w:ascii="宋体" w:hAnsi="宋体" w:eastAsia="宋体" w:cs="宋体"/>
                <w:color w:val="000000"/>
                <w:sz w:val="22"/>
              </w:rPr>
            </w:pPr>
            <w:r>
              <w:rPr>
                <w:rFonts w:hint="eastAsia"/>
                <w:color w:val="000000"/>
                <w:sz w:val="22"/>
              </w:rPr>
              <w:t>机关事业单位基本养老保险缴费支出</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606029">
            <w:pPr>
              <w:jc w:val="right"/>
              <w:rPr>
                <w:rFonts w:ascii="宋体" w:hAnsi="宋体" w:eastAsia="宋体" w:cs="宋体"/>
                <w:color w:val="000000"/>
                <w:sz w:val="22"/>
              </w:rPr>
            </w:pPr>
            <w:r>
              <w:rPr>
                <w:rFonts w:hint="eastAsia"/>
                <w:color w:val="000000"/>
                <w:sz w:val="22"/>
              </w:rPr>
              <w:t>0.39</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014153">
            <w:pPr>
              <w:jc w:val="right"/>
              <w:rPr>
                <w:rFonts w:ascii="宋体" w:hAnsi="宋体" w:eastAsia="宋体" w:cs="宋体"/>
                <w:color w:val="000000"/>
                <w:sz w:val="22"/>
              </w:rPr>
            </w:pPr>
            <w:r>
              <w:rPr>
                <w:rFonts w:hint="eastAsia"/>
                <w:color w:val="000000"/>
                <w:sz w:val="22"/>
              </w:rPr>
              <w:t>0.39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024C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29B2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2D8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6BE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D434C">
            <w:pPr>
              <w:jc w:val="right"/>
              <w:rPr>
                <w:rFonts w:ascii="宋体" w:hAnsi="宋体" w:eastAsia="宋体" w:cs="宋体"/>
                <w:color w:val="000000"/>
                <w:sz w:val="22"/>
              </w:rPr>
            </w:pPr>
            <w:r>
              <w:rPr>
                <w:rFonts w:hint="eastAsia"/>
                <w:color w:val="000000"/>
                <w:sz w:val="22"/>
              </w:rPr>
              <w:t>　</w:t>
            </w:r>
          </w:p>
        </w:tc>
      </w:tr>
      <w:tr w14:paraId="3F2F09C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1311B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2080506</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F96B6D">
            <w:pPr>
              <w:rPr>
                <w:rFonts w:ascii="宋体" w:hAnsi="宋体" w:eastAsia="宋体" w:cs="宋体"/>
                <w:color w:val="000000"/>
                <w:sz w:val="22"/>
              </w:rPr>
            </w:pPr>
            <w:r>
              <w:rPr>
                <w:rFonts w:hint="eastAsia"/>
                <w:color w:val="000000"/>
                <w:sz w:val="22"/>
              </w:rPr>
              <w:t>机关事业单位职业年金缴费支出</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F7FD">
            <w:pPr>
              <w:jc w:val="right"/>
              <w:rPr>
                <w:rFonts w:ascii="宋体" w:hAnsi="宋体" w:eastAsia="宋体" w:cs="宋体"/>
                <w:color w:val="000000"/>
                <w:sz w:val="22"/>
              </w:rPr>
            </w:pPr>
            <w:r>
              <w:rPr>
                <w:rFonts w:hint="eastAsia"/>
                <w:color w:val="000000"/>
                <w:sz w:val="22"/>
              </w:rPr>
              <w:t>7.61</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30CAE">
            <w:pPr>
              <w:jc w:val="right"/>
              <w:rPr>
                <w:rFonts w:ascii="宋体" w:hAnsi="宋体" w:eastAsia="宋体" w:cs="宋体"/>
                <w:color w:val="000000"/>
                <w:sz w:val="22"/>
              </w:rPr>
            </w:pPr>
            <w:r>
              <w:rPr>
                <w:rFonts w:hint="eastAsia"/>
                <w:color w:val="000000"/>
                <w:sz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7ED7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DFCD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B0D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2A8A7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0007C">
            <w:pPr>
              <w:jc w:val="right"/>
              <w:rPr>
                <w:rFonts w:ascii="宋体" w:hAnsi="宋体" w:eastAsia="宋体" w:cs="宋体"/>
                <w:color w:val="000000"/>
                <w:sz w:val="22"/>
              </w:rPr>
            </w:pPr>
            <w:r>
              <w:rPr>
                <w:rFonts w:hint="eastAsia"/>
                <w:color w:val="000000"/>
                <w:sz w:val="22"/>
              </w:rPr>
              <w:t>7.61</w:t>
            </w:r>
          </w:p>
        </w:tc>
      </w:tr>
      <w:tr w14:paraId="499B58C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93D4C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2080801</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721FCE">
            <w:pPr>
              <w:rPr>
                <w:rFonts w:ascii="宋体" w:hAnsi="宋体" w:eastAsia="宋体" w:cs="宋体"/>
                <w:color w:val="000000"/>
                <w:sz w:val="22"/>
              </w:rPr>
            </w:pPr>
            <w:r>
              <w:rPr>
                <w:rFonts w:hint="eastAsia"/>
                <w:color w:val="000000"/>
                <w:sz w:val="22"/>
              </w:rPr>
              <w:t>死亡抚恤</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8BA49">
            <w:pPr>
              <w:jc w:val="right"/>
              <w:rPr>
                <w:rFonts w:ascii="宋体" w:hAnsi="宋体" w:eastAsia="宋体" w:cs="宋体"/>
                <w:color w:val="000000"/>
                <w:sz w:val="22"/>
              </w:rPr>
            </w:pPr>
            <w:r>
              <w:rPr>
                <w:rFonts w:hint="eastAsia"/>
                <w:color w:val="000000"/>
                <w:sz w:val="22"/>
              </w:rPr>
              <w:t>1.58</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E1156">
            <w:pPr>
              <w:jc w:val="right"/>
              <w:rPr>
                <w:rFonts w:ascii="宋体" w:hAnsi="宋体" w:eastAsia="宋体" w:cs="宋体"/>
                <w:color w:val="000000"/>
                <w:sz w:val="22"/>
              </w:rPr>
            </w:pPr>
            <w:r>
              <w:rPr>
                <w:rFonts w:hint="eastAsia"/>
                <w:color w:val="000000"/>
                <w:sz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D4D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26F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8641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FB4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87565">
            <w:pPr>
              <w:jc w:val="right"/>
              <w:rPr>
                <w:rFonts w:ascii="宋体" w:hAnsi="宋体" w:eastAsia="宋体" w:cs="宋体"/>
                <w:color w:val="000000"/>
                <w:sz w:val="22"/>
              </w:rPr>
            </w:pPr>
            <w:r>
              <w:rPr>
                <w:rFonts w:hint="eastAsia"/>
                <w:color w:val="000000"/>
                <w:sz w:val="22"/>
              </w:rPr>
              <w:t>1.58</w:t>
            </w:r>
          </w:p>
        </w:tc>
      </w:tr>
      <w:tr w14:paraId="5CC0C98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E82F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2101101</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854798">
            <w:pPr>
              <w:rPr>
                <w:rFonts w:ascii="宋体" w:hAnsi="宋体" w:eastAsia="宋体" w:cs="宋体"/>
                <w:color w:val="000000"/>
                <w:sz w:val="22"/>
              </w:rPr>
            </w:pPr>
            <w:r>
              <w:rPr>
                <w:rFonts w:hint="eastAsia"/>
                <w:color w:val="000000"/>
                <w:sz w:val="22"/>
              </w:rPr>
              <w:t>行政单位医疗</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6AF68">
            <w:pPr>
              <w:jc w:val="right"/>
              <w:rPr>
                <w:rFonts w:ascii="宋体" w:hAnsi="宋体" w:eastAsia="宋体" w:cs="宋体"/>
                <w:color w:val="000000"/>
                <w:sz w:val="22"/>
              </w:rPr>
            </w:pPr>
            <w:r>
              <w:rPr>
                <w:rFonts w:hint="eastAsia"/>
                <w:color w:val="000000"/>
                <w:sz w:val="22"/>
              </w:rPr>
              <w:t>0.18</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32240">
            <w:pPr>
              <w:jc w:val="right"/>
              <w:rPr>
                <w:rFonts w:ascii="宋体" w:hAnsi="宋体" w:eastAsia="宋体" w:cs="宋体"/>
                <w:color w:val="000000"/>
                <w:sz w:val="22"/>
              </w:rPr>
            </w:pPr>
            <w:r>
              <w:rPr>
                <w:rFonts w:hint="eastAsia"/>
                <w:color w:val="000000"/>
                <w:sz w:val="22"/>
              </w:rPr>
              <w:t>0.18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725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D997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56B9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6F0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6D38F">
            <w:pPr>
              <w:jc w:val="right"/>
              <w:rPr>
                <w:rFonts w:ascii="宋体" w:hAnsi="宋体" w:eastAsia="宋体" w:cs="宋体"/>
                <w:color w:val="000000"/>
                <w:sz w:val="22"/>
              </w:rPr>
            </w:pPr>
            <w:r>
              <w:rPr>
                <w:rFonts w:hint="eastAsia"/>
                <w:color w:val="000000"/>
                <w:sz w:val="22"/>
              </w:rPr>
              <w:t>　</w:t>
            </w:r>
          </w:p>
        </w:tc>
      </w:tr>
      <w:tr w14:paraId="4FFB03D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F0A3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2110101</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E9198D">
            <w:pPr>
              <w:rPr>
                <w:rFonts w:ascii="宋体" w:hAnsi="宋体" w:eastAsia="宋体" w:cs="宋体"/>
                <w:color w:val="000000"/>
                <w:sz w:val="22"/>
              </w:rPr>
            </w:pPr>
            <w:r>
              <w:rPr>
                <w:rFonts w:hint="eastAsia"/>
                <w:color w:val="000000"/>
                <w:sz w:val="22"/>
              </w:rPr>
              <w:t>行政运行</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F3428">
            <w:pPr>
              <w:jc w:val="right"/>
              <w:rPr>
                <w:rFonts w:ascii="宋体" w:hAnsi="宋体" w:eastAsia="宋体" w:cs="宋体"/>
                <w:color w:val="000000"/>
                <w:sz w:val="22"/>
              </w:rPr>
            </w:pPr>
            <w:r>
              <w:rPr>
                <w:rFonts w:hint="eastAsia"/>
                <w:color w:val="000000"/>
                <w:sz w:val="22"/>
              </w:rPr>
              <w:t>264.50</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64BC9">
            <w:pPr>
              <w:jc w:val="right"/>
              <w:rPr>
                <w:rFonts w:ascii="宋体" w:hAnsi="宋体" w:eastAsia="宋体" w:cs="宋体"/>
                <w:color w:val="000000"/>
                <w:sz w:val="22"/>
              </w:rPr>
            </w:pPr>
            <w:r>
              <w:rPr>
                <w:rFonts w:hint="eastAsia"/>
                <w:color w:val="000000"/>
                <w:sz w:val="22"/>
              </w:rPr>
              <w:t>256.53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49D0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95F59">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5A09C">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F9C64">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2A32E">
            <w:pPr>
              <w:jc w:val="right"/>
              <w:rPr>
                <w:rFonts w:ascii="宋体" w:hAnsi="宋体" w:eastAsia="宋体" w:cs="宋体"/>
                <w:color w:val="000000"/>
                <w:sz w:val="22"/>
              </w:rPr>
            </w:pPr>
            <w:r>
              <w:rPr>
                <w:rFonts w:hint="eastAsia"/>
                <w:color w:val="000000"/>
                <w:sz w:val="22"/>
              </w:rPr>
              <w:t>7.97</w:t>
            </w:r>
          </w:p>
        </w:tc>
      </w:tr>
      <w:tr w14:paraId="44780B5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66278F">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2110199</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A0D47">
            <w:pPr>
              <w:rPr>
                <w:rFonts w:ascii="宋体" w:hAnsi="宋体" w:eastAsia="宋体" w:cs="宋体"/>
                <w:color w:val="000000"/>
                <w:sz w:val="22"/>
              </w:rPr>
            </w:pPr>
            <w:r>
              <w:rPr>
                <w:rFonts w:hint="eastAsia"/>
                <w:color w:val="000000"/>
                <w:sz w:val="22"/>
              </w:rPr>
              <w:t>其他环境保护管理事务支出</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C1822">
            <w:pPr>
              <w:jc w:val="right"/>
              <w:rPr>
                <w:rFonts w:ascii="宋体" w:hAnsi="宋体" w:eastAsia="宋体" w:cs="宋体"/>
                <w:color w:val="000000"/>
                <w:sz w:val="22"/>
              </w:rPr>
            </w:pPr>
            <w:r>
              <w:rPr>
                <w:rFonts w:hint="eastAsia"/>
                <w:color w:val="000000"/>
                <w:sz w:val="22"/>
              </w:rPr>
              <w:t>38.00</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F210E">
            <w:pPr>
              <w:jc w:val="right"/>
              <w:rPr>
                <w:rFonts w:ascii="宋体" w:hAnsi="宋体" w:eastAsia="宋体" w:cs="宋体"/>
                <w:color w:val="000000"/>
                <w:sz w:val="22"/>
              </w:rPr>
            </w:pPr>
            <w:r>
              <w:rPr>
                <w:rFonts w:hint="eastAsia"/>
                <w:color w:val="000000"/>
                <w:sz w:val="22"/>
              </w:rPr>
              <w:t>38.00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178D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BE9C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8EC2D">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E6930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83941">
            <w:pPr>
              <w:jc w:val="right"/>
              <w:rPr>
                <w:rFonts w:ascii="宋体" w:hAnsi="宋体" w:eastAsia="宋体" w:cs="宋体"/>
                <w:color w:val="000000"/>
                <w:sz w:val="22"/>
              </w:rPr>
            </w:pPr>
            <w:r>
              <w:rPr>
                <w:rFonts w:hint="eastAsia"/>
                <w:color w:val="000000"/>
                <w:sz w:val="22"/>
              </w:rPr>
              <w:t>　</w:t>
            </w:r>
          </w:p>
        </w:tc>
      </w:tr>
      <w:tr w14:paraId="30AA09F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1C6CC">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2110299</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9F226">
            <w:pPr>
              <w:rPr>
                <w:rFonts w:ascii="宋体" w:hAnsi="宋体" w:eastAsia="宋体" w:cs="宋体"/>
                <w:color w:val="000000"/>
                <w:sz w:val="22"/>
              </w:rPr>
            </w:pPr>
            <w:r>
              <w:rPr>
                <w:rFonts w:hint="eastAsia"/>
                <w:color w:val="000000"/>
                <w:sz w:val="22"/>
              </w:rPr>
              <w:t>其他环境监测与监察支出</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283D8">
            <w:pPr>
              <w:jc w:val="right"/>
              <w:rPr>
                <w:rFonts w:ascii="宋体" w:hAnsi="宋体" w:eastAsia="宋体" w:cs="宋体"/>
                <w:color w:val="000000"/>
                <w:sz w:val="22"/>
              </w:rPr>
            </w:pPr>
            <w:r>
              <w:rPr>
                <w:rFonts w:hint="eastAsia"/>
                <w:color w:val="000000"/>
                <w:sz w:val="22"/>
              </w:rPr>
              <w:t>53.10</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D77DB">
            <w:pPr>
              <w:jc w:val="right"/>
              <w:rPr>
                <w:rFonts w:ascii="宋体" w:hAnsi="宋体" w:eastAsia="宋体" w:cs="宋体"/>
                <w:color w:val="000000"/>
                <w:sz w:val="22"/>
              </w:rPr>
            </w:pPr>
            <w:r>
              <w:rPr>
                <w:rFonts w:hint="eastAsia"/>
                <w:color w:val="000000"/>
                <w:sz w:val="22"/>
              </w:rPr>
              <w:t>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58713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1F9B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63B8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C0271">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683BE">
            <w:pPr>
              <w:jc w:val="right"/>
              <w:rPr>
                <w:rFonts w:ascii="宋体" w:hAnsi="宋体" w:eastAsia="宋体" w:cs="宋体"/>
                <w:color w:val="000000"/>
                <w:sz w:val="22"/>
              </w:rPr>
            </w:pPr>
            <w:r>
              <w:rPr>
                <w:rFonts w:hint="eastAsia"/>
                <w:color w:val="000000"/>
                <w:sz w:val="22"/>
              </w:rPr>
              <w:t>52.10</w:t>
            </w:r>
          </w:p>
        </w:tc>
      </w:tr>
      <w:tr w14:paraId="10C1436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92ACE5">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2110302</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06D11C">
            <w:pPr>
              <w:rPr>
                <w:rFonts w:ascii="宋体" w:hAnsi="宋体" w:eastAsia="宋体" w:cs="宋体"/>
                <w:color w:val="000000"/>
                <w:sz w:val="22"/>
              </w:rPr>
            </w:pPr>
            <w:r>
              <w:rPr>
                <w:rFonts w:hint="eastAsia"/>
                <w:color w:val="000000"/>
                <w:sz w:val="22"/>
              </w:rPr>
              <w:t>水体</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27E0D">
            <w:pPr>
              <w:jc w:val="right"/>
              <w:rPr>
                <w:rFonts w:ascii="宋体" w:hAnsi="宋体" w:eastAsia="宋体" w:cs="宋体"/>
                <w:color w:val="000000"/>
                <w:sz w:val="22"/>
              </w:rPr>
            </w:pPr>
            <w:r>
              <w:rPr>
                <w:rFonts w:hint="eastAsia"/>
                <w:color w:val="000000"/>
                <w:sz w:val="22"/>
              </w:rPr>
              <w:t>28.41</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5CFD8">
            <w:pPr>
              <w:jc w:val="right"/>
              <w:rPr>
                <w:rFonts w:ascii="宋体" w:hAnsi="宋体" w:eastAsia="宋体" w:cs="宋体"/>
                <w:color w:val="000000"/>
                <w:sz w:val="22"/>
              </w:rPr>
            </w:pPr>
            <w:r>
              <w:rPr>
                <w:rFonts w:hint="eastAsia"/>
                <w:color w:val="000000"/>
                <w:sz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EADBA">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7D292">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1ED8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7D60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1DD34">
            <w:pPr>
              <w:jc w:val="right"/>
              <w:rPr>
                <w:rFonts w:ascii="宋体" w:hAnsi="宋体" w:eastAsia="宋体" w:cs="宋体"/>
                <w:color w:val="000000"/>
                <w:sz w:val="22"/>
              </w:rPr>
            </w:pPr>
            <w:r>
              <w:rPr>
                <w:rFonts w:hint="eastAsia"/>
                <w:color w:val="000000"/>
                <w:sz w:val="22"/>
              </w:rPr>
              <w:t>28.41</w:t>
            </w:r>
          </w:p>
        </w:tc>
      </w:tr>
      <w:tr w14:paraId="08AC59E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1979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2110399</w:t>
            </w:r>
          </w:p>
        </w:tc>
        <w:tc>
          <w:tcPr>
            <w:tcW w:w="170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C2E6F">
            <w:pPr>
              <w:rPr>
                <w:rFonts w:ascii="宋体" w:hAnsi="宋体" w:eastAsia="宋体" w:cs="宋体"/>
                <w:color w:val="000000"/>
                <w:sz w:val="22"/>
              </w:rPr>
            </w:pPr>
            <w:r>
              <w:rPr>
                <w:rFonts w:hint="eastAsia"/>
                <w:color w:val="000000"/>
                <w:sz w:val="22"/>
              </w:rPr>
              <w:t>其他污染防治支出</w:t>
            </w:r>
          </w:p>
        </w:tc>
        <w:tc>
          <w:tcPr>
            <w:tcW w:w="1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F9A460">
            <w:pPr>
              <w:jc w:val="right"/>
              <w:rPr>
                <w:rFonts w:ascii="宋体" w:hAnsi="宋体" w:eastAsia="宋体" w:cs="宋体"/>
                <w:color w:val="000000"/>
                <w:sz w:val="22"/>
              </w:rPr>
            </w:pPr>
            <w:r>
              <w:rPr>
                <w:rFonts w:hint="eastAsia"/>
                <w:color w:val="000000"/>
                <w:sz w:val="22"/>
              </w:rPr>
              <w:t>89.16</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F022AC">
            <w:pPr>
              <w:jc w:val="right"/>
              <w:rPr>
                <w:rFonts w:ascii="宋体" w:hAnsi="宋体" w:eastAsia="宋体" w:cs="宋体"/>
                <w:color w:val="000000"/>
                <w:sz w:val="22"/>
              </w:rPr>
            </w:pPr>
            <w:r>
              <w:rPr>
                <w:rFonts w:hint="eastAsia"/>
                <w:color w:val="000000"/>
                <w:sz w:val="22"/>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1221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4AB27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736F9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4AE9E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68B402">
            <w:pPr>
              <w:jc w:val="right"/>
              <w:rPr>
                <w:rFonts w:ascii="宋体" w:hAnsi="宋体" w:eastAsia="宋体" w:cs="宋体"/>
                <w:color w:val="000000"/>
                <w:sz w:val="22"/>
              </w:rPr>
            </w:pPr>
            <w:r>
              <w:rPr>
                <w:rFonts w:hint="eastAsia"/>
                <w:color w:val="000000"/>
                <w:sz w:val="22"/>
              </w:rPr>
              <w:t>89.16</w:t>
            </w:r>
          </w:p>
        </w:tc>
      </w:tr>
      <w:tr w14:paraId="2059DB90">
        <w:tblPrEx>
          <w:tblCellMar>
            <w:top w:w="0" w:type="dxa"/>
            <w:left w:w="0" w:type="dxa"/>
            <w:bottom w:w="0" w:type="dxa"/>
            <w:right w:w="0" w:type="dxa"/>
          </w:tblCellMar>
        </w:tblPrEx>
        <w:trPr>
          <w:trHeight w:val="607"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64A9D">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2120402</w:t>
            </w:r>
          </w:p>
        </w:tc>
        <w:tc>
          <w:tcPr>
            <w:tcW w:w="1706"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D91C66">
            <w:pPr>
              <w:rPr>
                <w:rFonts w:ascii="宋体" w:hAnsi="宋体" w:eastAsia="宋体" w:cs="宋体"/>
                <w:color w:val="000000"/>
                <w:sz w:val="22"/>
              </w:rPr>
            </w:pPr>
            <w:r>
              <w:rPr>
                <w:rFonts w:hint="eastAsia"/>
                <w:color w:val="000000"/>
                <w:sz w:val="22"/>
              </w:rPr>
              <w:t>农村环境保护</w:t>
            </w:r>
          </w:p>
        </w:tc>
        <w:tc>
          <w:tcPr>
            <w:tcW w:w="141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CA582">
            <w:pPr>
              <w:jc w:val="right"/>
              <w:rPr>
                <w:rFonts w:ascii="宋体" w:hAnsi="宋体" w:eastAsia="宋体" w:cs="宋体"/>
                <w:color w:val="000000"/>
                <w:sz w:val="22"/>
              </w:rPr>
            </w:pPr>
            <w:r>
              <w:rPr>
                <w:rFonts w:hint="eastAsia"/>
                <w:color w:val="000000"/>
                <w:sz w:val="22"/>
              </w:rPr>
              <w:t>30.00</w:t>
            </w:r>
          </w:p>
        </w:tc>
        <w:tc>
          <w:tcPr>
            <w:tcW w:w="145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21D3C">
            <w:pPr>
              <w:jc w:val="right"/>
              <w:rPr>
                <w:rFonts w:ascii="宋体" w:hAnsi="宋体" w:eastAsia="宋体" w:cs="宋体"/>
                <w:color w:val="000000"/>
                <w:sz w:val="22"/>
              </w:rPr>
            </w:pPr>
            <w:r>
              <w:rPr>
                <w:rFonts w:hint="eastAsia"/>
                <w:color w:val="000000"/>
                <w:sz w:val="22"/>
              </w:rPr>
              <w:t>　</w:t>
            </w: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52905">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CAB37">
            <w:pPr>
              <w:jc w:val="right"/>
              <w:rPr>
                <w:rFonts w:ascii="Times New Roman" w:hAnsi="Times New Roman" w:eastAsia="仿宋_GB2312" w:cs="Times New Roman"/>
              </w:rPr>
            </w:pPr>
          </w:p>
        </w:tc>
        <w:tc>
          <w:tcPr>
            <w:tcW w:w="16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59740">
            <w:pPr>
              <w:jc w:val="right"/>
              <w:rPr>
                <w:rFonts w:ascii="Times New Roman" w:hAnsi="Times New Roman" w:eastAsia="仿宋_GB2312" w:cs="Times New Roman"/>
              </w:rPr>
            </w:pP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F53F6">
            <w:pPr>
              <w:jc w:val="right"/>
              <w:rPr>
                <w:rFonts w:ascii="Times New Roman" w:hAnsi="Times New Roman" w:eastAsia="仿宋_GB2312" w:cs="Times New Roman"/>
              </w:rPr>
            </w:pP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047C6">
            <w:pPr>
              <w:jc w:val="right"/>
              <w:rPr>
                <w:rFonts w:ascii="宋体" w:hAnsi="宋体" w:eastAsia="宋体" w:cs="宋体"/>
                <w:color w:val="000000"/>
                <w:sz w:val="22"/>
              </w:rPr>
            </w:pPr>
            <w:r>
              <w:rPr>
                <w:rFonts w:hint="eastAsia"/>
                <w:color w:val="000000"/>
                <w:sz w:val="22"/>
              </w:rPr>
              <w:t>30.00</w:t>
            </w:r>
          </w:p>
        </w:tc>
      </w:tr>
      <w:tr w14:paraId="672B6BB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3531B">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2120199</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3D034F">
            <w:pPr>
              <w:rPr>
                <w:color w:val="000000"/>
                <w:sz w:val="22"/>
              </w:rPr>
            </w:pPr>
            <w:r>
              <w:rPr>
                <w:rFonts w:hint="eastAsia"/>
                <w:color w:val="000000"/>
                <w:sz w:val="22"/>
              </w:rPr>
              <w:t>其他城乡社区管理事务支出</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12415">
            <w:pPr>
              <w:jc w:val="right"/>
              <w:rPr>
                <w:color w:val="000000"/>
                <w:sz w:val="22"/>
              </w:rPr>
            </w:pPr>
            <w:r>
              <w:rPr>
                <w:rFonts w:hint="eastAsia"/>
                <w:color w:val="000000"/>
                <w:sz w:val="22"/>
              </w:rPr>
              <w:t>600.33</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A0EB0">
            <w:pPr>
              <w:jc w:val="right"/>
              <w:rPr>
                <w:color w:val="000000"/>
                <w:sz w:val="22"/>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625D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CA900">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80370">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111AE">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046E3">
            <w:pPr>
              <w:jc w:val="right"/>
              <w:rPr>
                <w:color w:val="000000"/>
                <w:sz w:val="22"/>
              </w:rPr>
            </w:pPr>
            <w:r>
              <w:rPr>
                <w:rFonts w:hint="eastAsia"/>
                <w:color w:val="000000"/>
                <w:sz w:val="22"/>
              </w:rPr>
              <w:t>600.33</w:t>
            </w:r>
          </w:p>
        </w:tc>
      </w:tr>
      <w:tr w14:paraId="4CC8CB3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0A267">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2130599</w:t>
            </w:r>
          </w:p>
        </w:tc>
        <w:tc>
          <w:tcPr>
            <w:tcW w:w="170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51632">
            <w:pPr>
              <w:rPr>
                <w:rFonts w:ascii="宋体" w:hAnsi="宋体" w:eastAsia="宋体" w:cs="宋体"/>
                <w:color w:val="000000"/>
                <w:sz w:val="22"/>
              </w:rPr>
            </w:pPr>
            <w:r>
              <w:rPr>
                <w:rFonts w:hint="eastAsia"/>
                <w:color w:val="000000"/>
                <w:sz w:val="22"/>
              </w:rPr>
              <w:t>其他巩固脱贫攻坚成果衔接乡村振兴</w:t>
            </w: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FBE8F">
            <w:pPr>
              <w:jc w:val="right"/>
              <w:rPr>
                <w:rFonts w:ascii="宋体" w:hAnsi="宋体" w:eastAsia="宋体" w:cs="宋体"/>
                <w:color w:val="000000"/>
                <w:sz w:val="22"/>
              </w:rPr>
            </w:pPr>
            <w:r>
              <w:rPr>
                <w:rFonts w:hint="eastAsia"/>
                <w:color w:val="000000"/>
                <w:sz w:val="22"/>
              </w:rPr>
              <w:t>0.34</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42F09">
            <w:pPr>
              <w:jc w:val="right"/>
              <w:rPr>
                <w:rFonts w:ascii="宋体" w:hAnsi="宋体" w:eastAsia="宋体" w:cs="宋体"/>
                <w:color w:val="000000"/>
                <w:sz w:val="22"/>
              </w:rPr>
            </w:pPr>
            <w:r>
              <w:rPr>
                <w:rFonts w:hint="eastAsia"/>
                <w:color w:val="000000"/>
                <w:sz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5E3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A5C5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5115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5CA6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E24BE">
            <w:pPr>
              <w:jc w:val="right"/>
              <w:rPr>
                <w:rFonts w:ascii="宋体" w:hAnsi="宋体" w:eastAsia="宋体" w:cs="宋体"/>
                <w:color w:val="000000"/>
                <w:sz w:val="22"/>
              </w:rPr>
            </w:pPr>
            <w:r>
              <w:rPr>
                <w:rFonts w:hint="eastAsia"/>
                <w:color w:val="000000"/>
                <w:sz w:val="22"/>
              </w:rPr>
              <w:t>0.34</w:t>
            </w:r>
          </w:p>
        </w:tc>
      </w:tr>
    </w:tbl>
    <w:p w14:paraId="6756104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E1265C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59A4F3B6">
      <w:pPr>
        <w:widowControl/>
        <w:jc w:val="center"/>
        <w:textAlignment w:val="center"/>
        <w:rPr>
          <w:rFonts w:ascii="Times New Roman" w:hAnsi="Times New Roman" w:eastAsia="黑体" w:cs="Times New Roman"/>
          <w:color w:val="000000"/>
          <w:kern w:val="0"/>
          <w:sz w:val="32"/>
          <w:szCs w:val="32"/>
        </w:rPr>
      </w:pPr>
    </w:p>
    <w:p w14:paraId="0A448B0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D237C3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B119E9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14214" w:type="dxa"/>
        <w:jc w:val="center"/>
        <w:tblLayout w:type="fixed"/>
        <w:tblCellMar>
          <w:top w:w="0" w:type="dxa"/>
          <w:left w:w="108" w:type="dxa"/>
          <w:bottom w:w="0" w:type="dxa"/>
          <w:right w:w="108" w:type="dxa"/>
        </w:tblCellMar>
      </w:tblPr>
      <w:tblGrid>
        <w:gridCol w:w="1363"/>
        <w:gridCol w:w="112"/>
        <w:gridCol w:w="4177"/>
        <w:gridCol w:w="1595"/>
        <w:gridCol w:w="1475"/>
        <w:gridCol w:w="1475"/>
        <w:gridCol w:w="1160"/>
        <w:gridCol w:w="1080"/>
        <w:gridCol w:w="1777"/>
      </w:tblGrid>
      <w:tr w14:paraId="48B98B66">
        <w:tblPrEx>
          <w:tblCellMar>
            <w:top w:w="0" w:type="dxa"/>
            <w:left w:w="108" w:type="dxa"/>
            <w:bottom w:w="0" w:type="dxa"/>
            <w:right w:w="108" w:type="dxa"/>
          </w:tblCellMar>
        </w:tblPrEx>
        <w:trPr>
          <w:trHeight w:val="595" w:hRule="atLeast"/>
          <w:jc w:val="center"/>
        </w:trPr>
        <w:tc>
          <w:tcPr>
            <w:tcW w:w="565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923FCB0">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项目</w:t>
            </w:r>
          </w:p>
        </w:tc>
        <w:tc>
          <w:tcPr>
            <w:tcW w:w="159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47E2F9">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14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AA80BB">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基本支出</w:t>
            </w:r>
          </w:p>
        </w:tc>
        <w:tc>
          <w:tcPr>
            <w:tcW w:w="14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7A7669">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项目支出</w:t>
            </w:r>
          </w:p>
        </w:tc>
        <w:tc>
          <w:tcPr>
            <w:tcW w:w="11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530C20">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上缴上级支出</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0688AD">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经营支出</w:t>
            </w:r>
          </w:p>
        </w:tc>
        <w:tc>
          <w:tcPr>
            <w:tcW w:w="17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8BF90A">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对附属单位补助支出</w:t>
            </w:r>
          </w:p>
        </w:tc>
      </w:tr>
      <w:tr w14:paraId="3D794DD8">
        <w:tblPrEx>
          <w:tblCellMar>
            <w:top w:w="0" w:type="dxa"/>
            <w:left w:w="108" w:type="dxa"/>
            <w:bottom w:w="0" w:type="dxa"/>
            <w:right w:w="108" w:type="dxa"/>
          </w:tblCellMar>
        </w:tblPrEx>
        <w:trPr>
          <w:trHeight w:val="312" w:hRule="exact"/>
          <w:jc w:val="center"/>
        </w:trPr>
        <w:tc>
          <w:tcPr>
            <w:tcW w:w="136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B00EA4">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功能分类科目编码</w:t>
            </w:r>
          </w:p>
        </w:tc>
        <w:tc>
          <w:tcPr>
            <w:tcW w:w="4289"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4752D8FD">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科目名称</w:t>
            </w:r>
          </w:p>
        </w:tc>
        <w:tc>
          <w:tcPr>
            <w:tcW w:w="1595" w:type="dxa"/>
            <w:vMerge w:val="continue"/>
            <w:tcBorders>
              <w:top w:val="single" w:color="auto" w:sz="4" w:space="0"/>
              <w:left w:val="single" w:color="auto" w:sz="4" w:space="0"/>
              <w:bottom w:val="single" w:color="auto" w:sz="4" w:space="0"/>
              <w:right w:val="single" w:color="auto" w:sz="4" w:space="0"/>
            </w:tcBorders>
            <w:vAlign w:val="center"/>
          </w:tcPr>
          <w:p w14:paraId="1BBE4E92">
            <w:pPr>
              <w:widowControl/>
              <w:jc w:val="left"/>
              <w:rPr>
                <w:rFonts w:ascii="Times New Roman" w:hAnsi="Times New Roman" w:eastAsia="仿宋_GB2312" w:cs="Times New Roman"/>
                <w:b/>
                <w:bCs/>
                <w:kern w:val="0"/>
                <w:szCs w:val="21"/>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07D4266F">
            <w:pPr>
              <w:widowControl/>
              <w:jc w:val="left"/>
              <w:rPr>
                <w:rFonts w:ascii="Times New Roman" w:hAnsi="Times New Roman" w:eastAsia="仿宋_GB2312" w:cs="Times New Roman"/>
                <w:b/>
                <w:bCs/>
                <w:kern w:val="0"/>
                <w:szCs w:val="21"/>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70A02B8D">
            <w:pPr>
              <w:widowControl/>
              <w:jc w:val="left"/>
              <w:rPr>
                <w:rFonts w:ascii="Times New Roman" w:hAnsi="Times New Roman" w:eastAsia="仿宋_GB2312" w:cs="Times New Roman"/>
                <w:b/>
                <w:bCs/>
                <w:kern w:val="0"/>
                <w:szCs w:val="21"/>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68AFA7C7">
            <w:pPr>
              <w:widowControl/>
              <w:jc w:val="left"/>
              <w:rPr>
                <w:rFonts w:ascii="Times New Roman" w:hAnsi="Times New Roman" w:eastAsia="仿宋_GB2312" w:cs="Times New Roman"/>
                <w:b/>
                <w:bCs/>
                <w:kern w:val="0"/>
                <w:szCs w:val="21"/>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569C130">
            <w:pPr>
              <w:widowControl/>
              <w:jc w:val="left"/>
              <w:rPr>
                <w:rFonts w:ascii="Times New Roman" w:hAnsi="Times New Roman" w:eastAsia="仿宋_GB2312" w:cs="Times New Roman"/>
                <w:b/>
                <w:bCs/>
                <w:kern w:val="0"/>
                <w:szCs w:val="21"/>
              </w:rPr>
            </w:pPr>
          </w:p>
        </w:tc>
        <w:tc>
          <w:tcPr>
            <w:tcW w:w="1777" w:type="dxa"/>
            <w:vMerge w:val="continue"/>
            <w:tcBorders>
              <w:top w:val="single" w:color="auto" w:sz="4" w:space="0"/>
              <w:left w:val="single" w:color="auto" w:sz="4" w:space="0"/>
              <w:bottom w:val="single" w:color="auto" w:sz="4" w:space="0"/>
              <w:right w:val="single" w:color="auto" w:sz="4" w:space="0"/>
            </w:tcBorders>
            <w:vAlign w:val="center"/>
          </w:tcPr>
          <w:p w14:paraId="5E34A75F">
            <w:pPr>
              <w:widowControl/>
              <w:jc w:val="left"/>
              <w:rPr>
                <w:rFonts w:ascii="Times New Roman" w:hAnsi="Times New Roman" w:eastAsia="仿宋_GB2312" w:cs="Times New Roman"/>
                <w:b/>
                <w:bCs/>
                <w:kern w:val="0"/>
                <w:szCs w:val="21"/>
              </w:rPr>
            </w:pPr>
          </w:p>
        </w:tc>
      </w:tr>
      <w:tr w14:paraId="62BA6AD2">
        <w:tblPrEx>
          <w:tblCellMar>
            <w:top w:w="0" w:type="dxa"/>
            <w:left w:w="108" w:type="dxa"/>
            <w:bottom w:w="0" w:type="dxa"/>
            <w:right w:w="108" w:type="dxa"/>
          </w:tblCellMar>
        </w:tblPrEx>
        <w:trPr>
          <w:trHeight w:val="595" w:hRule="atLeast"/>
          <w:jc w:val="center"/>
        </w:trPr>
        <w:tc>
          <w:tcPr>
            <w:tcW w:w="1363" w:type="dxa"/>
            <w:vMerge w:val="continue"/>
            <w:tcBorders>
              <w:top w:val="single" w:color="auto" w:sz="4" w:space="0"/>
              <w:left w:val="single" w:color="auto" w:sz="4" w:space="0"/>
              <w:bottom w:val="single" w:color="auto" w:sz="4" w:space="0"/>
              <w:right w:val="single" w:color="auto" w:sz="4" w:space="0"/>
            </w:tcBorders>
            <w:vAlign w:val="center"/>
          </w:tcPr>
          <w:p w14:paraId="7DD6B12B">
            <w:pPr>
              <w:widowControl/>
              <w:jc w:val="left"/>
              <w:rPr>
                <w:rFonts w:ascii="Times New Roman" w:hAnsi="Times New Roman" w:eastAsia="仿宋_GB2312" w:cs="Times New Roman"/>
                <w:kern w:val="0"/>
                <w:sz w:val="24"/>
                <w:szCs w:val="24"/>
              </w:rPr>
            </w:pPr>
          </w:p>
        </w:tc>
        <w:tc>
          <w:tcPr>
            <w:tcW w:w="4289" w:type="dxa"/>
            <w:gridSpan w:val="2"/>
            <w:vMerge w:val="continue"/>
            <w:tcBorders>
              <w:top w:val="nil"/>
              <w:left w:val="single" w:color="auto" w:sz="4" w:space="0"/>
              <w:bottom w:val="single" w:color="auto" w:sz="4" w:space="0"/>
              <w:right w:val="single" w:color="auto" w:sz="4" w:space="0"/>
            </w:tcBorders>
            <w:vAlign w:val="center"/>
          </w:tcPr>
          <w:p w14:paraId="6265EFD5">
            <w:pPr>
              <w:widowControl/>
              <w:jc w:val="left"/>
              <w:rPr>
                <w:rFonts w:ascii="Times New Roman" w:hAnsi="Times New Roman" w:eastAsia="仿宋_GB2312" w:cs="Times New Roman"/>
                <w:kern w:val="0"/>
                <w:sz w:val="24"/>
                <w:szCs w:val="24"/>
              </w:rPr>
            </w:pPr>
          </w:p>
        </w:tc>
        <w:tc>
          <w:tcPr>
            <w:tcW w:w="1595" w:type="dxa"/>
            <w:vMerge w:val="continue"/>
            <w:tcBorders>
              <w:top w:val="single" w:color="auto" w:sz="4" w:space="0"/>
              <w:left w:val="single" w:color="auto" w:sz="4" w:space="0"/>
              <w:bottom w:val="single" w:color="auto" w:sz="4" w:space="0"/>
              <w:right w:val="single" w:color="auto" w:sz="4" w:space="0"/>
            </w:tcBorders>
            <w:vAlign w:val="center"/>
          </w:tcPr>
          <w:p w14:paraId="4DD3A77F">
            <w:pPr>
              <w:widowControl/>
              <w:jc w:val="left"/>
              <w:rPr>
                <w:rFonts w:ascii="Times New Roman" w:hAnsi="Times New Roman" w:eastAsia="仿宋_GB2312" w:cs="Times New Roman"/>
                <w:kern w:val="0"/>
                <w:sz w:val="24"/>
                <w:szCs w:val="24"/>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7DAC1B0D">
            <w:pPr>
              <w:widowControl/>
              <w:jc w:val="left"/>
              <w:rPr>
                <w:rFonts w:ascii="Times New Roman" w:hAnsi="Times New Roman" w:eastAsia="仿宋_GB2312" w:cs="Times New Roman"/>
                <w:kern w:val="0"/>
                <w:sz w:val="24"/>
                <w:szCs w:val="24"/>
              </w:rPr>
            </w:pPr>
          </w:p>
        </w:tc>
        <w:tc>
          <w:tcPr>
            <w:tcW w:w="1475" w:type="dxa"/>
            <w:vMerge w:val="continue"/>
            <w:tcBorders>
              <w:top w:val="single" w:color="auto" w:sz="4" w:space="0"/>
              <w:left w:val="single" w:color="auto" w:sz="4" w:space="0"/>
              <w:bottom w:val="single" w:color="auto" w:sz="4" w:space="0"/>
              <w:right w:val="single" w:color="auto" w:sz="4" w:space="0"/>
            </w:tcBorders>
            <w:vAlign w:val="center"/>
          </w:tcPr>
          <w:p w14:paraId="189A4476">
            <w:pPr>
              <w:widowControl/>
              <w:jc w:val="left"/>
              <w:rPr>
                <w:rFonts w:ascii="Times New Roman" w:hAnsi="Times New Roman" w:eastAsia="仿宋_GB2312" w:cs="Times New Roman"/>
                <w:kern w:val="0"/>
                <w:sz w:val="24"/>
                <w:szCs w:val="24"/>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43AC5ED2">
            <w:pPr>
              <w:widowControl/>
              <w:jc w:val="left"/>
              <w:rPr>
                <w:rFonts w:ascii="Times New Roman" w:hAnsi="Times New Roman" w:eastAsia="仿宋_GB2312" w:cs="Times New Roman"/>
                <w:kern w:val="0"/>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C88F057">
            <w:pPr>
              <w:widowControl/>
              <w:jc w:val="left"/>
              <w:rPr>
                <w:rFonts w:ascii="Times New Roman" w:hAnsi="Times New Roman" w:eastAsia="仿宋_GB2312" w:cs="Times New Roman"/>
                <w:kern w:val="0"/>
                <w:sz w:val="24"/>
                <w:szCs w:val="24"/>
              </w:rPr>
            </w:pPr>
          </w:p>
        </w:tc>
        <w:tc>
          <w:tcPr>
            <w:tcW w:w="1777" w:type="dxa"/>
            <w:vMerge w:val="continue"/>
            <w:tcBorders>
              <w:top w:val="single" w:color="auto" w:sz="4" w:space="0"/>
              <w:left w:val="single" w:color="auto" w:sz="4" w:space="0"/>
              <w:bottom w:val="single" w:color="auto" w:sz="4" w:space="0"/>
              <w:right w:val="single" w:color="auto" w:sz="4" w:space="0"/>
            </w:tcBorders>
            <w:vAlign w:val="center"/>
          </w:tcPr>
          <w:p w14:paraId="543655FB">
            <w:pPr>
              <w:widowControl/>
              <w:jc w:val="left"/>
              <w:rPr>
                <w:rFonts w:ascii="Times New Roman" w:hAnsi="Times New Roman" w:eastAsia="仿宋_GB2312" w:cs="Times New Roman"/>
                <w:kern w:val="0"/>
                <w:sz w:val="24"/>
                <w:szCs w:val="24"/>
              </w:rPr>
            </w:pPr>
          </w:p>
        </w:tc>
      </w:tr>
      <w:tr w14:paraId="2A327350">
        <w:tblPrEx>
          <w:tblCellMar>
            <w:top w:w="0" w:type="dxa"/>
            <w:left w:w="108" w:type="dxa"/>
            <w:bottom w:w="0" w:type="dxa"/>
            <w:right w:w="108" w:type="dxa"/>
          </w:tblCellMar>
        </w:tblPrEx>
        <w:trPr>
          <w:trHeight w:val="595" w:hRule="atLeast"/>
          <w:jc w:val="center"/>
        </w:trPr>
        <w:tc>
          <w:tcPr>
            <w:tcW w:w="565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2741D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595" w:type="dxa"/>
            <w:tcBorders>
              <w:top w:val="nil"/>
              <w:left w:val="nil"/>
              <w:bottom w:val="single" w:color="auto" w:sz="4" w:space="0"/>
              <w:right w:val="single" w:color="auto" w:sz="4" w:space="0"/>
            </w:tcBorders>
            <w:shd w:val="clear" w:color="000000" w:fill="FFFFFF"/>
            <w:noWrap/>
            <w:vAlign w:val="center"/>
          </w:tcPr>
          <w:p w14:paraId="0FCD49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475" w:type="dxa"/>
            <w:tcBorders>
              <w:top w:val="nil"/>
              <w:left w:val="nil"/>
              <w:bottom w:val="single" w:color="auto" w:sz="4" w:space="0"/>
              <w:right w:val="single" w:color="auto" w:sz="4" w:space="0"/>
            </w:tcBorders>
            <w:shd w:val="clear" w:color="000000" w:fill="FFFFFF"/>
            <w:noWrap/>
            <w:vAlign w:val="center"/>
          </w:tcPr>
          <w:p w14:paraId="675623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75" w:type="dxa"/>
            <w:tcBorders>
              <w:top w:val="nil"/>
              <w:left w:val="nil"/>
              <w:bottom w:val="single" w:color="auto" w:sz="4" w:space="0"/>
              <w:right w:val="single" w:color="auto" w:sz="4" w:space="0"/>
            </w:tcBorders>
            <w:shd w:val="clear" w:color="000000" w:fill="FFFFFF"/>
            <w:noWrap/>
            <w:vAlign w:val="center"/>
          </w:tcPr>
          <w:p w14:paraId="5ECC84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160" w:type="dxa"/>
            <w:tcBorders>
              <w:top w:val="nil"/>
              <w:left w:val="nil"/>
              <w:bottom w:val="single" w:color="auto" w:sz="4" w:space="0"/>
              <w:right w:val="single" w:color="auto" w:sz="4" w:space="0"/>
            </w:tcBorders>
            <w:shd w:val="clear" w:color="000000" w:fill="FFFFFF"/>
            <w:noWrap/>
            <w:vAlign w:val="center"/>
          </w:tcPr>
          <w:p w14:paraId="78A61C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080" w:type="dxa"/>
            <w:tcBorders>
              <w:top w:val="nil"/>
              <w:left w:val="nil"/>
              <w:bottom w:val="single" w:color="auto" w:sz="4" w:space="0"/>
              <w:right w:val="single" w:color="auto" w:sz="4" w:space="0"/>
            </w:tcBorders>
            <w:shd w:val="clear" w:color="000000" w:fill="FFFFFF"/>
            <w:noWrap/>
            <w:vAlign w:val="center"/>
          </w:tcPr>
          <w:p w14:paraId="4253AF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777" w:type="dxa"/>
            <w:tcBorders>
              <w:top w:val="nil"/>
              <w:left w:val="nil"/>
              <w:bottom w:val="single" w:color="auto" w:sz="4" w:space="0"/>
              <w:right w:val="single" w:color="auto" w:sz="4" w:space="0"/>
            </w:tcBorders>
            <w:shd w:val="clear" w:color="000000" w:fill="FFFFFF"/>
            <w:noWrap/>
            <w:vAlign w:val="center"/>
          </w:tcPr>
          <w:p w14:paraId="06AC033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D2BCB59">
        <w:tblPrEx>
          <w:tblCellMar>
            <w:top w:w="0" w:type="dxa"/>
            <w:left w:w="108" w:type="dxa"/>
            <w:bottom w:w="0" w:type="dxa"/>
            <w:right w:w="108" w:type="dxa"/>
          </w:tblCellMar>
        </w:tblPrEx>
        <w:trPr>
          <w:trHeight w:val="595" w:hRule="atLeast"/>
          <w:jc w:val="center"/>
        </w:trPr>
        <w:tc>
          <w:tcPr>
            <w:tcW w:w="565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3CE9D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95" w:type="dxa"/>
            <w:tcBorders>
              <w:top w:val="nil"/>
              <w:left w:val="nil"/>
              <w:bottom w:val="single" w:color="auto" w:sz="4" w:space="0"/>
              <w:right w:val="single" w:color="auto" w:sz="4" w:space="0"/>
            </w:tcBorders>
            <w:shd w:val="clear" w:color="auto" w:fill="auto"/>
            <w:noWrap/>
            <w:vAlign w:val="center"/>
          </w:tcPr>
          <w:p w14:paraId="334607A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1116.83</w:t>
            </w:r>
          </w:p>
        </w:tc>
        <w:tc>
          <w:tcPr>
            <w:tcW w:w="1475" w:type="dxa"/>
            <w:tcBorders>
              <w:top w:val="nil"/>
              <w:left w:val="nil"/>
              <w:bottom w:val="single" w:color="auto" w:sz="4" w:space="0"/>
              <w:right w:val="single" w:color="auto" w:sz="4" w:space="0"/>
            </w:tcBorders>
            <w:shd w:val="clear" w:color="auto" w:fill="auto"/>
            <w:noWrap/>
            <w:vAlign w:val="center"/>
          </w:tcPr>
          <w:p w14:paraId="48727BD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477.86</w:t>
            </w:r>
            <w:r>
              <w:rPr>
                <w:rFonts w:ascii="Times New Roman" w:hAnsi="Times New Roman" w:eastAsia="仿宋_GB2312" w:cs="Times New Roman"/>
                <w:kern w:val="0"/>
                <w:sz w:val="24"/>
                <w:szCs w:val="24"/>
              </w:rPr>
              <w:t>　</w:t>
            </w:r>
          </w:p>
        </w:tc>
        <w:tc>
          <w:tcPr>
            <w:tcW w:w="1475" w:type="dxa"/>
            <w:tcBorders>
              <w:top w:val="nil"/>
              <w:left w:val="nil"/>
              <w:bottom w:val="single" w:color="auto" w:sz="4" w:space="0"/>
              <w:right w:val="single" w:color="auto" w:sz="4" w:space="0"/>
            </w:tcBorders>
            <w:shd w:val="clear" w:color="auto" w:fill="auto"/>
            <w:noWrap/>
            <w:vAlign w:val="center"/>
          </w:tcPr>
          <w:p w14:paraId="7611B48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638.97</w:t>
            </w:r>
            <w:r>
              <w:rPr>
                <w:rFonts w:ascii="Times New Roman" w:hAnsi="Times New Roman" w:eastAsia="仿宋_GB2312" w:cs="Times New Roman"/>
                <w:kern w:val="0"/>
                <w:sz w:val="24"/>
                <w:szCs w:val="24"/>
              </w:rPr>
              <w:t>　</w:t>
            </w:r>
          </w:p>
        </w:tc>
        <w:tc>
          <w:tcPr>
            <w:tcW w:w="1160" w:type="dxa"/>
            <w:tcBorders>
              <w:top w:val="nil"/>
              <w:left w:val="nil"/>
              <w:bottom w:val="single" w:color="auto" w:sz="4" w:space="0"/>
              <w:right w:val="single" w:color="auto" w:sz="4" w:space="0"/>
            </w:tcBorders>
            <w:shd w:val="clear" w:color="auto" w:fill="auto"/>
            <w:noWrap/>
            <w:vAlign w:val="center"/>
          </w:tcPr>
          <w:p w14:paraId="413816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4" w:space="0"/>
              <w:right w:val="single" w:color="auto" w:sz="4" w:space="0"/>
            </w:tcBorders>
            <w:shd w:val="clear" w:color="auto" w:fill="auto"/>
            <w:noWrap/>
            <w:vAlign w:val="center"/>
          </w:tcPr>
          <w:p w14:paraId="5C3C236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77" w:type="dxa"/>
            <w:tcBorders>
              <w:top w:val="nil"/>
              <w:left w:val="nil"/>
              <w:bottom w:val="single" w:color="auto" w:sz="4" w:space="0"/>
              <w:right w:val="single" w:color="auto" w:sz="4" w:space="0"/>
            </w:tcBorders>
            <w:shd w:val="clear" w:color="auto" w:fill="auto"/>
            <w:noWrap/>
            <w:vAlign w:val="center"/>
          </w:tcPr>
          <w:p w14:paraId="441C318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84094AF">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5EF84D">
            <w:pPr>
              <w:jc w:val="center"/>
              <w:rPr>
                <w:rFonts w:ascii="宋体" w:hAnsi="宋体" w:eastAsia="宋体" w:cs="宋体"/>
                <w:color w:val="000000"/>
                <w:sz w:val="22"/>
              </w:rPr>
            </w:pPr>
            <w:r>
              <w:rPr>
                <w:rFonts w:hint="eastAsia"/>
                <w:color w:val="000000"/>
                <w:sz w:val="22"/>
              </w:rPr>
              <w:t>2080501</w:t>
            </w:r>
          </w:p>
        </w:tc>
        <w:tc>
          <w:tcPr>
            <w:tcW w:w="4177" w:type="dxa"/>
            <w:tcBorders>
              <w:top w:val="nil"/>
              <w:left w:val="nil"/>
              <w:bottom w:val="single" w:color="auto" w:sz="4" w:space="0"/>
              <w:right w:val="single" w:color="auto" w:sz="4" w:space="0"/>
            </w:tcBorders>
            <w:shd w:val="clear" w:color="000000" w:fill="FFFFFF"/>
            <w:noWrap/>
            <w:vAlign w:val="center"/>
          </w:tcPr>
          <w:p w14:paraId="4522DF3E">
            <w:pPr>
              <w:rPr>
                <w:rFonts w:ascii="宋体" w:hAnsi="宋体" w:eastAsia="宋体" w:cs="宋体"/>
                <w:color w:val="000000"/>
                <w:sz w:val="22"/>
              </w:rPr>
            </w:pPr>
            <w:r>
              <w:rPr>
                <w:rFonts w:hint="eastAsia"/>
                <w:color w:val="000000"/>
                <w:sz w:val="22"/>
              </w:rPr>
              <w:t>行政单位离退休</w:t>
            </w:r>
          </w:p>
        </w:tc>
        <w:tc>
          <w:tcPr>
            <w:tcW w:w="1595" w:type="dxa"/>
            <w:tcBorders>
              <w:top w:val="nil"/>
              <w:left w:val="nil"/>
              <w:bottom w:val="single" w:color="auto" w:sz="4" w:space="0"/>
              <w:right w:val="single" w:color="auto" w:sz="4" w:space="0"/>
            </w:tcBorders>
            <w:shd w:val="clear" w:color="auto" w:fill="auto"/>
            <w:noWrap/>
            <w:vAlign w:val="center"/>
          </w:tcPr>
          <w:p w14:paraId="43A214E4">
            <w:pPr>
              <w:jc w:val="right"/>
              <w:rPr>
                <w:rFonts w:ascii="宋体" w:hAnsi="宋体" w:eastAsia="宋体" w:cs="宋体"/>
                <w:color w:val="000000"/>
                <w:sz w:val="22"/>
              </w:rPr>
            </w:pPr>
            <w:r>
              <w:rPr>
                <w:rFonts w:hint="eastAsia"/>
                <w:color w:val="000000"/>
                <w:sz w:val="22"/>
              </w:rPr>
              <w:t>3.23</w:t>
            </w:r>
          </w:p>
        </w:tc>
        <w:tc>
          <w:tcPr>
            <w:tcW w:w="1475" w:type="dxa"/>
            <w:tcBorders>
              <w:top w:val="nil"/>
              <w:left w:val="nil"/>
              <w:bottom w:val="single" w:color="auto" w:sz="4" w:space="0"/>
              <w:right w:val="single" w:color="auto" w:sz="4" w:space="0"/>
            </w:tcBorders>
            <w:shd w:val="clear" w:color="auto" w:fill="auto"/>
            <w:noWrap/>
            <w:vAlign w:val="center"/>
          </w:tcPr>
          <w:p w14:paraId="367D9CC5">
            <w:pPr>
              <w:jc w:val="right"/>
              <w:rPr>
                <w:rFonts w:ascii="宋体" w:hAnsi="宋体" w:eastAsia="宋体" w:cs="宋体"/>
                <w:color w:val="000000"/>
                <w:sz w:val="22"/>
              </w:rPr>
            </w:pPr>
            <w:r>
              <w:rPr>
                <w:rFonts w:hint="eastAsia"/>
                <w:color w:val="000000"/>
                <w:sz w:val="22"/>
              </w:rPr>
              <w:t>3.23</w:t>
            </w:r>
          </w:p>
        </w:tc>
        <w:tc>
          <w:tcPr>
            <w:tcW w:w="1475" w:type="dxa"/>
            <w:tcBorders>
              <w:top w:val="nil"/>
              <w:left w:val="nil"/>
              <w:bottom w:val="single" w:color="auto" w:sz="4" w:space="0"/>
              <w:right w:val="single" w:color="auto" w:sz="4" w:space="0"/>
            </w:tcBorders>
            <w:shd w:val="clear" w:color="auto" w:fill="auto"/>
            <w:noWrap/>
            <w:vAlign w:val="center"/>
          </w:tcPr>
          <w:p w14:paraId="6CDCB893">
            <w:pPr>
              <w:jc w:val="right"/>
              <w:rPr>
                <w:rFonts w:ascii="宋体" w:hAnsi="宋体" w:eastAsia="宋体" w:cs="宋体"/>
                <w:color w:val="000000"/>
                <w:sz w:val="22"/>
              </w:rPr>
            </w:pPr>
            <w:r>
              <w:rPr>
                <w:rFonts w:hint="eastAsia"/>
                <w:color w:val="000000"/>
                <w:sz w:val="22"/>
              </w:rPr>
              <w:t>　</w:t>
            </w:r>
          </w:p>
        </w:tc>
        <w:tc>
          <w:tcPr>
            <w:tcW w:w="1160" w:type="dxa"/>
            <w:tcBorders>
              <w:top w:val="nil"/>
              <w:left w:val="nil"/>
              <w:bottom w:val="single" w:color="auto" w:sz="4" w:space="0"/>
              <w:right w:val="single" w:color="auto" w:sz="4" w:space="0"/>
            </w:tcBorders>
            <w:shd w:val="clear" w:color="auto" w:fill="auto"/>
            <w:noWrap/>
            <w:vAlign w:val="center"/>
          </w:tcPr>
          <w:p w14:paraId="5003FF0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4" w:space="0"/>
              <w:right w:val="single" w:color="auto" w:sz="4" w:space="0"/>
            </w:tcBorders>
            <w:shd w:val="clear" w:color="auto" w:fill="auto"/>
            <w:noWrap/>
            <w:vAlign w:val="center"/>
          </w:tcPr>
          <w:p w14:paraId="128072E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77" w:type="dxa"/>
            <w:tcBorders>
              <w:top w:val="nil"/>
              <w:left w:val="nil"/>
              <w:bottom w:val="single" w:color="auto" w:sz="4" w:space="0"/>
              <w:right w:val="single" w:color="auto" w:sz="4" w:space="0"/>
            </w:tcBorders>
            <w:shd w:val="clear" w:color="auto" w:fill="auto"/>
            <w:noWrap/>
            <w:vAlign w:val="center"/>
          </w:tcPr>
          <w:p w14:paraId="749389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2F81C4">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DF9402">
            <w:pPr>
              <w:jc w:val="center"/>
              <w:rPr>
                <w:rFonts w:ascii="宋体" w:hAnsi="宋体" w:eastAsia="宋体" w:cs="宋体"/>
                <w:color w:val="000000"/>
                <w:sz w:val="22"/>
              </w:rPr>
            </w:pPr>
            <w:r>
              <w:rPr>
                <w:rFonts w:hint="eastAsia"/>
                <w:color w:val="000000"/>
                <w:sz w:val="22"/>
              </w:rPr>
              <w:t>2080505</w:t>
            </w:r>
          </w:p>
        </w:tc>
        <w:tc>
          <w:tcPr>
            <w:tcW w:w="4177" w:type="dxa"/>
            <w:tcBorders>
              <w:top w:val="nil"/>
              <w:left w:val="nil"/>
              <w:bottom w:val="single" w:color="auto" w:sz="4" w:space="0"/>
              <w:right w:val="single" w:color="auto" w:sz="4" w:space="0"/>
            </w:tcBorders>
            <w:shd w:val="clear" w:color="000000" w:fill="FFFFFF"/>
            <w:noWrap/>
            <w:vAlign w:val="center"/>
          </w:tcPr>
          <w:p w14:paraId="11574374">
            <w:pPr>
              <w:rPr>
                <w:rFonts w:ascii="宋体" w:hAnsi="宋体" w:eastAsia="宋体" w:cs="宋体"/>
                <w:color w:val="000000"/>
                <w:sz w:val="22"/>
              </w:rPr>
            </w:pPr>
            <w:r>
              <w:rPr>
                <w:rFonts w:hint="eastAsia"/>
                <w:color w:val="000000"/>
                <w:sz w:val="22"/>
              </w:rPr>
              <w:t>机关事业单位基本养老保险缴费支出</w:t>
            </w:r>
          </w:p>
        </w:tc>
        <w:tc>
          <w:tcPr>
            <w:tcW w:w="1595" w:type="dxa"/>
            <w:tcBorders>
              <w:top w:val="nil"/>
              <w:left w:val="nil"/>
              <w:bottom w:val="single" w:color="auto" w:sz="4" w:space="0"/>
              <w:right w:val="single" w:color="auto" w:sz="4" w:space="0"/>
            </w:tcBorders>
            <w:shd w:val="clear" w:color="auto" w:fill="auto"/>
            <w:noWrap/>
            <w:vAlign w:val="center"/>
          </w:tcPr>
          <w:p w14:paraId="68F700F1">
            <w:pPr>
              <w:jc w:val="right"/>
              <w:rPr>
                <w:rFonts w:ascii="宋体" w:hAnsi="宋体" w:eastAsia="宋体" w:cs="宋体"/>
                <w:color w:val="000000"/>
                <w:sz w:val="22"/>
              </w:rPr>
            </w:pPr>
            <w:r>
              <w:rPr>
                <w:rFonts w:hint="eastAsia"/>
                <w:color w:val="000000"/>
                <w:sz w:val="22"/>
              </w:rPr>
              <w:t>0.39</w:t>
            </w:r>
          </w:p>
        </w:tc>
        <w:tc>
          <w:tcPr>
            <w:tcW w:w="1475" w:type="dxa"/>
            <w:tcBorders>
              <w:top w:val="nil"/>
              <w:left w:val="nil"/>
              <w:bottom w:val="single" w:color="auto" w:sz="4" w:space="0"/>
              <w:right w:val="single" w:color="auto" w:sz="4" w:space="0"/>
            </w:tcBorders>
            <w:shd w:val="clear" w:color="auto" w:fill="auto"/>
            <w:noWrap/>
            <w:vAlign w:val="center"/>
          </w:tcPr>
          <w:p w14:paraId="23644FE1">
            <w:pPr>
              <w:jc w:val="right"/>
              <w:rPr>
                <w:rFonts w:ascii="宋体" w:hAnsi="宋体" w:eastAsia="宋体" w:cs="宋体"/>
                <w:color w:val="000000"/>
                <w:sz w:val="22"/>
              </w:rPr>
            </w:pPr>
            <w:r>
              <w:rPr>
                <w:rFonts w:hint="eastAsia"/>
                <w:color w:val="000000"/>
                <w:sz w:val="22"/>
              </w:rPr>
              <w:t>0.39</w:t>
            </w:r>
          </w:p>
        </w:tc>
        <w:tc>
          <w:tcPr>
            <w:tcW w:w="1475" w:type="dxa"/>
            <w:tcBorders>
              <w:top w:val="nil"/>
              <w:left w:val="nil"/>
              <w:bottom w:val="single" w:color="auto" w:sz="4" w:space="0"/>
              <w:right w:val="single" w:color="auto" w:sz="4" w:space="0"/>
            </w:tcBorders>
            <w:shd w:val="clear" w:color="auto" w:fill="auto"/>
            <w:noWrap/>
            <w:vAlign w:val="center"/>
          </w:tcPr>
          <w:p w14:paraId="4BA9C9C1">
            <w:pPr>
              <w:jc w:val="right"/>
              <w:rPr>
                <w:rFonts w:ascii="宋体" w:hAnsi="宋体" w:eastAsia="宋体" w:cs="宋体"/>
                <w:color w:val="000000"/>
                <w:sz w:val="22"/>
              </w:rPr>
            </w:pPr>
            <w:r>
              <w:rPr>
                <w:rFonts w:hint="eastAsia"/>
                <w:color w:val="000000"/>
                <w:sz w:val="22"/>
              </w:rPr>
              <w:t>　</w:t>
            </w:r>
          </w:p>
        </w:tc>
        <w:tc>
          <w:tcPr>
            <w:tcW w:w="1160" w:type="dxa"/>
            <w:tcBorders>
              <w:top w:val="nil"/>
              <w:left w:val="nil"/>
              <w:bottom w:val="single" w:color="auto" w:sz="4" w:space="0"/>
              <w:right w:val="single" w:color="auto" w:sz="4" w:space="0"/>
            </w:tcBorders>
            <w:shd w:val="clear" w:color="auto" w:fill="auto"/>
            <w:noWrap/>
            <w:vAlign w:val="center"/>
          </w:tcPr>
          <w:p w14:paraId="6D236C4E">
            <w:pPr>
              <w:widowControl/>
              <w:jc w:val="right"/>
              <w:rPr>
                <w:rFonts w:ascii="Times New Roman" w:hAnsi="Times New Roman" w:eastAsia="仿宋_GB2312" w:cs="Times New Roman"/>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14:paraId="6D8F8223">
            <w:pPr>
              <w:widowControl/>
              <w:jc w:val="right"/>
              <w:rPr>
                <w:rFonts w:ascii="Times New Roman" w:hAnsi="Times New Roman" w:eastAsia="仿宋_GB2312" w:cs="Times New Roman"/>
                <w:kern w:val="0"/>
                <w:sz w:val="24"/>
                <w:szCs w:val="24"/>
              </w:rPr>
            </w:pPr>
          </w:p>
        </w:tc>
        <w:tc>
          <w:tcPr>
            <w:tcW w:w="1777" w:type="dxa"/>
            <w:tcBorders>
              <w:top w:val="nil"/>
              <w:left w:val="nil"/>
              <w:bottom w:val="single" w:color="auto" w:sz="4" w:space="0"/>
              <w:right w:val="single" w:color="auto" w:sz="4" w:space="0"/>
            </w:tcBorders>
            <w:shd w:val="clear" w:color="auto" w:fill="auto"/>
            <w:noWrap/>
            <w:vAlign w:val="center"/>
          </w:tcPr>
          <w:p w14:paraId="40D50412">
            <w:pPr>
              <w:widowControl/>
              <w:jc w:val="right"/>
              <w:rPr>
                <w:rFonts w:ascii="Times New Roman" w:hAnsi="Times New Roman" w:eastAsia="仿宋_GB2312" w:cs="Times New Roman"/>
                <w:kern w:val="0"/>
                <w:sz w:val="24"/>
                <w:szCs w:val="24"/>
              </w:rPr>
            </w:pPr>
          </w:p>
        </w:tc>
      </w:tr>
      <w:tr w14:paraId="2C5167E7">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8E8D61">
            <w:pPr>
              <w:jc w:val="center"/>
              <w:rPr>
                <w:rFonts w:ascii="宋体" w:hAnsi="宋体" w:eastAsia="宋体" w:cs="宋体"/>
                <w:color w:val="000000"/>
                <w:sz w:val="22"/>
              </w:rPr>
            </w:pPr>
            <w:r>
              <w:rPr>
                <w:rFonts w:hint="eastAsia"/>
                <w:color w:val="000000"/>
                <w:sz w:val="22"/>
              </w:rPr>
              <w:t>2080506</w:t>
            </w:r>
          </w:p>
        </w:tc>
        <w:tc>
          <w:tcPr>
            <w:tcW w:w="4177" w:type="dxa"/>
            <w:tcBorders>
              <w:top w:val="nil"/>
              <w:left w:val="nil"/>
              <w:bottom w:val="single" w:color="auto" w:sz="4" w:space="0"/>
              <w:right w:val="single" w:color="auto" w:sz="4" w:space="0"/>
            </w:tcBorders>
            <w:shd w:val="clear" w:color="000000" w:fill="FFFFFF"/>
            <w:noWrap/>
            <w:vAlign w:val="center"/>
          </w:tcPr>
          <w:p w14:paraId="550DEBF8">
            <w:pPr>
              <w:rPr>
                <w:rFonts w:ascii="宋体" w:hAnsi="宋体" w:eastAsia="宋体" w:cs="宋体"/>
                <w:color w:val="000000"/>
                <w:sz w:val="22"/>
              </w:rPr>
            </w:pPr>
            <w:r>
              <w:rPr>
                <w:rFonts w:hint="eastAsia"/>
                <w:color w:val="000000"/>
                <w:sz w:val="22"/>
              </w:rPr>
              <w:t>机关事业单位职业年金缴费支出</w:t>
            </w:r>
          </w:p>
        </w:tc>
        <w:tc>
          <w:tcPr>
            <w:tcW w:w="1595" w:type="dxa"/>
            <w:tcBorders>
              <w:top w:val="nil"/>
              <w:left w:val="nil"/>
              <w:bottom w:val="single" w:color="auto" w:sz="4" w:space="0"/>
              <w:right w:val="single" w:color="auto" w:sz="4" w:space="0"/>
            </w:tcBorders>
            <w:shd w:val="clear" w:color="auto" w:fill="auto"/>
            <w:noWrap/>
            <w:vAlign w:val="center"/>
          </w:tcPr>
          <w:p w14:paraId="0625A053">
            <w:pPr>
              <w:jc w:val="right"/>
              <w:rPr>
                <w:rFonts w:ascii="宋体" w:hAnsi="宋体" w:eastAsia="宋体" w:cs="宋体"/>
                <w:color w:val="000000"/>
                <w:sz w:val="22"/>
              </w:rPr>
            </w:pPr>
            <w:r>
              <w:rPr>
                <w:rFonts w:hint="eastAsia"/>
                <w:color w:val="000000"/>
                <w:sz w:val="22"/>
              </w:rPr>
              <w:t>7.61</w:t>
            </w:r>
          </w:p>
        </w:tc>
        <w:tc>
          <w:tcPr>
            <w:tcW w:w="1475" w:type="dxa"/>
            <w:tcBorders>
              <w:top w:val="nil"/>
              <w:left w:val="nil"/>
              <w:bottom w:val="single" w:color="auto" w:sz="4" w:space="0"/>
              <w:right w:val="single" w:color="auto" w:sz="4" w:space="0"/>
            </w:tcBorders>
            <w:shd w:val="clear" w:color="auto" w:fill="auto"/>
            <w:noWrap/>
            <w:vAlign w:val="center"/>
          </w:tcPr>
          <w:p w14:paraId="6881AF17">
            <w:pPr>
              <w:jc w:val="right"/>
              <w:rPr>
                <w:rFonts w:ascii="宋体" w:hAnsi="宋体" w:eastAsia="宋体" w:cs="宋体"/>
                <w:color w:val="000000"/>
                <w:sz w:val="22"/>
              </w:rPr>
            </w:pPr>
            <w:r>
              <w:rPr>
                <w:rFonts w:hint="eastAsia"/>
                <w:color w:val="000000"/>
                <w:sz w:val="22"/>
              </w:rPr>
              <w:t>7.61</w:t>
            </w:r>
          </w:p>
        </w:tc>
        <w:tc>
          <w:tcPr>
            <w:tcW w:w="1475" w:type="dxa"/>
            <w:tcBorders>
              <w:top w:val="nil"/>
              <w:left w:val="nil"/>
              <w:bottom w:val="single" w:color="auto" w:sz="4" w:space="0"/>
              <w:right w:val="single" w:color="auto" w:sz="4" w:space="0"/>
            </w:tcBorders>
            <w:shd w:val="clear" w:color="auto" w:fill="auto"/>
            <w:noWrap/>
            <w:vAlign w:val="center"/>
          </w:tcPr>
          <w:p w14:paraId="4DCB4D07">
            <w:pPr>
              <w:jc w:val="right"/>
              <w:rPr>
                <w:rFonts w:ascii="宋体" w:hAnsi="宋体" w:eastAsia="宋体" w:cs="宋体"/>
                <w:color w:val="000000"/>
                <w:sz w:val="22"/>
              </w:rPr>
            </w:pPr>
            <w:r>
              <w:rPr>
                <w:rFonts w:hint="eastAsia"/>
                <w:color w:val="000000"/>
                <w:sz w:val="22"/>
              </w:rPr>
              <w:t>　</w:t>
            </w:r>
          </w:p>
        </w:tc>
        <w:tc>
          <w:tcPr>
            <w:tcW w:w="1160" w:type="dxa"/>
            <w:tcBorders>
              <w:top w:val="nil"/>
              <w:left w:val="nil"/>
              <w:bottom w:val="single" w:color="auto" w:sz="4" w:space="0"/>
              <w:right w:val="single" w:color="auto" w:sz="4" w:space="0"/>
            </w:tcBorders>
            <w:shd w:val="clear" w:color="auto" w:fill="auto"/>
            <w:noWrap/>
            <w:vAlign w:val="center"/>
          </w:tcPr>
          <w:p w14:paraId="1CD46AEF">
            <w:pPr>
              <w:widowControl/>
              <w:jc w:val="right"/>
              <w:rPr>
                <w:rFonts w:ascii="Times New Roman" w:hAnsi="Times New Roman" w:eastAsia="仿宋_GB2312" w:cs="Times New Roman"/>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14:paraId="532209EB">
            <w:pPr>
              <w:widowControl/>
              <w:jc w:val="right"/>
              <w:rPr>
                <w:rFonts w:ascii="Times New Roman" w:hAnsi="Times New Roman" w:eastAsia="仿宋_GB2312" w:cs="Times New Roman"/>
                <w:kern w:val="0"/>
                <w:sz w:val="24"/>
                <w:szCs w:val="24"/>
              </w:rPr>
            </w:pPr>
          </w:p>
        </w:tc>
        <w:tc>
          <w:tcPr>
            <w:tcW w:w="1777" w:type="dxa"/>
            <w:tcBorders>
              <w:top w:val="nil"/>
              <w:left w:val="nil"/>
              <w:bottom w:val="single" w:color="auto" w:sz="4" w:space="0"/>
              <w:right w:val="single" w:color="auto" w:sz="4" w:space="0"/>
            </w:tcBorders>
            <w:shd w:val="clear" w:color="auto" w:fill="auto"/>
            <w:noWrap/>
            <w:vAlign w:val="center"/>
          </w:tcPr>
          <w:p w14:paraId="2108483E">
            <w:pPr>
              <w:widowControl/>
              <w:jc w:val="right"/>
              <w:rPr>
                <w:rFonts w:ascii="Times New Roman" w:hAnsi="Times New Roman" w:eastAsia="仿宋_GB2312" w:cs="Times New Roman"/>
                <w:kern w:val="0"/>
                <w:sz w:val="24"/>
                <w:szCs w:val="24"/>
              </w:rPr>
            </w:pPr>
          </w:p>
        </w:tc>
      </w:tr>
      <w:tr w14:paraId="336C6FC0">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D37225">
            <w:pPr>
              <w:jc w:val="center"/>
              <w:rPr>
                <w:rFonts w:ascii="宋体" w:hAnsi="宋体" w:eastAsia="宋体" w:cs="宋体"/>
                <w:color w:val="000000"/>
                <w:sz w:val="22"/>
              </w:rPr>
            </w:pPr>
            <w:r>
              <w:rPr>
                <w:rFonts w:hint="eastAsia"/>
                <w:color w:val="000000"/>
                <w:sz w:val="22"/>
              </w:rPr>
              <w:t>2080801</w:t>
            </w:r>
          </w:p>
        </w:tc>
        <w:tc>
          <w:tcPr>
            <w:tcW w:w="4177" w:type="dxa"/>
            <w:tcBorders>
              <w:top w:val="nil"/>
              <w:left w:val="nil"/>
              <w:bottom w:val="single" w:color="auto" w:sz="4" w:space="0"/>
              <w:right w:val="single" w:color="auto" w:sz="4" w:space="0"/>
            </w:tcBorders>
            <w:shd w:val="clear" w:color="000000" w:fill="FFFFFF"/>
            <w:noWrap/>
            <w:vAlign w:val="center"/>
          </w:tcPr>
          <w:p w14:paraId="510B8925">
            <w:pPr>
              <w:rPr>
                <w:rFonts w:ascii="宋体" w:hAnsi="宋体" w:eastAsia="宋体" w:cs="宋体"/>
                <w:color w:val="000000"/>
                <w:sz w:val="22"/>
              </w:rPr>
            </w:pPr>
            <w:r>
              <w:rPr>
                <w:rFonts w:hint="eastAsia"/>
                <w:color w:val="000000"/>
                <w:sz w:val="22"/>
              </w:rPr>
              <w:t>死亡抚恤</w:t>
            </w:r>
          </w:p>
        </w:tc>
        <w:tc>
          <w:tcPr>
            <w:tcW w:w="1595" w:type="dxa"/>
            <w:tcBorders>
              <w:top w:val="nil"/>
              <w:left w:val="nil"/>
              <w:bottom w:val="single" w:color="auto" w:sz="4" w:space="0"/>
              <w:right w:val="single" w:color="auto" w:sz="4" w:space="0"/>
            </w:tcBorders>
            <w:shd w:val="clear" w:color="auto" w:fill="auto"/>
            <w:noWrap/>
            <w:vAlign w:val="center"/>
          </w:tcPr>
          <w:p w14:paraId="6D3A48B4">
            <w:pPr>
              <w:jc w:val="right"/>
              <w:rPr>
                <w:rFonts w:ascii="宋体" w:hAnsi="宋体" w:eastAsia="宋体" w:cs="宋体"/>
                <w:color w:val="000000"/>
                <w:sz w:val="22"/>
              </w:rPr>
            </w:pPr>
            <w:r>
              <w:rPr>
                <w:rFonts w:hint="eastAsia"/>
                <w:color w:val="000000"/>
                <w:sz w:val="22"/>
              </w:rPr>
              <w:t>1.58</w:t>
            </w:r>
          </w:p>
        </w:tc>
        <w:tc>
          <w:tcPr>
            <w:tcW w:w="1475" w:type="dxa"/>
            <w:tcBorders>
              <w:top w:val="nil"/>
              <w:left w:val="nil"/>
              <w:bottom w:val="single" w:color="auto" w:sz="4" w:space="0"/>
              <w:right w:val="single" w:color="auto" w:sz="4" w:space="0"/>
            </w:tcBorders>
            <w:shd w:val="clear" w:color="auto" w:fill="auto"/>
            <w:noWrap/>
            <w:vAlign w:val="center"/>
          </w:tcPr>
          <w:p w14:paraId="262B97F0">
            <w:pPr>
              <w:jc w:val="right"/>
              <w:rPr>
                <w:rFonts w:ascii="宋体" w:hAnsi="宋体" w:eastAsia="宋体" w:cs="宋体"/>
                <w:color w:val="000000"/>
                <w:sz w:val="22"/>
              </w:rPr>
            </w:pPr>
            <w:r>
              <w:rPr>
                <w:rFonts w:hint="eastAsia"/>
                <w:color w:val="000000"/>
                <w:sz w:val="22"/>
              </w:rPr>
              <w:t>1.58</w:t>
            </w:r>
          </w:p>
        </w:tc>
        <w:tc>
          <w:tcPr>
            <w:tcW w:w="1475" w:type="dxa"/>
            <w:tcBorders>
              <w:top w:val="nil"/>
              <w:left w:val="nil"/>
              <w:bottom w:val="single" w:color="auto" w:sz="4" w:space="0"/>
              <w:right w:val="single" w:color="auto" w:sz="4" w:space="0"/>
            </w:tcBorders>
            <w:shd w:val="clear" w:color="auto" w:fill="auto"/>
            <w:noWrap/>
            <w:vAlign w:val="center"/>
          </w:tcPr>
          <w:p w14:paraId="1BB9FF8A">
            <w:pPr>
              <w:jc w:val="right"/>
              <w:rPr>
                <w:rFonts w:ascii="宋体" w:hAnsi="宋体" w:eastAsia="宋体" w:cs="宋体"/>
                <w:color w:val="000000"/>
                <w:sz w:val="22"/>
              </w:rPr>
            </w:pPr>
            <w:r>
              <w:rPr>
                <w:rFonts w:hint="eastAsia"/>
                <w:color w:val="000000"/>
                <w:sz w:val="22"/>
              </w:rPr>
              <w:t>　</w:t>
            </w:r>
          </w:p>
        </w:tc>
        <w:tc>
          <w:tcPr>
            <w:tcW w:w="1160" w:type="dxa"/>
            <w:tcBorders>
              <w:top w:val="nil"/>
              <w:left w:val="nil"/>
              <w:bottom w:val="single" w:color="auto" w:sz="4" w:space="0"/>
              <w:right w:val="single" w:color="auto" w:sz="4" w:space="0"/>
            </w:tcBorders>
            <w:shd w:val="clear" w:color="auto" w:fill="auto"/>
            <w:noWrap/>
            <w:vAlign w:val="center"/>
          </w:tcPr>
          <w:p w14:paraId="15EF6AD2">
            <w:pPr>
              <w:widowControl/>
              <w:jc w:val="right"/>
              <w:rPr>
                <w:rFonts w:ascii="Times New Roman" w:hAnsi="Times New Roman" w:eastAsia="仿宋_GB2312" w:cs="Times New Roman"/>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14:paraId="7B635B81">
            <w:pPr>
              <w:widowControl/>
              <w:jc w:val="right"/>
              <w:rPr>
                <w:rFonts w:ascii="Times New Roman" w:hAnsi="Times New Roman" w:eastAsia="仿宋_GB2312" w:cs="Times New Roman"/>
                <w:kern w:val="0"/>
                <w:sz w:val="24"/>
                <w:szCs w:val="24"/>
              </w:rPr>
            </w:pPr>
          </w:p>
        </w:tc>
        <w:tc>
          <w:tcPr>
            <w:tcW w:w="1777" w:type="dxa"/>
            <w:tcBorders>
              <w:top w:val="nil"/>
              <w:left w:val="nil"/>
              <w:bottom w:val="single" w:color="auto" w:sz="4" w:space="0"/>
              <w:right w:val="single" w:color="auto" w:sz="4" w:space="0"/>
            </w:tcBorders>
            <w:shd w:val="clear" w:color="auto" w:fill="auto"/>
            <w:noWrap/>
            <w:vAlign w:val="center"/>
          </w:tcPr>
          <w:p w14:paraId="3C80500D">
            <w:pPr>
              <w:widowControl/>
              <w:jc w:val="right"/>
              <w:rPr>
                <w:rFonts w:ascii="Times New Roman" w:hAnsi="Times New Roman" w:eastAsia="仿宋_GB2312" w:cs="Times New Roman"/>
                <w:kern w:val="0"/>
                <w:sz w:val="24"/>
                <w:szCs w:val="24"/>
              </w:rPr>
            </w:pPr>
          </w:p>
        </w:tc>
      </w:tr>
      <w:tr w14:paraId="29AD72ED">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BC77C7">
            <w:pPr>
              <w:jc w:val="center"/>
              <w:rPr>
                <w:rFonts w:ascii="宋体" w:hAnsi="宋体" w:eastAsia="宋体" w:cs="宋体"/>
                <w:color w:val="000000"/>
                <w:sz w:val="22"/>
              </w:rPr>
            </w:pPr>
            <w:r>
              <w:rPr>
                <w:rFonts w:hint="eastAsia"/>
                <w:color w:val="000000"/>
                <w:sz w:val="22"/>
              </w:rPr>
              <w:t>2101101</w:t>
            </w:r>
          </w:p>
        </w:tc>
        <w:tc>
          <w:tcPr>
            <w:tcW w:w="4177" w:type="dxa"/>
            <w:tcBorders>
              <w:top w:val="nil"/>
              <w:left w:val="nil"/>
              <w:bottom w:val="single" w:color="auto" w:sz="4" w:space="0"/>
              <w:right w:val="single" w:color="auto" w:sz="4" w:space="0"/>
            </w:tcBorders>
            <w:shd w:val="clear" w:color="000000" w:fill="FFFFFF"/>
            <w:noWrap/>
            <w:vAlign w:val="center"/>
          </w:tcPr>
          <w:p w14:paraId="3B628E12">
            <w:pPr>
              <w:rPr>
                <w:rFonts w:ascii="宋体" w:hAnsi="宋体" w:eastAsia="宋体" w:cs="宋体"/>
                <w:color w:val="000000"/>
                <w:sz w:val="22"/>
              </w:rPr>
            </w:pPr>
            <w:r>
              <w:rPr>
                <w:rFonts w:hint="eastAsia"/>
                <w:color w:val="000000"/>
                <w:sz w:val="22"/>
              </w:rPr>
              <w:t>行政单位医疗</w:t>
            </w:r>
          </w:p>
        </w:tc>
        <w:tc>
          <w:tcPr>
            <w:tcW w:w="1595" w:type="dxa"/>
            <w:tcBorders>
              <w:top w:val="nil"/>
              <w:left w:val="nil"/>
              <w:bottom w:val="single" w:color="auto" w:sz="4" w:space="0"/>
              <w:right w:val="single" w:color="auto" w:sz="4" w:space="0"/>
            </w:tcBorders>
            <w:shd w:val="clear" w:color="auto" w:fill="auto"/>
            <w:noWrap/>
            <w:vAlign w:val="center"/>
          </w:tcPr>
          <w:p w14:paraId="4DD6C360">
            <w:pPr>
              <w:jc w:val="right"/>
              <w:rPr>
                <w:rFonts w:ascii="宋体" w:hAnsi="宋体" w:eastAsia="宋体" w:cs="宋体"/>
                <w:color w:val="000000"/>
                <w:sz w:val="22"/>
              </w:rPr>
            </w:pPr>
            <w:r>
              <w:rPr>
                <w:rFonts w:hint="eastAsia"/>
                <w:color w:val="000000"/>
                <w:sz w:val="22"/>
              </w:rPr>
              <w:t>0.18</w:t>
            </w:r>
          </w:p>
        </w:tc>
        <w:tc>
          <w:tcPr>
            <w:tcW w:w="1475" w:type="dxa"/>
            <w:tcBorders>
              <w:top w:val="nil"/>
              <w:left w:val="nil"/>
              <w:bottom w:val="single" w:color="auto" w:sz="4" w:space="0"/>
              <w:right w:val="single" w:color="auto" w:sz="4" w:space="0"/>
            </w:tcBorders>
            <w:shd w:val="clear" w:color="auto" w:fill="auto"/>
            <w:noWrap/>
            <w:vAlign w:val="center"/>
          </w:tcPr>
          <w:p w14:paraId="26C408B1">
            <w:pPr>
              <w:jc w:val="right"/>
              <w:rPr>
                <w:rFonts w:ascii="宋体" w:hAnsi="宋体" w:eastAsia="宋体" w:cs="宋体"/>
                <w:color w:val="000000"/>
                <w:sz w:val="22"/>
              </w:rPr>
            </w:pPr>
            <w:r>
              <w:rPr>
                <w:rFonts w:hint="eastAsia"/>
                <w:color w:val="000000"/>
                <w:sz w:val="22"/>
              </w:rPr>
              <w:t>0.18</w:t>
            </w:r>
          </w:p>
        </w:tc>
        <w:tc>
          <w:tcPr>
            <w:tcW w:w="1475" w:type="dxa"/>
            <w:tcBorders>
              <w:top w:val="nil"/>
              <w:left w:val="nil"/>
              <w:bottom w:val="single" w:color="auto" w:sz="4" w:space="0"/>
              <w:right w:val="single" w:color="auto" w:sz="4" w:space="0"/>
            </w:tcBorders>
            <w:shd w:val="clear" w:color="auto" w:fill="auto"/>
            <w:noWrap/>
            <w:vAlign w:val="center"/>
          </w:tcPr>
          <w:p w14:paraId="07845CEC">
            <w:pPr>
              <w:jc w:val="right"/>
              <w:rPr>
                <w:rFonts w:ascii="宋体" w:hAnsi="宋体" w:eastAsia="宋体" w:cs="宋体"/>
                <w:color w:val="000000"/>
                <w:sz w:val="22"/>
              </w:rPr>
            </w:pPr>
            <w:r>
              <w:rPr>
                <w:rFonts w:hint="eastAsia"/>
                <w:color w:val="000000"/>
                <w:sz w:val="22"/>
              </w:rPr>
              <w:t>　</w:t>
            </w:r>
          </w:p>
        </w:tc>
        <w:tc>
          <w:tcPr>
            <w:tcW w:w="1160" w:type="dxa"/>
            <w:tcBorders>
              <w:top w:val="nil"/>
              <w:left w:val="nil"/>
              <w:bottom w:val="single" w:color="auto" w:sz="4" w:space="0"/>
              <w:right w:val="single" w:color="auto" w:sz="4" w:space="0"/>
            </w:tcBorders>
            <w:shd w:val="clear" w:color="auto" w:fill="auto"/>
            <w:noWrap/>
            <w:vAlign w:val="center"/>
          </w:tcPr>
          <w:p w14:paraId="13C87D7D">
            <w:pPr>
              <w:widowControl/>
              <w:jc w:val="right"/>
              <w:rPr>
                <w:rFonts w:ascii="Times New Roman" w:hAnsi="Times New Roman" w:eastAsia="仿宋_GB2312" w:cs="Times New Roman"/>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14:paraId="6723E346">
            <w:pPr>
              <w:widowControl/>
              <w:jc w:val="right"/>
              <w:rPr>
                <w:rFonts w:ascii="Times New Roman" w:hAnsi="Times New Roman" w:eastAsia="仿宋_GB2312" w:cs="Times New Roman"/>
                <w:kern w:val="0"/>
                <w:sz w:val="24"/>
                <w:szCs w:val="24"/>
              </w:rPr>
            </w:pPr>
          </w:p>
        </w:tc>
        <w:tc>
          <w:tcPr>
            <w:tcW w:w="1777" w:type="dxa"/>
            <w:tcBorders>
              <w:top w:val="nil"/>
              <w:left w:val="nil"/>
              <w:bottom w:val="single" w:color="auto" w:sz="4" w:space="0"/>
              <w:right w:val="single" w:color="auto" w:sz="4" w:space="0"/>
            </w:tcBorders>
            <w:shd w:val="clear" w:color="auto" w:fill="auto"/>
            <w:noWrap/>
            <w:vAlign w:val="center"/>
          </w:tcPr>
          <w:p w14:paraId="727593A0">
            <w:pPr>
              <w:widowControl/>
              <w:jc w:val="right"/>
              <w:rPr>
                <w:rFonts w:ascii="Times New Roman" w:hAnsi="Times New Roman" w:eastAsia="仿宋_GB2312" w:cs="Times New Roman"/>
                <w:kern w:val="0"/>
                <w:sz w:val="24"/>
                <w:szCs w:val="24"/>
              </w:rPr>
            </w:pPr>
          </w:p>
        </w:tc>
      </w:tr>
      <w:tr w14:paraId="34820DD9">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0419A5">
            <w:pPr>
              <w:jc w:val="center"/>
              <w:rPr>
                <w:rFonts w:ascii="宋体" w:hAnsi="宋体" w:eastAsia="宋体" w:cs="宋体"/>
                <w:color w:val="000000"/>
                <w:sz w:val="22"/>
              </w:rPr>
            </w:pPr>
            <w:r>
              <w:rPr>
                <w:rFonts w:hint="eastAsia"/>
                <w:color w:val="000000"/>
                <w:sz w:val="22"/>
              </w:rPr>
              <w:t>2110101</w:t>
            </w:r>
          </w:p>
        </w:tc>
        <w:tc>
          <w:tcPr>
            <w:tcW w:w="4177" w:type="dxa"/>
            <w:tcBorders>
              <w:top w:val="nil"/>
              <w:left w:val="nil"/>
              <w:bottom w:val="single" w:color="auto" w:sz="4" w:space="0"/>
              <w:right w:val="single" w:color="auto" w:sz="4" w:space="0"/>
            </w:tcBorders>
            <w:shd w:val="clear" w:color="000000" w:fill="FFFFFF"/>
            <w:noWrap/>
            <w:vAlign w:val="center"/>
          </w:tcPr>
          <w:p w14:paraId="0278A1AD">
            <w:pPr>
              <w:rPr>
                <w:rFonts w:ascii="宋体" w:hAnsi="宋体" w:eastAsia="宋体" w:cs="宋体"/>
                <w:color w:val="000000"/>
                <w:sz w:val="22"/>
              </w:rPr>
            </w:pPr>
            <w:r>
              <w:rPr>
                <w:rFonts w:hint="eastAsia"/>
                <w:color w:val="000000"/>
                <w:sz w:val="22"/>
              </w:rPr>
              <w:t>行政运行</w:t>
            </w:r>
          </w:p>
        </w:tc>
        <w:tc>
          <w:tcPr>
            <w:tcW w:w="1595" w:type="dxa"/>
            <w:tcBorders>
              <w:top w:val="nil"/>
              <w:left w:val="nil"/>
              <w:bottom w:val="single" w:color="auto" w:sz="4" w:space="0"/>
              <w:right w:val="single" w:color="auto" w:sz="4" w:space="0"/>
            </w:tcBorders>
            <w:shd w:val="clear" w:color="auto" w:fill="auto"/>
            <w:noWrap/>
            <w:vAlign w:val="center"/>
          </w:tcPr>
          <w:p w14:paraId="7F8CC779">
            <w:pPr>
              <w:jc w:val="right"/>
              <w:rPr>
                <w:rFonts w:ascii="宋体" w:hAnsi="宋体" w:eastAsia="宋体" w:cs="宋体"/>
                <w:color w:val="000000"/>
                <w:sz w:val="22"/>
              </w:rPr>
            </w:pPr>
            <w:r>
              <w:rPr>
                <w:rFonts w:hint="eastAsia"/>
                <w:color w:val="000000"/>
                <w:sz w:val="22"/>
              </w:rPr>
              <w:t>264.50</w:t>
            </w:r>
          </w:p>
        </w:tc>
        <w:tc>
          <w:tcPr>
            <w:tcW w:w="1475" w:type="dxa"/>
            <w:tcBorders>
              <w:top w:val="nil"/>
              <w:left w:val="nil"/>
              <w:bottom w:val="single" w:color="auto" w:sz="4" w:space="0"/>
              <w:right w:val="single" w:color="auto" w:sz="4" w:space="0"/>
            </w:tcBorders>
            <w:shd w:val="clear" w:color="auto" w:fill="auto"/>
            <w:noWrap/>
            <w:vAlign w:val="center"/>
          </w:tcPr>
          <w:p w14:paraId="489F7D1B">
            <w:pPr>
              <w:jc w:val="right"/>
              <w:rPr>
                <w:rFonts w:ascii="宋体" w:hAnsi="宋体" w:eastAsia="宋体" w:cs="宋体"/>
                <w:color w:val="000000"/>
                <w:sz w:val="22"/>
              </w:rPr>
            </w:pPr>
            <w:r>
              <w:rPr>
                <w:rFonts w:hint="eastAsia"/>
                <w:color w:val="000000"/>
                <w:sz w:val="22"/>
              </w:rPr>
              <w:t>264.50</w:t>
            </w:r>
          </w:p>
        </w:tc>
        <w:tc>
          <w:tcPr>
            <w:tcW w:w="1475" w:type="dxa"/>
            <w:tcBorders>
              <w:top w:val="nil"/>
              <w:left w:val="nil"/>
              <w:bottom w:val="single" w:color="auto" w:sz="4" w:space="0"/>
              <w:right w:val="single" w:color="auto" w:sz="4" w:space="0"/>
            </w:tcBorders>
            <w:shd w:val="clear" w:color="auto" w:fill="auto"/>
            <w:noWrap/>
            <w:vAlign w:val="center"/>
          </w:tcPr>
          <w:p w14:paraId="77A32057">
            <w:pPr>
              <w:jc w:val="right"/>
              <w:rPr>
                <w:rFonts w:ascii="宋体" w:hAnsi="宋体" w:eastAsia="宋体" w:cs="宋体"/>
                <w:color w:val="000000"/>
                <w:sz w:val="22"/>
              </w:rPr>
            </w:pPr>
            <w:r>
              <w:rPr>
                <w:rFonts w:hint="eastAsia"/>
                <w:color w:val="000000"/>
                <w:sz w:val="22"/>
              </w:rPr>
              <w:t>　</w:t>
            </w:r>
          </w:p>
        </w:tc>
        <w:tc>
          <w:tcPr>
            <w:tcW w:w="1160" w:type="dxa"/>
            <w:tcBorders>
              <w:top w:val="nil"/>
              <w:left w:val="nil"/>
              <w:bottom w:val="single" w:color="auto" w:sz="4" w:space="0"/>
              <w:right w:val="single" w:color="auto" w:sz="4" w:space="0"/>
            </w:tcBorders>
            <w:shd w:val="clear" w:color="auto" w:fill="auto"/>
            <w:noWrap/>
            <w:vAlign w:val="center"/>
          </w:tcPr>
          <w:p w14:paraId="1921C023">
            <w:pPr>
              <w:widowControl/>
              <w:jc w:val="right"/>
              <w:rPr>
                <w:rFonts w:ascii="Times New Roman" w:hAnsi="Times New Roman" w:eastAsia="仿宋_GB2312" w:cs="Times New Roman"/>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14:paraId="093672EE">
            <w:pPr>
              <w:widowControl/>
              <w:jc w:val="right"/>
              <w:rPr>
                <w:rFonts w:ascii="Times New Roman" w:hAnsi="Times New Roman" w:eastAsia="仿宋_GB2312" w:cs="Times New Roman"/>
                <w:kern w:val="0"/>
                <w:sz w:val="24"/>
                <w:szCs w:val="24"/>
              </w:rPr>
            </w:pPr>
          </w:p>
        </w:tc>
        <w:tc>
          <w:tcPr>
            <w:tcW w:w="1777" w:type="dxa"/>
            <w:tcBorders>
              <w:top w:val="nil"/>
              <w:left w:val="nil"/>
              <w:bottom w:val="single" w:color="auto" w:sz="4" w:space="0"/>
              <w:right w:val="single" w:color="auto" w:sz="4" w:space="0"/>
            </w:tcBorders>
            <w:shd w:val="clear" w:color="auto" w:fill="auto"/>
            <w:noWrap/>
            <w:vAlign w:val="center"/>
          </w:tcPr>
          <w:p w14:paraId="381B1A4C">
            <w:pPr>
              <w:widowControl/>
              <w:jc w:val="right"/>
              <w:rPr>
                <w:rFonts w:ascii="Times New Roman" w:hAnsi="Times New Roman" w:eastAsia="仿宋_GB2312" w:cs="Times New Roman"/>
                <w:kern w:val="0"/>
                <w:sz w:val="24"/>
                <w:szCs w:val="24"/>
              </w:rPr>
            </w:pPr>
          </w:p>
        </w:tc>
      </w:tr>
      <w:tr w14:paraId="3312F72C">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92A3D0">
            <w:pPr>
              <w:jc w:val="center"/>
              <w:rPr>
                <w:rFonts w:ascii="宋体" w:hAnsi="宋体" w:eastAsia="宋体" w:cs="宋体"/>
                <w:color w:val="000000"/>
                <w:sz w:val="22"/>
              </w:rPr>
            </w:pPr>
            <w:r>
              <w:rPr>
                <w:rFonts w:hint="eastAsia"/>
                <w:color w:val="000000"/>
                <w:sz w:val="22"/>
              </w:rPr>
              <w:t>2110199</w:t>
            </w:r>
          </w:p>
        </w:tc>
        <w:tc>
          <w:tcPr>
            <w:tcW w:w="4177" w:type="dxa"/>
            <w:tcBorders>
              <w:top w:val="nil"/>
              <w:left w:val="nil"/>
              <w:bottom w:val="single" w:color="auto" w:sz="4" w:space="0"/>
              <w:right w:val="single" w:color="auto" w:sz="4" w:space="0"/>
            </w:tcBorders>
            <w:shd w:val="clear" w:color="000000" w:fill="FFFFFF"/>
            <w:noWrap/>
            <w:vAlign w:val="center"/>
          </w:tcPr>
          <w:p w14:paraId="500A6A3C">
            <w:pPr>
              <w:rPr>
                <w:rFonts w:ascii="宋体" w:hAnsi="宋体" w:eastAsia="宋体" w:cs="宋体"/>
                <w:color w:val="000000"/>
                <w:sz w:val="22"/>
              </w:rPr>
            </w:pPr>
            <w:r>
              <w:rPr>
                <w:rFonts w:hint="eastAsia"/>
                <w:color w:val="000000"/>
                <w:sz w:val="22"/>
              </w:rPr>
              <w:t>其他环境保护管理事务支出</w:t>
            </w:r>
          </w:p>
        </w:tc>
        <w:tc>
          <w:tcPr>
            <w:tcW w:w="1595" w:type="dxa"/>
            <w:tcBorders>
              <w:top w:val="nil"/>
              <w:left w:val="nil"/>
              <w:bottom w:val="single" w:color="auto" w:sz="4" w:space="0"/>
              <w:right w:val="single" w:color="auto" w:sz="4" w:space="0"/>
            </w:tcBorders>
            <w:shd w:val="clear" w:color="auto" w:fill="auto"/>
            <w:noWrap/>
            <w:vAlign w:val="center"/>
          </w:tcPr>
          <w:p w14:paraId="6532B41A">
            <w:pPr>
              <w:jc w:val="right"/>
              <w:rPr>
                <w:rFonts w:ascii="宋体" w:hAnsi="宋体" w:eastAsia="宋体" w:cs="宋体"/>
                <w:color w:val="000000"/>
                <w:sz w:val="22"/>
              </w:rPr>
            </w:pPr>
            <w:r>
              <w:rPr>
                <w:rFonts w:hint="eastAsia"/>
                <w:color w:val="000000"/>
                <w:sz w:val="22"/>
              </w:rPr>
              <w:t>38.00</w:t>
            </w:r>
          </w:p>
        </w:tc>
        <w:tc>
          <w:tcPr>
            <w:tcW w:w="1475" w:type="dxa"/>
            <w:tcBorders>
              <w:top w:val="nil"/>
              <w:left w:val="nil"/>
              <w:bottom w:val="single" w:color="auto" w:sz="4" w:space="0"/>
              <w:right w:val="single" w:color="auto" w:sz="4" w:space="0"/>
            </w:tcBorders>
            <w:shd w:val="clear" w:color="auto" w:fill="auto"/>
            <w:noWrap/>
            <w:vAlign w:val="center"/>
          </w:tcPr>
          <w:p w14:paraId="26C11AB5">
            <w:pPr>
              <w:jc w:val="right"/>
              <w:rPr>
                <w:rFonts w:ascii="宋体" w:hAnsi="宋体" w:eastAsia="宋体" w:cs="宋体"/>
                <w:color w:val="000000"/>
                <w:sz w:val="22"/>
              </w:rPr>
            </w:pPr>
            <w:r>
              <w:rPr>
                <w:rFonts w:hint="eastAsia"/>
                <w:color w:val="000000"/>
                <w:sz w:val="22"/>
              </w:rPr>
              <w:t>　</w:t>
            </w:r>
          </w:p>
        </w:tc>
        <w:tc>
          <w:tcPr>
            <w:tcW w:w="1475" w:type="dxa"/>
            <w:tcBorders>
              <w:top w:val="nil"/>
              <w:left w:val="nil"/>
              <w:bottom w:val="single" w:color="auto" w:sz="4" w:space="0"/>
              <w:right w:val="single" w:color="auto" w:sz="4" w:space="0"/>
            </w:tcBorders>
            <w:shd w:val="clear" w:color="auto" w:fill="auto"/>
            <w:noWrap/>
            <w:vAlign w:val="center"/>
          </w:tcPr>
          <w:p w14:paraId="5432C8E7">
            <w:pPr>
              <w:jc w:val="right"/>
              <w:rPr>
                <w:rFonts w:ascii="宋体" w:hAnsi="宋体" w:eastAsia="宋体" w:cs="宋体"/>
                <w:color w:val="000000"/>
                <w:sz w:val="22"/>
              </w:rPr>
            </w:pPr>
            <w:r>
              <w:rPr>
                <w:rFonts w:hint="eastAsia"/>
                <w:color w:val="000000"/>
                <w:sz w:val="22"/>
              </w:rPr>
              <w:t>38.00</w:t>
            </w:r>
          </w:p>
        </w:tc>
        <w:tc>
          <w:tcPr>
            <w:tcW w:w="1160" w:type="dxa"/>
            <w:tcBorders>
              <w:top w:val="nil"/>
              <w:left w:val="nil"/>
              <w:bottom w:val="single" w:color="auto" w:sz="4" w:space="0"/>
              <w:right w:val="single" w:color="auto" w:sz="4" w:space="0"/>
            </w:tcBorders>
            <w:shd w:val="clear" w:color="auto" w:fill="auto"/>
            <w:noWrap/>
            <w:vAlign w:val="center"/>
          </w:tcPr>
          <w:p w14:paraId="368F7BFC">
            <w:pPr>
              <w:widowControl/>
              <w:jc w:val="right"/>
              <w:rPr>
                <w:rFonts w:ascii="Times New Roman" w:hAnsi="Times New Roman" w:eastAsia="仿宋_GB2312" w:cs="Times New Roman"/>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14:paraId="5285C73F">
            <w:pPr>
              <w:widowControl/>
              <w:jc w:val="right"/>
              <w:rPr>
                <w:rFonts w:ascii="Times New Roman" w:hAnsi="Times New Roman" w:eastAsia="仿宋_GB2312" w:cs="Times New Roman"/>
                <w:kern w:val="0"/>
                <w:sz w:val="24"/>
                <w:szCs w:val="24"/>
              </w:rPr>
            </w:pPr>
          </w:p>
        </w:tc>
        <w:tc>
          <w:tcPr>
            <w:tcW w:w="1777" w:type="dxa"/>
            <w:tcBorders>
              <w:top w:val="nil"/>
              <w:left w:val="nil"/>
              <w:bottom w:val="single" w:color="auto" w:sz="4" w:space="0"/>
              <w:right w:val="single" w:color="auto" w:sz="4" w:space="0"/>
            </w:tcBorders>
            <w:shd w:val="clear" w:color="auto" w:fill="auto"/>
            <w:noWrap/>
            <w:vAlign w:val="center"/>
          </w:tcPr>
          <w:p w14:paraId="517D3420">
            <w:pPr>
              <w:widowControl/>
              <w:jc w:val="right"/>
              <w:rPr>
                <w:rFonts w:ascii="Times New Roman" w:hAnsi="Times New Roman" w:eastAsia="仿宋_GB2312" w:cs="Times New Roman"/>
                <w:kern w:val="0"/>
                <w:sz w:val="24"/>
                <w:szCs w:val="24"/>
              </w:rPr>
            </w:pPr>
          </w:p>
        </w:tc>
      </w:tr>
      <w:tr w14:paraId="4A39BF9B">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1E3D24">
            <w:pPr>
              <w:jc w:val="center"/>
              <w:rPr>
                <w:rFonts w:ascii="宋体" w:hAnsi="宋体" w:eastAsia="宋体" w:cs="宋体"/>
                <w:color w:val="000000"/>
                <w:sz w:val="22"/>
              </w:rPr>
            </w:pPr>
            <w:r>
              <w:rPr>
                <w:rFonts w:hint="eastAsia"/>
                <w:color w:val="000000"/>
                <w:sz w:val="22"/>
              </w:rPr>
              <w:t>2110299</w:t>
            </w:r>
          </w:p>
        </w:tc>
        <w:tc>
          <w:tcPr>
            <w:tcW w:w="417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2C6F15">
            <w:pPr>
              <w:rPr>
                <w:rFonts w:ascii="宋体" w:hAnsi="宋体" w:eastAsia="宋体" w:cs="宋体"/>
                <w:color w:val="000000"/>
                <w:sz w:val="22"/>
              </w:rPr>
            </w:pPr>
            <w:r>
              <w:rPr>
                <w:rFonts w:hint="eastAsia"/>
                <w:color w:val="000000"/>
                <w:sz w:val="22"/>
              </w:rPr>
              <w:t>其他环境监测与监察支出</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2FB5F">
            <w:pPr>
              <w:jc w:val="right"/>
              <w:rPr>
                <w:rFonts w:ascii="宋体" w:hAnsi="宋体" w:eastAsia="宋体" w:cs="宋体"/>
                <w:color w:val="000000"/>
                <w:sz w:val="22"/>
              </w:rPr>
            </w:pPr>
            <w:r>
              <w:rPr>
                <w:rFonts w:hint="eastAsia"/>
                <w:color w:val="000000"/>
                <w:sz w:val="22"/>
              </w:rPr>
              <w:t>53.10</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CDDC4">
            <w:pPr>
              <w:jc w:val="right"/>
              <w:rPr>
                <w:rFonts w:ascii="宋体" w:hAnsi="宋体" w:eastAsia="宋体" w:cs="宋体"/>
                <w:color w:val="000000"/>
                <w:sz w:val="22"/>
              </w:rPr>
            </w:pPr>
            <w:r>
              <w:rPr>
                <w:rFonts w:hint="eastAsia"/>
                <w:color w:val="000000"/>
                <w:sz w:val="22"/>
              </w:rPr>
              <w:t>　</w:t>
            </w:r>
          </w:p>
        </w:tc>
        <w:tc>
          <w:tcPr>
            <w:tcW w:w="14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CC556">
            <w:pPr>
              <w:jc w:val="right"/>
              <w:rPr>
                <w:rFonts w:ascii="宋体" w:hAnsi="宋体" w:eastAsia="宋体" w:cs="宋体"/>
                <w:color w:val="000000"/>
                <w:sz w:val="22"/>
              </w:rPr>
            </w:pPr>
            <w:r>
              <w:rPr>
                <w:rFonts w:hint="eastAsia"/>
                <w:color w:val="000000"/>
                <w:sz w:val="22"/>
              </w:rPr>
              <w:t>53.10</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BCE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8F28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E4E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1B3E390">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6E51CD">
            <w:pPr>
              <w:jc w:val="center"/>
              <w:rPr>
                <w:rFonts w:ascii="宋体" w:hAnsi="宋体" w:eastAsia="宋体" w:cs="宋体"/>
                <w:color w:val="000000"/>
                <w:sz w:val="22"/>
              </w:rPr>
            </w:pPr>
            <w:r>
              <w:rPr>
                <w:rFonts w:hint="eastAsia"/>
                <w:color w:val="000000"/>
                <w:sz w:val="22"/>
              </w:rPr>
              <w:t>2110302</w:t>
            </w:r>
          </w:p>
        </w:tc>
        <w:tc>
          <w:tcPr>
            <w:tcW w:w="4177" w:type="dxa"/>
            <w:tcBorders>
              <w:top w:val="single" w:color="auto" w:sz="4" w:space="0"/>
              <w:left w:val="nil"/>
              <w:bottom w:val="single" w:color="auto" w:sz="4" w:space="0"/>
              <w:right w:val="single" w:color="auto" w:sz="4" w:space="0"/>
            </w:tcBorders>
            <w:shd w:val="clear" w:color="000000" w:fill="FFFFFF"/>
            <w:noWrap/>
            <w:vAlign w:val="center"/>
          </w:tcPr>
          <w:p w14:paraId="3B521A8A">
            <w:pPr>
              <w:rPr>
                <w:rFonts w:ascii="宋体" w:hAnsi="宋体" w:eastAsia="宋体" w:cs="宋体"/>
                <w:color w:val="000000"/>
                <w:sz w:val="22"/>
              </w:rPr>
            </w:pPr>
            <w:r>
              <w:rPr>
                <w:rFonts w:hint="eastAsia"/>
                <w:color w:val="000000"/>
                <w:sz w:val="22"/>
              </w:rPr>
              <w:t>水体</w:t>
            </w:r>
          </w:p>
        </w:tc>
        <w:tc>
          <w:tcPr>
            <w:tcW w:w="1595" w:type="dxa"/>
            <w:tcBorders>
              <w:top w:val="single" w:color="auto" w:sz="4" w:space="0"/>
              <w:left w:val="nil"/>
              <w:bottom w:val="single" w:color="auto" w:sz="4" w:space="0"/>
              <w:right w:val="single" w:color="auto" w:sz="4" w:space="0"/>
            </w:tcBorders>
            <w:shd w:val="clear" w:color="auto" w:fill="auto"/>
            <w:noWrap/>
            <w:vAlign w:val="center"/>
          </w:tcPr>
          <w:p w14:paraId="4504E38D">
            <w:pPr>
              <w:jc w:val="right"/>
              <w:rPr>
                <w:rFonts w:ascii="宋体" w:hAnsi="宋体" w:eastAsia="宋体" w:cs="宋体"/>
                <w:color w:val="000000"/>
                <w:sz w:val="22"/>
              </w:rPr>
            </w:pPr>
            <w:r>
              <w:rPr>
                <w:rFonts w:hint="eastAsia"/>
                <w:color w:val="000000"/>
                <w:sz w:val="22"/>
              </w:rPr>
              <w:t>28.41</w:t>
            </w:r>
          </w:p>
        </w:tc>
        <w:tc>
          <w:tcPr>
            <w:tcW w:w="1475" w:type="dxa"/>
            <w:tcBorders>
              <w:top w:val="single" w:color="auto" w:sz="4" w:space="0"/>
              <w:left w:val="nil"/>
              <w:bottom w:val="single" w:color="auto" w:sz="4" w:space="0"/>
              <w:right w:val="single" w:color="auto" w:sz="4" w:space="0"/>
            </w:tcBorders>
            <w:shd w:val="clear" w:color="auto" w:fill="auto"/>
            <w:noWrap/>
            <w:vAlign w:val="center"/>
          </w:tcPr>
          <w:p w14:paraId="0F17473B">
            <w:pPr>
              <w:jc w:val="right"/>
              <w:rPr>
                <w:rFonts w:ascii="宋体" w:hAnsi="宋体" w:eastAsia="宋体" w:cs="宋体"/>
                <w:color w:val="000000"/>
                <w:sz w:val="22"/>
              </w:rPr>
            </w:pPr>
            <w:r>
              <w:rPr>
                <w:rFonts w:hint="eastAsia"/>
                <w:color w:val="000000"/>
                <w:sz w:val="22"/>
              </w:rPr>
              <w:t>1.19</w:t>
            </w:r>
          </w:p>
        </w:tc>
        <w:tc>
          <w:tcPr>
            <w:tcW w:w="1475" w:type="dxa"/>
            <w:tcBorders>
              <w:top w:val="single" w:color="auto" w:sz="4" w:space="0"/>
              <w:left w:val="nil"/>
              <w:bottom w:val="single" w:color="auto" w:sz="4" w:space="0"/>
              <w:right w:val="single" w:color="auto" w:sz="4" w:space="0"/>
            </w:tcBorders>
            <w:shd w:val="clear" w:color="auto" w:fill="auto"/>
            <w:noWrap/>
            <w:vAlign w:val="center"/>
          </w:tcPr>
          <w:p w14:paraId="2800BF04">
            <w:pPr>
              <w:jc w:val="right"/>
              <w:rPr>
                <w:rFonts w:ascii="宋体" w:hAnsi="宋体" w:eastAsia="宋体" w:cs="宋体"/>
                <w:color w:val="000000"/>
                <w:sz w:val="22"/>
              </w:rPr>
            </w:pPr>
            <w:r>
              <w:rPr>
                <w:rFonts w:hint="eastAsia"/>
                <w:color w:val="000000"/>
                <w:sz w:val="22"/>
              </w:rPr>
              <w:t>27.22</w:t>
            </w:r>
          </w:p>
        </w:tc>
        <w:tc>
          <w:tcPr>
            <w:tcW w:w="1160" w:type="dxa"/>
            <w:tcBorders>
              <w:top w:val="single" w:color="auto" w:sz="4" w:space="0"/>
              <w:left w:val="nil"/>
              <w:bottom w:val="single" w:color="auto" w:sz="4" w:space="0"/>
              <w:right w:val="single" w:color="auto" w:sz="4" w:space="0"/>
            </w:tcBorders>
            <w:shd w:val="clear" w:color="auto" w:fill="auto"/>
            <w:noWrap/>
            <w:vAlign w:val="center"/>
          </w:tcPr>
          <w:p w14:paraId="2F5332E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6A2DF2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77" w:type="dxa"/>
            <w:tcBorders>
              <w:top w:val="single" w:color="auto" w:sz="4" w:space="0"/>
              <w:left w:val="nil"/>
              <w:bottom w:val="single" w:color="auto" w:sz="4" w:space="0"/>
              <w:right w:val="single" w:color="auto" w:sz="4" w:space="0"/>
            </w:tcBorders>
            <w:shd w:val="clear" w:color="auto" w:fill="auto"/>
            <w:noWrap/>
            <w:vAlign w:val="center"/>
          </w:tcPr>
          <w:p w14:paraId="702A7D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4D33F7B">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5CAD6F">
            <w:pPr>
              <w:jc w:val="center"/>
              <w:rPr>
                <w:rFonts w:ascii="宋体" w:hAnsi="宋体" w:eastAsia="宋体" w:cs="宋体"/>
                <w:color w:val="000000"/>
                <w:sz w:val="22"/>
              </w:rPr>
            </w:pPr>
            <w:r>
              <w:rPr>
                <w:rFonts w:hint="eastAsia"/>
                <w:color w:val="000000"/>
                <w:sz w:val="22"/>
              </w:rPr>
              <w:t>2110399</w:t>
            </w:r>
          </w:p>
        </w:tc>
        <w:tc>
          <w:tcPr>
            <w:tcW w:w="4177" w:type="dxa"/>
            <w:tcBorders>
              <w:top w:val="nil"/>
              <w:left w:val="nil"/>
              <w:bottom w:val="single" w:color="auto" w:sz="4" w:space="0"/>
              <w:right w:val="single" w:color="auto" w:sz="4" w:space="0"/>
            </w:tcBorders>
            <w:shd w:val="clear" w:color="000000" w:fill="FFFFFF"/>
            <w:noWrap/>
            <w:vAlign w:val="center"/>
          </w:tcPr>
          <w:p w14:paraId="48C84A1D">
            <w:pPr>
              <w:rPr>
                <w:rFonts w:ascii="宋体" w:hAnsi="宋体" w:eastAsia="宋体" w:cs="宋体"/>
                <w:color w:val="000000"/>
                <w:sz w:val="22"/>
              </w:rPr>
            </w:pPr>
            <w:r>
              <w:rPr>
                <w:rFonts w:hint="eastAsia"/>
                <w:color w:val="000000"/>
                <w:sz w:val="22"/>
              </w:rPr>
              <w:t>其他污染防治支出</w:t>
            </w:r>
          </w:p>
        </w:tc>
        <w:tc>
          <w:tcPr>
            <w:tcW w:w="1595" w:type="dxa"/>
            <w:tcBorders>
              <w:top w:val="nil"/>
              <w:left w:val="nil"/>
              <w:bottom w:val="single" w:color="auto" w:sz="4" w:space="0"/>
              <w:right w:val="single" w:color="auto" w:sz="4" w:space="0"/>
            </w:tcBorders>
            <w:shd w:val="clear" w:color="auto" w:fill="auto"/>
            <w:noWrap/>
            <w:vAlign w:val="center"/>
          </w:tcPr>
          <w:p w14:paraId="52F6DA48">
            <w:pPr>
              <w:jc w:val="right"/>
              <w:rPr>
                <w:rFonts w:ascii="宋体" w:hAnsi="宋体" w:eastAsia="宋体" w:cs="宋体"/>
                <w:color w:val="000000"/>
                <w:sz w:val="22"/>
              </w:rPr>
            </w:pPr>
            <w:r>
              <w:rPr>
                <w:rFonts w:hint="eastAsia"/>
                <w:color w:val="000000"/>
                <w:sz w:val="22"/>
              </w:rPr>
              <w:t>89.16</w:t>
            </w:r>
          </w:p>
        </w:tc>
        <w:tc>
          <w:tcPr>
            <w:tcW w:w="1475" w:type="dxa"/>
            <w:tcBorders>
              <w:top w:val="nil"/>
              <w:left w:val="nil"/>
              <w:bottom w:val="single" w:color="auto" w:sz="4" w:space="0"/>
              <w:right w:val="single" w:color="auto" w:sz="4" w:space="0"/>
            </w:tcBorders>
            <w:shd w:val="clear" w:color="auto" w:fill="auto"/>
            <w:noWrap/>
            <w:vAlign w:val="center"/>
          </w:tcPr>
          <w:p w14:paraId="0F09BE6F">
            <w:pPr>
              <w:jc w:val="right"/>
              <w:rPr>
                <w:rFonts w:ascii="宋体" w:hAnsi="宋体" w:eastAsia="宋体" w:cs="宋体"/>
                <w:color w:val="000000"/>
                <w:sz w:val="22"/>
              </w:rPr>
            </w:pPr>
            <w:r>
              <w:rPr>
                <w:rFonts w:hint="eastAsia"/>
                <w:color w:val="000000"/>
                <w:sz w:val="22"/>
              </w:rPr>
              <w:t>19.73</w:t>
            </w:r>
          </w:p>
        </w:tc>
        <w:tc>
          <w:tcPr>
            <w:tcW w:w="1475" w:type="dxa"/>
            <w:tcBorders>
              <w:top w:val="nil"/>
              <w:left w:val="nil"/>
              <w:bottom w:val="single" w:color="auto" w:sz="4" w:space="0"/>
              <w:right w:val="single" w:color="auto" w:sz="4" w:space="0"/>
            </w:tcBorders>
            <w:shd w:val="clear" w:color="auto" w:fill="auto"/>
            <w:noWrap/>
            <w:vAlign w:val="center"/>
          </w:tcPr>
          <w:p w14:paraId="4A4238D7">
            <w:pPr>
              <w:jc w:val="right"/>
              <w:rPr>
                <w:rFonts w:ascii="宋体" w:hAnsi="宋体" w:eastAsia="宋体" w:cs="宋体"/>
                <w:color w:val="000000"/>
                <w:sz w:val="22"/>
              </w:rPr>
            </w:pPr>
            <w:r>
              <w:rPr>
                <w:rFonts w:hint="eastAsia"/>
                <w:color w:val="000000"/>
                <w:sz w:val="22"/>
              </w:rPr>
              <w:t>69.43</w:t>
            </w:r>
          </w:p>
        </w:tc>
        <w:tc>
          <w:tcPr>
            <w:tcW w:w="1160" w:type="dxa"/>
            <w:tcBorders>
              <w:top w:val="nil"/>
              <w:left w:val="nil"/>
              <w:bottom w:val="single" w:color="auto" w:sz="4" w:space="0"/>
              <w:right w:val="single" w:color="auto" w:sz="4" w:space="0"/>
            </w:tcBorders>
            <w:shd w:val="clear" w:color="auto" w:fill="auto"/>
            <w:noWrap/>
            <w:vAlign w:val="center"/>
          </w:tcPr>
          <w:p w14:paraId="20B729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4" w:space="0"/>
              <w:right w:val="single" w:color="auto" w:sz="4" w:space="0"/>
            </w:tcBorders>
            <w:shd w:val="clear" w:color="auto" w:fill="auto"/>
            <w:noWrap/>
            <w:vAlign w:val="center"/>
          </w:tcPr>
          <w:p w14:paraId="520148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77" w:type="dxa"/>
            <w:tcBorders>
              <w:top w:val="nil"/>
              <w:left w:val="nil"/>
              <w:bottom w:val="single" w:color="auto" w:sz="4" w:space="0"/>
              <w:right w:val="single" w:color="auto" w:sz="4" w:space="0"/>
            </w:tcBorders>
            <w:shd w:val="clear" w:color="auto" w:fill="auto"/>
            <w:noWrap/>
            <w:vAlign w:val="center"/>
          </w:tcPr>
          <w:p w14:paraId="51DBB59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CA44789">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3AB055C">
            <w:pPr>
              <w:jc w:val="center"/>
              <w:rPr>
                <w:rFonts w:ascii="宋体" w:hAnsi="宋体" w:eastAsia="宋体" w:cs="宋体"/>
                <w:color w:val="000000"/>
                <w:sz w:val="22"/>
              </w:rPr>
            </w:pPr>
            <w:r>
              <w:rPr>
                <w:rFonts w:hint="eastAsia"/>
                <w:color w:val="000000"/>
                <w:sz w:val="22"/>
              </w:rPr>
              <w:t>2110402</w:t>
            </w:r>
          </w:p>
        </w:tc>
        <w:tc>
          <w:tcPr>
            <w:tcW w:w="4177" w:type="dxa"/>
            <w:tcBorders>
              <w:top w:val="nil"/>
              <w:left w:val="nil"/>
              <w:bottom w:val="single" w:color="auto" w:sz="4" w:space="0"/>
              <w:right w:val="single" w:color="auto" w:sz="4" w:space="0"/>
            </w:tcBorders>
            <w:shd w:val="clear" w:color="000000" w:fill="FFFFFF"/>
            <w:noWrap/>
            <w:vAlign w:val="center"/>
          </w:tcPr>
          <w:p w14:paraId="4DF8F7CA">
            <w:pPr>
              <w:rPr>
                <w:rFonts w:ascii="宋体" w:hAnsi="宋体" w:eastAsia="宋体" w:cs="宋体"/>
                <w:color w:val="000000"/>
                <w:sz w:val="22"/>
              </w:rPr>
            </w:pPr>
            <w:r>
              <w:rPr>
                <w:rFonts w:hint="eastAsia"/>
                <w:color w:val="000000"/>
                <w:sz w:val="22"/>
              </w:rPr>
              <w:t>农村环境保护</w:t>
            </w:r>
          </w:p>
        </w:tc>
        <w:tc>
          <w:tcPr>
            <w:tcW w:w="1595" w:type="dxa"/>
            <w:tcBorders>
              <w:top w:val="nil"/>
              <w:left w:val="nil"/>
              <w:bottom w:val="single" w:color="auto" w:sz="4" w:space="0"/>
              <w:right w:val="single" w:color="auto" w:sz="4" w:space="0"/>
            </w:tcBorders>
            <w:shd w:val="clear" w:color="auto" w:fill="auto"/>
            <w:noWrap/>
            <w:vAlign w:val="center"/>
          </w:tcPr>
          <w:p w14:paraId="208CD9F7">
            <w:pPr>
              <w:jc w:val="right"/>
              <w:rPr>
                <w:rFonts w:ascii="宋体" w:hAnsi="宋体" w:eastAsia="宋体" w:cs="宋体"/>
                <w:color w:val="000000"/>
                <w:sz w:val="22"/>
              </w:rPr>
            </w:pPr>
            <w:r>
              <w:rPr>
                <w:rFonts w:hint="eastAsia"/>
                <w:color w:val="000000"/>
                <w:sz w:val="22"/>
              </w:rPr>
              <w:t>30.00</w:t>
            </w:r>
          </w:p>
        </w:tc>
        <w:tc>
          <w:tcPr>
            <w:tcW w:w="1475" w:type="dxa"/>
            <w:tcBorders>
              <w:top w:val="nil"/>
              <w:left w:val="nil"/>
              <w:bottom w:val="single" w:color="auto" w:sz="4" w:space="0"/>
              <w:right w:val="single" w:color="auto" w:sz="4" w:space="0"/>
            </w:tcBorders>
            <w:shd w:val="clear" w:color="auto" w:fill="auto"/>
            <w:noWrap/>
            <w:vAlign w:val="center"/>
          </w:tcPr>
          <w:p w14:paraId="668AA132">
            <w:pPr>
              <w:jc w:val="right"/>
              <w:rPr>
                <w:rFonts w:ascii="宋体" w:hAnsi="宋体" w:eastAsia="宋体" w:cs="宋体"/>
                <w:color w:val="000000"/>
                <w:sz w:val="22"/>
              </w:rPr>
            </w:pPr>
            <w:r>
              <w:rPr>
                <w:rFonts w:hint="eastAsia"/>
                <w:color w:val="000000"/>
                <w:sz w:val="22"/>
              </w:rPr>
              <w:t>　</w:t>
            </w:r>
          </w:p>
        </w:tc>
        <w:tc>
          <w:tcPr>
            <w:tcW w:w="1475" w:type="dxa"/>
            <w:tcBorders>
              <w:top w:val="nil"/>
              <w:left w:val="nil"/>
              <w:bottom w:val="single" w:color="auto" w:sz="4" w:space="0"/>
              <w:right w:val="single" w:color="auto" w:sz="4" w:space="0"/>
            </w:tcBorders>
            <w:shd w:val="clear" w:color="auto" w:fill="auto"/>
            <w:noWrap/>
            <w:vAlign w:val="center"/>
          </w:tcPr>
          <w:p w14:paraId="48886837">
            <w:pPr>
              <w:jc w:val="right"/>
              <w:rPr>
                <w:rFonts w:ascii="宋体" w:hAnsi="宋体" w:eastAsia="宋体" w:cs="宋体"/>
                <w:color w:val="000000"/>
                <w:sz w:val="22"/>
              </w:rPr>
            </w:pPr>
            <w:r>
              <w:rPr>
                <w:rFonts w:hint="eastAsia"/>
                <w:color w:val="000000"/>
                <w:sz w:val="22"/>
              </w:rPr>
              <w:t>30.00</w:t>
            </w:r>
          </w:p>
        </w:tc>
        <w:tc>
          <w:tcPr>
            <w:tcW w:w="1160" w:type="dxa"/>
            <w:tcBorders>
              <w:top w:val="nil"/>
              <w:left w:val="nil"/>
              <w:bottom w:val="single" w:color="auto" w:sz="4" w:space="0"/>
              <w:right w:val="single" w:color="auto" w:sz="4" w:space="0"/>
            </w:tcBorders>
            <w:shd w:val="clear" w:color="auto" w:fill="auto"/>
            <w:noWrap/>
            <w:vAlign w:val="center"/>
          </w:tcPr>
          <w:p w14:paraId="0DA6193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4" w:space="0"/>
              <w:right w:val="single" w:color="auto" w:sz="4" w:space="0"/>
            </w:tcBorders>
            <w:shd w:val="clear" w:color="auto" w:fill="auto"/>
            <w:noWrap/>
            <w:vAlign w:val="center"/>
          </w:tcPr>
          <w:p w14:paraId="79CC0A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77" w:type="dxa"/>
            <w:tcBorders>
              <w:top w:val="nil"/>
              <w:left w:val="nil"/>
              <w:bottom w:val="single" w:color="auto" w:sz="4" w:space="0"/>
              <w:right w:val="single" w:color="auto" w:sz="4" w:space="0"/>
            </w:tcBorders>
            <w:shd w:val="clear" w:color="auto" w:fill="auto"/>
            <w:noWrap/>
            <w:vAlign w:val="center"/>
          </w:tcPr>
          <w:p w14:paraId="7C1E78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0D5E74E">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62806C">
            <w:pPr>
              <w:jc w:val="center"/>
              <w:rPr>
                <w:rFonts w:ascii="宋体" w:hAnsi="宋体" w:eastAsia="宋体" w:cs="宋体"/>
                <w:color w:val="000000"/>
                <w:sz w:val="22"/>
              </w:rPr>
            </w:pPr>
            <w:r>
              <w:rPr>
                <w:rFonts w:hint="eastAsia"/>
                <w:color w:val="000000"/>
                <w:sz w:val="22"/>
              </w:rPr>
              <w:t>2120199</w:t>
            </w:r>
          </w:p>
        </w:tc>
        <w:tc>
          <w:tcPr>
            <w:tcW w:w="4177" w:type="dxa"/>
            <w:tcBorders>
              <w:top w:val="nil"/>
              <w:left w:val="nil"/>
              <w:bottom w:val="single" w:color="auto" w:sz="4" w:space="0"/>
              <w:right w:val="single" w:color="auto" w:sz="4" w:space="0"/>
            </w:tcBorders>
            <w:shd w:val="clear" w:color="000000" w:fill="FFFFFF"/>
            <w:noWrap/>
            <w:vAlign w:val="center"/>
          </w:tcPr>
          <w:p w14:paraId="75494B77">
            <w:pPr>
              <w:rPr>
                <w:rFonts w:ascii="宋体" w:hAnsi="宋体" w:eastAsia="宋体" w:cs="宋体"/>
                <w:color w:val="000000"/>
                <w:sz w:val="22"/>
              </w:rPr>
            </w:pPr>
            <w:r>
              <w:rPr>
                <w:rFonts w:hint="eastAsia"/>
                <w:color w:val="000000"/>
                <w:sz w:val="22"/>
              </w:rPr>
              <w:t>其他城乡社区管理事务支出</w:t>
            </w:r>
          </w:p>
        </w:tc>
        <w:tc>
          <w:tcPr>
            <w:tcW w:w="1595" w:type="dxa"/>
            <w:tcBorders>
              <w:top w:val="nil"/>
              <w:left w:val="nil"/>
              <w:bottom w:val="single" w:color="auto" w:sz="4" w:space="0"/>
              <w:right w:val="single" w:color="auto" w:sz="4" w:space="0"/>
            </w:tcBorders>
            <w:shd w:val="clear" w:color="auto" w:fill="auto"/>
            <w:noWrap/>
            <w:vAlign w:val="center"/>
          </w:tcPr>
          <w:p w14:paraId="2B06A57B">
            <w:pPr>
              <w:jc w:val="right"/>
              <w:rPr>
                <w:rFonts w:ascii="宋体" w:hAnsi="宋体" w:eastAsia="宋体" w:cs="宋体"/>
                <w:color w:val="000000"/>
                <w:sz w:val="22"/>
              </w:rPr>
            </w:pPr>
            <w:r>
              <w:rPr>
                <w:rFonts w:hint="eastAsia"/>
                <w:color w:val="000000"/>
                <w:sz w:val="22"/>
              </w:rPr>
              <w:t>600.33</w:t>
            </w:r>
          </w:p>
        </w:tc>
        <w:tc>
          <w:tcPr>
            <w:tcW w:w="1475" w:type="dxa"/>
            <w:tcBorders>
              <w:top w:val="nil"/>
              <w:left w:val="nil"/>
              <w:bottom w:val="single" w:color="auto" w:sz="4" w:space="0"/>
              <w:right w:val="single" w:color="auto" w:sz="4" w:space="0"/>
            </w:tcBorders>
            <w:shd w:val="clear" w:color="auto" w:fill="auto"/>
            <w:noWrap/>
            <w:vAlign w:val="center"/>
          </w:tcPr>
          <w:p w14:paraId="0B16965F">
            <w:pPr>
              <w:jc w:val="right"/>
              <w:rPr>
                <w:rFonts w:ascii="宋体" w:hAnsi="宋体" w:eastAsia="宋体" w:cs="宋体"/>
                <w:color w:val="000000"/>
                <w:sz w:val="22"/>
              </w:rPr>
            </w:pPr>
            <w:r>
              <w:rPr>
                <w:rFonts w:hint="eastAsia"/>
                <w:color w:val="000000"/>
                <w:sz w:val="22"/>
              </w:rPr>
              <w:t>179.11</w:t>
            </w:r>
          </w:p>
        </w:tc>
        <w:tc>
          <w:tcPr>
            <w:tcW w:w="1475" w:type="dxa"/>
            <w:tcBorders>
              <w:top w:val="nil"/>
              <w:left w:val="nil"/>
              <w:bottom w:val="single" w:color="auto" w:sz="4" w:space="0"/>
              <w:right w:val="single" w:color="auto" w:sz="4" w:space="0"/>
            </w:tcBorders>
            <w:shd w:val="clear" w:color="auto" w:fill="auto"/>
            <w:noWrap/>
            <w:vAlign w:val="center"/>
          </w:tcPr>
          <w:p w14:paraId="06800B0D">
            <w:pPr>
              <w:jc w:val="right"/>
              <w:rPr>
                <w:rFonts w:ascii="宋体" w:hAnsi="宋体" w:eastAsia="宋体" w:cs="宋体"/>
                <w:color w:val="000000"/>
                <w:sz w:val="22"/>
              </w:rPr>
            </w:pPr>
            <w:r>
              <w:rPr>
                <w:rFonts w:hint="eastAsia"/>
                <w:color w:val="000000"/>
                <w:sz w:val="22"/>
              </w:rPr>
              <w:t>421.22</w:t>
            </w:r>
          </w:p>
        </w:tc>
        <w:tc>
          <w:tcPr>
            <w:tcW w:w="1160" w:type="dxa"/>
            <w:tcBorders>
              <w:top w:val="nil"/>
              <w:left w:val="nil"/>
              <w:bottom w:val="single" w:color="auto" w:sz="4" w:space="0"/>
              <w:right w:val="single" w:color="auto" w:sz="4" w:space="0"/>
            </w:tcBorders>
            <w:shd w:val="clear" w:color="auto" w:fill="auto"/>
            <w:noWrap/>
            <w:vAlign w:val="center"/>
          </w:tcPr>
          <w:p w14:paraId="3EDB27F3">
            <w:pPr>
              <w:widowControl/>
              <w:jc w:val="right"/>
              <w:rPr>
                <w:rFonts w:ascii="Times New Roman" w:hAnsi="Times New Roman" w:eastAsia="仿宋_GB2312" w:cs="Times New Roman"/>
                <w:kern w:val="0"/>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14:paraId="02F1218D">
            <w:pPr>
              <w:widowControl/>
              <w:jc w:val="right"/>
              <w:rPr>
                <w:rFonts w:ascii="Times New Roman" w:hAnsi="Times New Roman" w:eastAsia="仿宋_GB2312" w:cs="Times New Roman"/>
                <w:kern w:val="0"/>
                <w:sz w:val="24"/>
                <w:szCs w:val="24"/>
              </w:rPr>
            </w:pPr>
          </w:p>
        </w:tc>
        <w:tc>
          <w:tcPr>
            <w:tcW w:w="1777" w:type="dxa"/>
            <w:tcBorders>
              <w:top w:val="nil"/>
              <w:left w:val="nil"/>
              <w:bottom w:val="single" w:color="auto" w:sz="4" w:space="0"/>
              <w:right w:val="single" w:color="auto" w:sz="4" w:space="0"/>
            </w:tcBorders>
            <w:shd w:val="clear" w:color="auto" w:fill="auto"/>
            <w:noWrap/>
            <w:vAlign w:val="center"/>
          </w:tcPr>
          <w:p w14:paraId="66953427">
            <w:pPr>
              <w:widowControl/>
              <w:jc w:val="right"/>
              <w:rPr>
                <w:rFonts w:ascii="Times New Roman" w:hAnsi="Times New Roman" w:eastAsia="仿宋_GB2312" w:cs="Times New Roman"/>
                <w:kern w:val="0"/>
                <w:sz w:val="24"/>
                <w:szCs w:val="24"/>
              </w:rPr>
            </w:pPr>
          </w:p>
        </w:tc>
      </w:tr>
      <w:tr w14:paraId="46931D6C">
        <w:tblPrEx>
          <w:tblCellMar>
            <w:top w:w="0" w:type="dxa"/>
            <w:left w:w="108" w:type="dxa"/>
            <w:bottom w:w="0" w:type="dxa"/>
            <w:right w:w="108" w:type="dxa"/>
          </w:tblCellMar>
        </w:tblPrEx>
        <w:trPr>
          <w:trHeight w:val="595" w:hRule="atLeast"/>
          <w:jc w:val="center"/>
        </w:trPr>
        <w:tc>
          <w:tcPr>
            <w:tcW w:w="147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65FA79">
            <w:pPr>
              <w:jc w:val="center"/>
              <w:rPr>
                <w:rFonts w:ascii="宋体" w:hAnsi="宋体" w:eastAsia="宋体" w:cs="宋体"/>
                <w:color w:val="000000"/>
                <w:sz w:val="22"/>
              </w:rPr>
            </w:pPr>
            <w:r>
              <w:rPr>
                <w:rFonts w:hint="eastAsia"/>
                <w:color w:val="000000"/>
                <w:sz w:val="22"/>
              </w:rPr>
              <w:t>2130599</w:t>
            </w:r>
          </w:p>
        </w:tc>
        <w:tc>
          <w:tcPr>
            <w:tcW w:w="4177" w:type="dxa"/>
            <w:tcBorders>
              <w:top w:val="nil"/>
              <w:left w:val="nil"/>
              <w:bottom w:val="single" w:color="auto" w:sz="4" w:space="0"/>
              <w:right w:val="single" w:color="auto" w:sz="4" w:space="0"/>
            </w:tcBorders>
            <w:shd w:val="clear" w:color="000000" w:fill="FFFFFF"/>
            <w:noWrap/>
            <w:vAlign w:val="center"/>
          </w:tcPr>
          <w:p w14:paraId="50A35B03">
            <w:pPr>
              <w:rPr>
                <w:rFonts w:ascii="宋体" w:hAnsi="宋体" w:eastAsia="宋体" w:cs="宋体"/>
                <w:color w:val="000000"/>
                <w:sz w:val="22"/>
              </w:rPr>
            </w:pPr>
            <w:r>
              <w:rPr>
                <w:rFonts w:hint="eastAsia"/>
                <w:color w:val="000000"/>
                <w:sz w:val="22"/>
              </w:rPr>
              <w:t>其他巩固脱贫攻坚成果衔接乡村振兴支出</w:t>
            </w:r>
          </w:p>
        </w:tc>
        <w:tc>
          <w:tcPr>
            <w:tcW w:w="1595" w:type="dxa"/>
            <w:tcBorders>
              <w:top w:val="nil"/>
              <w:left w:val="nil"/>
              <w:bottom w:val="single" w:color="auto" w:sz="4" w:space="0"/>
              <w:right w:val="single" w:color="auto" w:sz="4" w:space="0"/>
            </w:tcBorders>
            <w:shd w:val="clear" w:color="auto" w:fill="auto"/>
            <w:noWrap/>
            <w:vAlign w:val="center"/>
          </w:tcPr>
          <w:p w14:paraId="059DC60F">
            <w:pPr>
              <w:jc w:val="right"/>
              <w:rPr>
                <w:rFonts w:ascii="宋体" w:hAnsi="宋体" w:eastAsia="宋体" w:cs="宋体"/>
                <w:color w:val="000000"/>
                <w:sz w:val="22"/>
              </w:rPr>
            </w:pPr>
            <w:r>
              <w:rPr>
                <w:rFonts w:hint="eastAsia"/>
                <w:color w:val="000000"/>
                <w:sz w:val="22"/>
              </w:rPr>
              <w:t>0.34</w:t>
            </w:r>
          </w:p>
        </w:tc>
        <w:tc>
          <w:tcPr>
            <w:tcW w:w="1475" w:type="dxa"/>
            <w:tcBorders>
              <w:top w:val="nil"/>
              <w:left w:val="nil"/>
              <w:bottom w:val="single" w:color="auto" w:sz="4" w:space="0"/>
              <w:right w:val="single" w:color="auto" w:sz="4" w:space="0"/>
            </w:tcBorders>
            <w:shd w:val="clear" w:color="auto" w:fill="auto"/>
            <w:noWrap/>
            <w:vAlign w:val="center"/>
          </w:tcPr>
          <w:p w14:paraId="4282419D">
            <w:pPr>
              <w:jc w:val="right"/>
              <w:rPr>
                <w:rFonts w:ascii="宋体" w:hAnsi="宋体" w:eastAsia="宋体" w:cs="宋体"/>
                <w:color w:val="000000"/>
                <w:sz w:val="22"/>
              </w:rPr>
            </w:pPr>
            <w:r>
              <w:rPr>
                <w:rFonts w:hint="eastAsia"/>
                <w:color w:val="000000"/>
                <w:sz w:val="22"/>
              </w:rPr>
              <w:t>0.34</w:t>
            </w:r>
          </w:p>
        </w:tc>
        <w:tc>
          <w:tcPr>
            <w:tcW w:w="1475" w:type="dxa"/>
            <w:tcBorders>
              <w:top w:val="nil"/>
              <w:left w:val="nil"/>
              <w:bottom w:val="single" w:color="auto" w:sz="4" w:space="0"/>
              <w:right w:val="single" w:color="auto" w:sz="4" w:space="0"/>
            </w:tcBorders>
            <w:shd w:val="clear" w:color="auto" w:fill="auto"/>
            <w:noWrap/>
            <w:vAlign w:val="center"/>
          </w:tcPr>
          <w:p w14:paraId="732890D3">
            <w:pPr>
              <w:jc w:val="right"/>
              <w:rPr>
                <w:rFonts w:ascii="宋体" w:hAnsi="宋体" w:eastAsia="宋体" w:cs="宋体"/>
                <w:color w:val="000000"/>
                <w:sz w:val="22"/>
              </w:rPr>
            </w:pPr>
            <w:r>
              <w:rPr>
                <w:rFonts w:hint="eastAsia"/>
                <w:color w:val="000000"/>
                <w:sz w:val="22"/>
              </w:rPr>
              <w:t>　</w:t>
            </w:r>
          </w:p>
        </w:tc>
        <w:tc>
          <w:tcPr>
            <w:tcW w:w="1160" w:type="dxa"/>
            <w:tcBorders>
              <w:top w:val="nil"/>
              <w:left w:val="nil"/>
              <w:bottom w:val="single" w:color="auto" w:sz="4" w:space="0"/>
              <w:right w:val="single" w:color="auto" w:sz="4" w:space="0"/>
            </w:tcBorders>
            <w:shd w:val="clear" w:color="auto" w:fill="auto"/>
            <w:noWrap/>
            <w:vAlign w:val="center"/>
          </w:tcPr>
          <w:p w14:paraId="18DAAAE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80" w:type="dxa"/>
            <w:tcBorders>
              <w:top w:val="nil"/>
              <w:left w:val="nil"/>
              <w:bottom w:val="single" w:color="auto" w:sz="4" w:space="0"/>
              <w:right w:val="single" w:color="auto" w:sz="4" w:space="0"/>
            </w:tcBorders>
            <w:shd w:val="clear" w:color="auto" w:fill="auto"/>
            <w:noWrap/>
            <w:vAlign w:val="center"/>
          </w:tcPr>
          <w:p w14:paraId="6454AC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77" w:type="dxa"/>
            <w:tcBorders>
              <w:top w:val="nil"/>
              <w:left w:val="nil"/>
              <w:bottom w:val="single" w:color="auto" w:sz="4" w:space="0"/>
              <w:right w:val="single" w:color="auto" w:sz="4" w:space="0"/>
            </w:tcBorders>
            <w:shd w:val="clear" w:color="auto" w:fill="auto"/>
            <w:noWrap/>
            <w:vAlign w:val="center"/>
          </w:tcPr>
          <w:p w14:paraId="13BE0AE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0136F5AB">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53B3DA1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ADD4439">
      <w:pPr>
        <w:widowControl/>
        <w:spacing w:line="400" w:lineRule="exact"/>
        <w:jc w:val="center"/>
        <w:textAlignment w:val="center"/>
        <w:rPr>
          <w:rFonts w:ascii="Times New Roman" w:hAnsi="Times New Roman" w:eastAsia="黑体" w:cs="Times New Roman"/>
          <w:color w:val="000000"/>
          <w:kern w:val="0"/>
          <w:sz w:val="32"/>
          <w:szCs w:val="32"/>
        </w:rPr>
      </w:pPr>
    </w:p>
    <w:p w14:paraId="2D3C5D83">
      <w:pPr>
        <w:widowControl/>
        <w:jc w:val="left"/>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br w:type="page"/>
      </w:r>
    </w:p>
    <w:p w14:paraId="0014602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20B321F1">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2E0B945F">
      <w:pPr>
        <w:widowControl/>
        <w:tabs>
          <w:tab w:val="left" w:pos="3595"/>
          <w:tab w:val="left" w:pos="4031"/>
          <w:tab w:val="left" w:pos="5109"/>
          <w:tab w:val="left" w:pos="9152"/>
          <w:tab w:val="left" w:pos="9587"/>
          <w:tab w:val="left" w:pos="11160"/>
          <w:tab w:val="left" w:pos="12554"/>
          <w:tab w:val="left" w:pos="13948"/>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220" w:type="dxa"/>
        <w:jc w:val="center"/>
        <w:tblLayout w:type="fixed"/>
        <w:tblCellMar>
          <w:top w:w="0" w:type="dxa"/>
          <w:left w:w="108" w:type="dxa"/>
          <w:bottom w:w="0" w:type="dxa"/>
          <w:right w:w="108" w:type="dxa"/>
        </w:tblCellMar>
      </w:tblPr>
      <w:tblGrid>
        <w:gridCol w:w="3296"/>
        <w:gridCol w:w="616"/>
        <w:gridCol w:w="821"/>
        <w:gridCol w:w="3336"/>
        <w:gridCol w:w="616"/>
        <w:gridCol w:w="1041"/>
        <w:gridCol w:w="1646"/>
        <w:gridCol w:w="1378"/>
        <w:gridCol w:w="1470"/>
      </w:tblGrid>
      <w:tr w14:paraId="7AA21DBA">
        <w:tblPrEx>
          <w:tblCellMar>
            <w:top w:w="0" w:type="dxa"/>
            <w:left w:w="108" w:type="dxa"/>
            <w:bottom w:w="0" w:type="dxa"/>
            <w:right w:w="108" w:type="dxa"/>
          </w:tblCellMar>
        </w:tblPrEx>
        <w:trPr>
          <w:trHeight w:val="402" w:hRule="atLeast"/>
          <w:jc w:val="center"/>
        </w:trPr>
        <w:tc>
          <w:tcPr>
            <w:tcW w:w="473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53E22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487" w:type="dxa"/>
            <w:gridSpan w:val="6"/>
            <w:tcBorders>
              <w:top w:val="single" w:color="auto" w:sz="4" w:space="0"/>
              <w:left w:val="nil"/>
              <w:bottom w:val="single" w:color="auto" w:sz="4" w:space="0"/>
              <w:right w:val="single" w:color="auto" w:sz="4" w:space="0"/>
            </w:tcBorders>
            <w:shd w:val="clear" w:color="000000" w:fill="FFFFFF"/>
            <w:noWrap/>
            <w:vAlign w:val="center"/>
          </w:tcPr>
          <w:p w14:paraId="648B13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34B94110">
        <w:tblPrEx>
          <w:tblCellMar>
            <w:top w:w="0" w:type="dxa"/>
            <w:left w:w="108" w:type="dxa"/>
            <w:bottom w:w="0" w:type="dxa"/>
            <w:right w:w="108" w:type="dxa"/>
          </w:tblCellMar>
        </w:tblPrEx>
        <w:trPr>
          <w:trHeight w:val="630"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2E567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14:paraId="1FB46247">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821" w:type="dxa"/>
            <w:tcBorders>
              <w:top w:val="nil"/>
              <w:left w:val="nil"/>
              <w:bottom w:val="single" w:color="auto" w:sz="4" w:space="0"/>
              <w:right w:val="single" w:color="auto" w:sz="4" w:space="0"/>
            </w:tcBorders>
            <w:shd w:val="clear" w:color="auto" w:fill="auto"/>
            <w:noWrap/>
            <w:vAlign w:val="center"/>
          </w:tcPr>
          <w:p w14:paraId="43B46C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36" w:type="dxa"/>
            <w:tcBorders>
              <w:top w:val="nil"/>
              <w:left w:val="nil"/>
              <w:bottom w:val="single" w:color="auto" w:sz="4" w:space="0"/>
              <w:right w:val="single" w:color="auto" w:sz="4" w:space="0"/>
            </w:tcBorders>
            <w:shd w:val="clear" w:color="auto" w:fill="auto"/>
            <w:noWrap/>
            <w:vAlign w:val="center"/>
          </w:tcPr>
          <w:p w14:paraId="237090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14:paraId="1850903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41" w:type="dxa"/>
            <w:tcBorders>
              <w:top w:val="nil"/>
              <w:left w:val="nil"/>
              <w:bottom w:val="single" w:color="auto" w:sz="4" w:space="0"/>
              <w:right w:val="single" w:color="auto" w:sz="4" w:space="0"/>
            </w:tcBorders>
            <w:shd w:val="clear" w:color="auto" w:fill="auto"/>
            <w:noWrap/>
            <w:vAlign w:val="center"/>
          </w:tcPr>
          <w:p w14:paraId="4E12E6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46" w:type="dxa"/>
            <w:tcBorders>
              <w:top w:val="nil"/>
              <w:left w:val="nil"/>
              <w:bottom w:val="single" w:color="auto" w:sz="4" w:space="0"/>
              <w:right w:val="single" w:color="auto" w:sz="4" w:space="0"/>
            </w:tcBorders>
            <w:shd w:val="clear" w:color="auto" w:fill="auto"/>
            <w:vAlign w:val="center"/>
          </w:tcPr>
          <w:p w14:paraId="63F907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78" w:type="dxa"/>
            <w:tcBorders>
              <w:top w:val="nil"/>
              <w:left w:val="nil"/>
              <w:bottom w:val="single" w:color="auto" w:sz="4" w:space="0"/>
              <w:right w:val="single" w:color="auto" w:sz="4" w:space="0"/>
            </w:tcBorders>
            <w:shd w:val="clear" w:color="auto" w:fill="auto"/>
            <w:vAlign w:val="center"/>
          </w:tcPr>
          <w:p w14:paraId="757E61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470" w:type="dxa"/>
            <w:tcBorders>
              <w:top w:val="nil"/>
              <w:left w:val="nil"/>
              <w:bottom w:val="single" w:color="auto" w:sz="4" w:space="0"/>
              <w:right w:val="single" w:color="auto" w:sz="4" w:space="0"/>
            </w:tcBorders>
            <w:shd w:val="clear" w:color="auto" w:fill="auto"/>
            <w:vAlign w:val="center"/>
          </w:tcPr>
          <w:p w14:paraId="3DE965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276E872">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FFE5B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14:paraId="2FEF3A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21" w:type="dxa"/>
            <w:tcBorders>
              <w:top w:val="nil"/>
              <w:left w:val="nil"/>
              <w:bottom w:val="single" w:color="auto" w:sz="4" w:space="0"/>
              <w:right w:val="single" w:color="auto" w:sz="4" w:space="0"/>
            </w:tcBorders>
            <w:shd w:val="clear" w:color="auto" w:fill="auto"/>
            <w:noWrap/>
            <w:vAlign w:val="center"/>
          </w:tcPr>
          <w:p w14:paraId="2B11230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36" w:type="dxa"/>
            <w:tcBorders>
              <w:top w:val="nil"/>
              <w:left w:val="nil"/>
              <w:bottom w:val="single" w:color="auto" w:sz="4" w:space="0"/>
              <w:right w:val="single" w:color="auto" w:sz="4" w:space="0"/>
            </w:tcBorders>
            <w:shd w:val="clear" w:color="auto" w:fill="auto"/>
            <w:noWrap/>
            <w:vAlign w:val="center"/>
          </w:tcPr>
          <w:p w14:paraId="054CE9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14:paraId="2C5C10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41" w:type="dxa"/>
            <w:tcBorders>
              <w:top w:val="nil"/>
              <w:left w:val="nil"/>
              <w:bottom w:val="single" w:color="auto" w:sz="4" w:space="0"/>
              <w:right w:val="single" w:color="auto" w:sz="4" w:space="0"/>
            </w:tcBorders>
            <w:shd w:val="clear" w:color="auto" w:fill="auto"/>
            <w:noWrap/>
            <w:vAlign w:val="center"/>
          </w:tcPr>
          <w:p w14:paraId="61761A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46" w:type="dxa"/>
            <w:tcBorders>
              <w:top w:val="nil"/>
              <w:left w:val="nil"/>
              <w:bottom w:val="single" w:color="auto" w:sz="4" w:space="0"/>
              <w:right w:val="single" w:color="auto" w:sz="4" w:space="0"/>
            </w:tcBorders>
            <w:shd w:val="clear" w:color="auto" w:fill="auto"/>
            <w:noWrap/>
            <w:vAlign w:val="center"/>
          </w:tcPr>
          <w:p w14:paraId="30B2CB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78" w:type="dxa"/>
            <w:tcBorders>
              <w:top w:val="nil"/>
              <w:left w:val="nil"/>
              <w:bottom w:val="single" w:color="auto" w:sz="4" w:space="0"/>
              <w:right w:val="single" w:color="auto" w:sz="4" w:space="0"/>
            </w:tcBorders>
            <w:shd w:val="clear" w:color="auto" w:fill="auto"/>
            <w:noWrap/>
            <w:vAlign w:val="center"/>
          </w:tcPr>
          <w:p w14:paraId="422700F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470" w:type="dxa"/>
            <w:tcBorders>
              <w:top w:val="nil"/>
              <w:left w:val="nil"/>
              <w:bottom w:val="single" w:color="auto" w:sz="4" w:space="0"/>
              <w:right w:val="single" w:color="auto" w:sz="4" w:space="0"/>
            </w:tcBorders>
            <w:shd w:val="clear" w:color="auto" w:fill="auto"/>
            <w:noWrap/>
            <w:vAlign w:val="center"/>
          </w:tcPr>
          <w:p w14:paraId="78A776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DAD89EC">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3ED08F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720429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821" w:type="dxa"/>
            <w:tcBorders>
              <w:top w:val="nil"/>
              <w:left w:val="nil"/>
              <w:bottom w:val="single" w:color="auto" w:sz="4" w:space="0"/>
              <w:right w:val="single" w:color="auto" w:sz="4" w:space="0"/>
            </w:tcBorders>
            <w:shd w:val="clear" w:color="auto" w:fill="auto"/>
            <w:noWrap/>
            <w:vAlign w:val="center"/>
          </w:tcPr>
          <w:p w14:paraId="08EE7F0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296.10</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78EA9ED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0288755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18</w:t>
            </w:r>
          </w:p>
        </w:tc>
        <w:tc>
          <w:tcPr>
            <w:tcW w:w="1041" w:type="dxa"/>
            <w:tcBorders>
              <w:top w:val="nil"/>
              <w:left w:val="nil"/>
              <w:bottom w:val="single" w:color="auto" w:sz="4" w:space="0"/>
              <w:right w:val="single" w:color="auto" w:sz="4" w:space="0"/>
            </w:tcBorders>
            <w:shd w:val="clear" w:color="auto" w:fill="auto"/>
            <w:noWrap/>
            <w:vAlign w:val="center"/>
          </w:tcPr>
          <w:p w14:paraId="52698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64829F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35B018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4ACF3C7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58B191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18233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43F8E13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821" w:type="dxa"/>
            <w:tcBorders>
              <w:top w:val="nil"/>
              <w:left w:val="nil"/>
              <w:bottom w:val="single" w:color="auto" w:sz="4" w:space="0"/>
              <w:right w:val="single" w:color="auto" w:sz="4" w:space="0"/>
            </w:tcBorders>
            <w:shd w:val="clear" w:color="auto" w:fill="auto"/>
            <w:noWrap/>
            <w:vAlign w:val="center"/>
          </w:tcPr>
          <w:p w14:paraId="509518F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19201DA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7C60E46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19</w:t>
            </w:r>
          </w:p>
        </w:tc>
        <w:tc>
          <w:tcPr>
            <w:tcW w:w="1041" w:type="dxa"/>
            <w:tcBorders>
              <w:top w:val="nil"/>
              <w:left w:val="nil"/>
              <w:bottom w:val="single" w:color="auto" w:sz="4" w:space="0"/>
              <w:right w:val="single" w:color="auto" w:sz="4" w:space="0"/>
            </w:tcBorders>
            <w:shd w:val="clear" w:color="auto" w:fill="auto"/>
            <w:noWrap/>
            <w:vAlign w:val="center"/>
          </w:tcPr>
          <w:p w14:paraId="6FC14E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0E439A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504812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61298E3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BC9D6F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77E470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4C871D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821" w:type="dxa"/>
            <w:tcBorders>
              <w:top w:val="nil"/>
              <w:left w:val="nil"/>
              <w:bottom w:val="single" w:color="auto" w:sz="4" w:space="0"/>
              <w:right w:val="single" w:color="auto" w:sz="4" w:space="0"/>
            </w:tcBorders>
            <w:shd w:val="clear" w:color="auto" w:fill="auto"/>
            <w:noWrap/>
            <w:vAlign w:val="center"/>
          </w:tcPr>
          <w:p w14:paraId="260C94E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2DA2394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3765B72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20</w:t>
            </w:r>
          </w:p>
        </w:tc>
        <w:tc>
          <w:tcPr>
            <w:tcW w:w="1041" w:type="dxa"/>
            <w:tcBorders>
              <w:top w:val="nil"/>
              <w:left w:val="nil"/>
              <w:bottom w:val="single" w:color="auto" w:sz="4" w:space="0"/>
              <w:right w:val="single" w:color="auto" w:sz="4" w:space="0"/>
            </w:tcBorders>
            <w:shd w:val="clear" w:color="auto" w:fill="auto"/>
            <w:noWrap/>
            <w:vAlign w:val="center"/>
          </w:tcPr>
          <w:p w14:paraId="3F1AFB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6483C8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6E9CD4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6C93CF9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F78286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7C7E5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5AD3BF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noWrap/>
            <w:vAlign w:val="center"/>
          </w:tcPr>
          <w:p w14:paraId="592BDB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77E4E11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2E2980E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w:t>
            </w:r>
          </w:p>
        </w:tc>
        <w:tc>
          <w:tcPr>
            <w:tcW w:w="1041" w:type="dxa"/>
            <w:tcBorders>
              <w:top w:val="nil"/>
              <w:left w:val="nil"/>
              <w:bottom w:val="single" w:color="auto" w:sz="4" w:space="0"/>
              <w:right w:val="single" w:color="auto" w:sz="4" w:space="0"/>
            </w:tcBorders>
            <w:shd w:val="clear" w:color="auto" w:fill="auto"/>
            <w:noWrap/>
            <w:vAlign w:val="center"/>
          </w:tcPr>
          <w:p w14:paraId="22F530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5FB3C5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751247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04E5BB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853EDD">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4DD14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8D350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noWrap/>
            <w:vAlign w:val="center"/>
          </w:tcPr>
          <w:p w14:paraId="28113B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505863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4E6A358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22</w:t>
            </w:r>
          </w:p>
        </w:tc>
        <w:tc>
          <w:tcPr>
            <w:tcW w:w="1041" w:type="dxa"/>
            <w:tcBorders>
              <w:top w:val="nil"/>
              <w:left w:val="nil"/>
              <w:bottom w:val="single" w:color="auto" w:sz="4" w:space="0"/>
              <w:right w:val="single" w:color="auto" w:sz="4" w:space="0"/>
            </w:tcBorders>
            <w:shd w:val="clear" w:color="auto" w:fill="auto"/>
            <w:noWrap/>
            <w:vAlign w:val="center"/>
          </w:tcPr>
          <w:p w14:paraId="6A3F88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262D9A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33619D7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2C5EDBB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E6116A0">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5B70F7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C31FD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821" w:type="dxa"/>
            <w:tcBorders>
              <w:top w:val="nil"/>
              <w:left w:val="nil"/>
              <w:bottom w:val="single" w:color="auto" w:sz="4" w:space="0"/>
              <w:right w:val="single" w:color="auto" w:sz="4" w:space="0"/>
            </w:tcBorders>
            <w:shd w:val="clear" w:color="auto" w:fill="auto"/>
            <w:noWrap/>
            <w:vAlign w:val="center"/>
          </w:tcPr>
          <w:p w14:paraId="25272B7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0576E00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6F18E5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41" w:type="dxa"/>
            <w:tcBorders>
              <w:top w:val="nil"/>
              <w:left w:val="nil"/>
              <w:bottom w:val="single" w:color="auto" w:sz="4" w:space="0"/>
              <w:right w:val="single" w:color="auto" w:sz="4" w:space="0"/>
            </w:tcBorders>
            <w:shd w:val="clear" w:color="auto" w:fill="auto"/>
            <w:noWrap/>
            <w:vAlign w:val="center"/>
          </w:tcPr>
          <w:p w14:paraId="241C981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7347B3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39889C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5454350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A82F66">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D1968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7CC59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821" w:type="dxa"/>
            <w:tcBorders>
              <w:top w:val="nil"/>
              <w:left w:val="nil"/>
              <w:bottom w:val="single" w:color="auto" w:sz="4" w:space="0"/>
              <w:right w:val="single" w:color="auto" w:sz="4" w:space="0"/>
            </w:tcBorders>
            <w:shd w:val="clear" w:color="auto" w:fill="auto"/>
            <w:noWrap/>
            <w:vAlign w:val="center"/>
          </w:tcPr>
          <w:p w14:paraId="21F19A3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4FD45465">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七、文化旅游体育和传媒支出</w:t>
            </w:r>
          </w:p>
        </w:tc>
        <w:tc>
          <w:tcPr>
            <w:tcW w:w="616" w:type="dxa"/>
            <w:tcBorders>
              <w:top w:val="nil"/>
              <w:left w:val="nil"/>
              <w:bottom w:val="single" w:color="auto" w:sz="4" w:space="0"/>
              <w:right w:val="single" w:color="auto" w:sz="4" w:space="0"/>
            </w:tcBorders>
            <w:shd w:val="clear" w:color="auto" w:fill="auto"/>
            <w:noWrap/>
            <w:vAlign w:val="center"/>
          </w:tcPr>
          <w:p w14:paraId="60AB5E4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w:t>
            </w:r>
          </w:p>
        </w:tc>
        <w:tc>
          <w:tcPr>
            <w:tcW w:w="1041" w:type="dxa"/>
            <w:tcBorders>
              <w:top w:val="nil"/>
              <w:left w:val="nil"/>
              <w:bottom w:val="single" w:color="auto" w:sz="4" w:space="0"/>
              <w:right w:val="single" w:color="auto" w:sz="4" w:space="0"/>
            </w:tcBorders>
            <w:shd w:val="clear" w:color="auto" w:fill="auto"/>
            <w:noWrap/>
            <w:vAlign w:val="center"/>
          </w:tcPr>
          <w:p w14:paraId="083593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4E7124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285F27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50EDF10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7CC912">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4FF5868">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96CA11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8</w:t>
            </w:r>
          </w:p>
        </w:tc>
        <w:tc>
          <w:tcPr>
            <w:tcW w:w="821" w:type="dxa"/>
            <w:tcBorders>
              <w:top w:val="nil"/>
              <w:left w:val="nil"/>
              <w:bottom w:val="single" w:color="auto" w:sz="4" w:space="0"/>
              <w:right w:val="single" w:color="auto" w:sz="4" w:space="0"/>
            </w:tcBorders>
            <w:shd w:val="clear" w:color="auto" w:fill="auto"/>
            <w:noWrap/>
            <w:vAlign w:val="center"/>
          </w:tcPr>
          <w:p w14:paraId="7FFB5BE2">
            <w:pPr>
              <w:widowControl/>
              <w:jc w:val="righ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noWrap/>
            <w:vAlign w:val="center"/>
          </w:tcPr>
          <w:p w14:paraId="2505B1AE">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0518192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24</w:t>
            </w:r>
          </w:p>
        </w:tc>
        <w:tc>
          <w:tcPr>
            <w:tcW w:w="1041" w:type="dxa"/>
            <w:tcBorders>
              <w:top w:val="nil"/>
              <w:left w:val="nil"/>
              <w:bottom w:val="single" w:color="auto" w:sz="4" w:space="0"/>
              <w:right w:val="single" w:color="auto" w:sz="4" w:space="0"/>
            </w:tcBorders>
            <w:shd w:val="clear" w:color="auto" w:fill="auto"/>
            <w:noWrap/>
            <w:vAlign w:val="center"/>
          </w:tcPr>
          <w:p w14:paraId="5EEB328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0.39</w:t>
            </w:r>
          </w:p>
        </w:tc>
        <w:tc>
          <w:tcPr>
            <w:tcW w:w="1646" w:type="dxa"/>
            <w:tcBorders>
              <w:top w:val="nil"/>
              <w:left w:val="nil"/>
              <w:bottom w:val="single" w:color="auto" w:sz="4" w:space="0"/>
              <w:right w:val="single" w:color="auto" w:sz="4" w:space="0"/>
            </w:tcBorders>
            <w:shd w:val="clear" w:color="auto" w:fill="auto"/>
            <w:noWrap/>
            <w:vAlign w:val="center"/>
          </w:tcPr>
          <w:p w14:paraId="3CF3934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0.39</w:t>
            </w:r>
          </w:p>
        </w:tc>
        <w:tc>
          <w:tcPr>
            <w:tcW w:w="1378" w:type="dxa"/>
            <w:tcBorders>
              <w:top w:val="nil"/>
              <w:left w:val="nil"/>
              <w:bottom w:val="single" w:color="auto" w:sz="4" w:space="0"/>
              <w:right w:val="single" w:color="auto" w:sz="4" w:space="0"/>
            </w:tcBorders>
            <w:shd w:val="clear" w:color="auto" w:fill="auto"/>
            <w:noWrap/>
            <w:vAlign w:val="center"/>
          </w:tcPr>
          <w:p w14:paraId="4A2FBAB7">
            <w:pPr>
              <w:widowControl/>
              <w:jc w:val="center"/>
              <w:rPr>
                <w:rFonts w:ascii="Times New Roman" w:hAnsi="Times New Roman" w:eastAsia="仿宋_GB2312" w:cs="Times New Roman"/>
                <w:kern w:val="0"/>
                <w:sz w:val="22"/>
              </w:rPr>
            </w:pPr>
          </w:p>
        </w:tc>
        <w:tc>
          <w:tcPr>
            <w:tcW w:w="1470" w:type="dxa"/>
            <w:tcBorders>
              <w:top w:val="nil"/>
              <w:left w:val="nil"/>
              <w:bottom w:val="single" w:color="auto" w:sz="4" w:space="0"/>
              <w:right w:val="single" w:color="auto" w:sz="4" w:space="0"/>
            </w:tcBorders>
            <w:shd w:val="clear" w:color="auto" w:fill="auto"/>
            <w:noWrap/>
            <w:vAlign w:val="center"/>
          </w:tcPr>
          <w:p w14:paraId="7AB265BC">
            <w:pPr>
              <w:widowControl/>
              <w:jc w:val="right"/>
              <w:rPr>
                <w:rFonts w:ascii="Times New Roman" w:hAnsi="Times New Roman" w:eastAsia="仿宋_GB2312" w:cs="Times New Roman"/>
                <w:kern w:val="0"/>
                <w:sz w:val="22"/>
              </w:rPr>
            </w:pPr>
          </w:p>
        </w:tc>
      </w:tr>
      <w:tr w14:paraId="02504C6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2D8A08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B76336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9</w:t>
            </w:r>
          </w:p>
        </w:tc>
        <w:tc>
          <w:tcPr>
            <w:tcW w:w="821" w:type="dxa"/>
            <w:tcBorders>
              <w:top w:val="nil"/>
              <w:left w:val="nil"/>
              <w:bottom w:val="single" w:color="auto" w:sz="4" w:space="0"/>
              <w:right w:val="single" w:color="auto" w:sz="4" w:space="0"/>
            </w:tcBorders>
            <w:shd w:val="clear" w:color="auto" w:fill="auto"/>
            <w:noWrap/>
            <w:vAlign w:val="center"/>
          </w:tcPr>
          <w:p w14:paraId="491830D9">
            <w:pPr>
              <w:widowControl/>
              <w:jc w:val="righ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noWrap/>
            <w:vAlign w:val="center"/>
          </w:tcPr>
          <w:p w14:paraId="6C593DA3">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九、卫生健康支出</w:t>
            </w:r>
          </w:p>
        </w:tc>
        <w:tc>
          <w:tcPr>
            <w:tcW w:w="616" w:type="dxa"/>
            <w:tcBorders>
              <w:top w:val="nil"/>
              <w:left w:val="nil"/>
              <w:bottom w:val="single" w:color="auto" w:sz="4" w:space="0"/>
              <w:right w:val="single" w:color="auto" w:sz="4" w:space="0"/>
            </w:tcBorders>
            <w:shd w:val="clear" w:color="auto" w:fill="auto"/>
            <w:noWrap/>
            <w:vAlign w:val="center"/>
          </w:tcPr>
          <w:p w14:paraId="0C8998A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25</w:t>
            </w:r>
          </w:p>
        </w:tc>
        <w:tc>
          <w:tcPr>
            <w:tcW w:w="1041" w:type="dxa"/>
            <w:tcBorders>
              <w:top w:val="nil"/>
              <w:left w:val="nil"/>
              <w:bottom w:val="single" w:color="auto" w:sz="4" w:space="0"/>
              <w:right w:val="single" w:color="auto" w:sz="4" w:space="0"/>
            </w:tcBorders>
            <w:shd w:val="clear" w:color="auto" w:fill="auto"/>
            <w:noWrap/>
            <w:vAlign w:val="center"/>
          </w:tcPr>
          <w:p w14:paraId="76FC44E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0.18</w:t>
            </w:r>
          </w:p>
        </w:tc>
        <w:tc>
          <w:tcPr>
            <w:tcW w:w="1646" w:type="dxa"/>
            <w:tcBorders>
              <w:top w:val="nil"/>
              <w:left w:val="nil"/>
              <w:bottom w:val="single" w:color="auto" w:sz="4" w:space="0"/>
              <w:right w:val="single" w:color="auto" w:sz="4" w:space="0"/>
            </w:tcBorders>
            <w:shd w:val="clear" w:color="auto" w:fill="auto"/>
            <w:noWrap/>
            <w:vAlign w:val="center"/>
          </w:tcPr>
          <w:p w14:paraId="43D890D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0.18</w:t>
            </w:r>
          </w:p>
        </w:tc>
        <w:tc>
          <w:tcPr>
            <w:tcW w:w="1378" w:type="dxa"/>
            <w:tcBorders>
              <w:top w:val="nil"/>
              <w:left w:val="nil"/>
              <w:bottom w:val="single" w:color="auto" w:sz="4" w:space="0"/>
              <w:right w:val="single" w:color="auto" w:sz="4" w:space="0"/>
            </w:tcBorders>
            <w:shd w:val="clear" w:color="auto" w:fill="auto"/>
            <w:noWrap/>
            <w:vAlign w:val="center"/>
          </w:tcPr>
          <w:p w14:paraId="1D98E3A3">
            <w:pPr>
              <w:widowControl/>
              <w:jc w:val="center"/>
              <w:rPr>
                <w:rFonts w:ascii="Times New Roman" w:hAnsi="Times New Roman" w:eastAsia="仿宋_GB2312" w:cs="Times New Roman"/>
                <w:kern w:val="0"/>
                <w:sz w:val="22"/>
              </w:rPr>
            </w:pPr>
          </w:p>
        </w:tc>
        <w:tc>
          <w:tcPr>
            <w:tcW w:w="1470" w:type="dxa"/>
            <w:tcBorders>
              <w:top w:val="nil"/>
              <w:left w:val="nil"/>
              <w:bottom w:val="single" w:color="auto" w:sz="4" w:space="0"/>
              <w:right w:val="single" w:color="auto" w:sz="4" w:space="0"/>
            </w:tcBorders>
            <w:shd w:val="clear" w:color="auto" w:fill="auto"/>
            <w:noWrap/>
            <w:vAlign w:val="center"/>
          </w:tcPr>
          <w:p w14:paraId="270F834C">
            <w:pPr>
              <w:widowControl/>
              <w:jc w:val="right"/>
              <w:rPr>
                <w:rFonts w:ascii="Times New Roman" w:hAnsi="Times New Roman" w:eastAsia="仿宋_GB2312" w:cs="Times New Roman"/>
                <w:kern w:val="0"/>
                <w:sz w:val="22"/>
              </w:rPr>
            </w:pPr>
          </w:p>
        </w:tc>
      </w:tr>
      <w:tr w14:paraId="13441ED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3002E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DE99D7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10</w:t>
            </w:r>
          </w:p>
        </w:tc>
        <w:tc>
          <w:tcPr>
            <w:tcW w:w="821" w:type="dxa"/>
            <w:tcBorders>
              <w:top w:val="nil"/>
              <w:left w:val="nil"/>
              <w:bottom w:val="single" w:color="auto" w:sz="4" w:space="0"/>
              <w:right w:val="single" w:color="auto" w:sz="4" w:space="0"/>
            </w:tcBorders>
            <w:shd w:val="clear" w:color="auto" w:fill="auto"/>
            <w:noWrap/>
            <w:vAlign w:val="center"/>
          </w:tcPr>
          <w:p w14:paraId="65B799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2EB253AE">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十、节能环保支出</w:t>
            </w:r>
          </w:p>
        </w:tc>
        <w:tc>
          <w:tcPr>
            <w:tcW w:w="616" w:type="dxa"/>
            <w:tcBorders>
              <w:top w:val="nil"/>
              <w:left w:val="nil"/>
              <w:bottom w:val="single" w:color="auto" w:sz="4" w:space="0"/>
              <w:right w:val="single" w:color="auto" w:sz="4" w:space="0"/>
            </w:tcBorders>
            <w:shd w:val="clear" w:color="auto" w:fill="auto"/>
            <w:noWrap/>
            <w:vAlign w:val="center"/>
          </w:tcPr>
          <w:p w14:paraId="1A5116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rPr>
              <w:t>6</w:t>
            </w:r>
          </w:p>
        </w:tc>
        <w:tc>
          <w:tcPr>
            <w:tcW w:w="1041" w:type="dxa"/>
            <w:tcBorders>
              <w:top w:val="nil"/>
              <w:left w:val="nil"/>
              <w:bottom w:val="single" w:color="auto" w:sz="4" w:space="0"/>
              <w:right w:val="single" w:color="auto" w:sz="4" w:space="0"/>
            </w:tcBorders>
            <w:shd w:val="clear" w:color="auto" w:fill="auto"/>
            <w:noWrap/>
            <w:vAlign w:val="center"/>
          </w:tcPr>
          <w:p w14:paraId="15EDDF7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295.53</w:t>
            </w: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2BB7AB7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295.53</w:t>
            </w: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36E889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4E31CE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F8006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7573F76">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5D5A4D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w:t>
            </w:r>
          </w:p>
        </w:tc>
        <w:tc>
          <w:tcPr>
            <w:tcW w:w="821" w:type="dxa"/>
            <w:tcBorders>
              <w:top w:val="nil"/>
              <w:left w:val="nil"/>
              <w:bottom w:val="single" w:color="auto" w:sz="4" w:space="0"/>
              <w:right w:val="single" w:color="auto" w:sz="4" w:space="0"/>
            </w:tcBorders>
            <w:shd w:val="clear" w:color="auto" w:fill="auto"/>
            <w:noWrap/>
            <w:vAlign w:val="center"/>
          </w:tcPr>
          <w:p w14:paraId="2BF792BB">
            <w:pPr>
              <w:widowControl/>
              <w:jc w:val="lef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noWrap/>
            <w:vAlign w:val="center"/>
          </w:tcPr>
          <w:p w14:paraId="291D37E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4"/>
                <w:szCs w:val="24"/>
              </w:rPr>
              <w:t>……</w:t>
            </w:r>
          </w:p>
        </w:tc>
        <w:tc>
          <w:tcPr>
            <w:tcW w:w="616" w:type="dxa"/>
            <w:tcBorders>
              <w:top w:val="nil"/>
              <w:left w:val="nil"/>
              <w:bottom w:val="single" w:color="auto" w:sz="4" w:space="0"/>
              <w:right w:val="single" w:color="auto" w:sz="4" w:space="0"/>
            </w:tcBorders>
            <w:shd w:val="clear" w:color="auto" w:fill="auto"/>
            <w:noWrap/>
            <w:vAlign w:val="center"/>
          </w:tcPr>
          <w:p w14:paraId="3A03031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27</w:t>
            </w:r>
          </w:p>
        </w:tc>
        <w:tc>
          <w:tcPr>
            <w:tcW w:w="1041" w:type="dxa"/>
            <w:tcBorders>
              <w:top w:val="nil"/>
              <w:left w:val="nil"/>
              <w:bottom w:val="single" w:color="auto" w:sz="4" w:space="0"/>
              <w:right w:val="single" w:color="auto" w:sz="4" w:space="0"/>
            </w:tcBorders>
            <w:shd w:val="clear" w:color="auto" w:fill="auto"/>
            <w:noWrap/>
            <w:vAlign w:val="center"/>
          </w:tcPr>
          <w:p w14:paraId="3B869E9D">
            <w:pPr>
              <w:widowControl/>
              <w:jc w:val="center"/>
              <w:rPr>
                <w:rFonts w:ascii="Times New Roman" w:hAnsi="Times New Roman" w:eastAsia="仿宋_GB2312" w:cs="Times New Roman"/>
                <w:kern w:val="0"/>
                <w:sz w:val="22"/>
              </w:rPr>
            </w:pPr>
          </w:p>
        </w:tc>
        <w:tc>
          <w:tcPr>
            <w:tcW w:w="1646" w:type="dxa"/>
            <w:tcBorders>
              <w:top w:val="nil"/>
              <w:left w:val="nil"/>
              <w:bottom w:val="single" w:color="auto" w:sz="4" w:space="0"/>
              <w:right w:val="single" w:color="auto" w:sz="4" w:space="0"/>
            </w:tcBorders>
            <w:shd w:val="clear" w:color="auto" w:fill="auto"/>
            <w:noWrap/>
            <w:vAlign w:val="center"/>
          </w:tcPr>
          <w:p w14:paraId="5BFFC6F8">
            <w:pPr>
              <w:widowControl/>
              <w:jc w:val="center"/>
              <w:rPr>
                <w:rFonts w:ascii="Times New Roman" w:hAnsi="Times New Roman" w:eastAsia="仿宋_GB2312" w:cs="Times New Roman"/>
                <w:kern w:val="0"/>
                <w:sz w:val="22"/>
              </w:rPr>
            </w:pPr>
          </w:p>
        </w:tc>
        <w:tc>
          <w:tcPr>
            <w:tcW w:w="1378" w:type="dxa"/>
            <w:tcBorders>
              <w:top w:val="nil"/>
              <w:left w:val="nil"/>
              <w:bottom w:val="single" w:color="auto" w:sz="4" w:space="0"/>
              <w:right w:val="single" w:color="auto" w:sz="4" w:space="0"/>
            </w:tcBorders>
            <w:shd w:val="clear" w:color="auto" w:fill="auto"/>
            <w:noWrap/>
            <w:vAlign w:val="center"/>
          </w:tcPr>
          <w:p w14:paraId="2451C2D5">
            <w:pPr>
              <w:widowControl/>
              <w:jc w:val="center"/>
              <w:rPr>
                <w:rFonts w:ascii="Times New Roman" w:hAnsi="Times New Roman" w:eastAsia="仿宋_GB2312" w:cs="Times New Roman"/>
                <w:kern w:val="0"/>
                <w:sz w:val="22"/>
              </w:rPr>
            </w:pPr>
          </w:p>
        </w:tc>
        <w:tc>
          <w:tcPr>
            <w:tcW w:w="1470" w:type="dxa"/>
            <w:tcBorders>
              <w:top w:val="nil"/>
              <w:left w:val="nil"/>
              <w:bottom w:val="single" w:color="auto" w:sz="4" w:space="0"/>
              <w:right w:val="single" w:color="auto" w:sz="4" w:space="0"/>
            </w:tcBorders>
            <w:shd w:val="clear" w:color="auto" w:fill="auto"/>
            <w:noWrap/>
            <w:vAlign w:val="center"/>
          </w:tcPr>
          <w:p w14:paraId="271C11F3">
            <w:pPr>
              <w:widowControl/>
              <w:jc w:val="center"/>
              <w:rPr>
                <w:rFonts w:ascii="Times New Roman" w:hAnsi="Times New Roman" w:eastAsia="仿宋_GB2312" w:cs="Times New Roman"/>
                <w:kern w:val="0"/>
                <w:sz w:val="22"/>
              </w:rPr>
            </w:pPr>
          </w:p>
        </w:tc>
      </w:tr>
      <w:tr w14:paraId="60462C94">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22E87F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5F0AC04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12</w:t>
            </w:r>
          </w:p>
        </w:tc>
        <w:tc>
          <w:tcPr>
            <w:tcW w:w="821" w:type="dxa"/>
            <w:tcBorders>
              <w:top w:val="nil"/>
              <w:left w:val="nil"/>
              <w:bottom w:val="single" w:color="auto" w:sz="4" w:space="0"/>
              <w:right w:val="single" w:color="auto" w:sz="4" w:space="0"/>
            </w:tcBorders>
            <w:shd w:val="clear" w:color="auto" w:fill="auto"/>
            <w:noWrap/>
            <w:vAlign w:val="center"/>
          </w:tcPr>
          <w:p w14:paraId="743C9FF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296.10</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1B0839A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33554E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rPr>
              <w:t>8</w:t>
            </w:r>
          </w:p>
        </w:tc>
        <w:tc>
          <w:tcPr>
            <w:tcW w:w="1041" w:type="dxa"/>
            <w:tcBorders>
              <w:top w:val="nil"/>
              <w:left w:val="nil"/>
              <w:bottom w:val="single" w:color="auto" w:sz="4" w:space="0"/>
              <w:right w:val="single" w:color="auto" w:sz="4" w:space="0"/>
            </w:tcBorders>
            <w:shd w:val="clear" w:color="auto" w:fill="auto"/>
            <w:noWrap/>
            <w:vAlign w:val="center"/>
          </w:tcPr>
          <w:p w14:paraId="067559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296.10</w:t>
            </w:r>
          </w:p>
        </w:tc>
        <w:tc>
          <w:tcPr>
            <w:tcW w:w="1646" w:type="dxa"/>
            <w:tcBorders>
              <w:top w:val="nil"/>
              <w:left w:val="nil"/>
              <w:bottom w:val="single" w:color="auto" w:sz="4" w:space="0"/>
              <w:right w:val="single" w:color="auto" w:sz="4" w:space="0"/>
            </w:tcBorders>
            <w:shd w:val="clear" w:color="auto" w:fill="auto"/>
            <w:noWrap/>
            <w:vAlign w:val="center"/>
          </w:tcPr>
          <w:p w14:paraId="7116F4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296.10</w:t>
            </w:r>
          </w:p>
        </w:tc>
        <w:tc>
          <w:tcPr>
            <w:tcW w:w="1378" w:type="dxa"/>
            <w:tcBorders>
              <w:top w:val="nil"/>
              <w:left w:val="nil"/>
              <w:bottom w:val="single" w:color="auto" w:sz="4" w:space="0"/>
              <w:right w:val="single" w:color="auto" w:sz="4" w:space="0"/>
            </w:tcBorders>
            <w:shd w:val="clear" w:color="auto" w:fill="auto"/>
            <w:noWrap/>
            <w:vAlign w:val="center"/>
          </w:tcPr>
          <w:p w14:paraId="25F0C6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244653D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6BDAC7C">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45EEC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082DFA3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w:t>
            </w:r>
          </w:p>
        </w:tc>
        <w:tc>
          <w:tcPr>
            <w:tcW w:w="821" w:type="dxa"/>
            <w:tcBorders>
              <w:top w:val="nil"/>
              <w:left w:val="nil"/>
              <w:bottom w:val="single" w:color="auto" w:sz="4" w:space="0"/>
              <w:right w:val="single" w:color="auto" w:sz="4" w:space="0"/>
            </w:tcBorders>
            <w:shd w:val="clear" w:color="auto" w:fill="auto"/>
            <w:noWrap/>
            <w:vAlign w:val="center"/>
          </w:tcPr>
          <w:p w14:paraId="6829912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0F493C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699D30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rPr>
              <w:t>9</w:t>
            </w:r>
          </w:p>
        </w:tc>
        <w:tc>
          <w:tcPr>
            <w:tcW w:w="1041" w:type="dxa"/>
            <w:tcBorders>
              <w:top w:val="nil"/>
              <w:left w:val="nil"/>
              <w:bottom w:val="single" w:color="auto" w:sz="4" w:space="0"/>
              <w:right w:val="single" w:color="auto" w:sz="4" w:space="0"/>
            </w:tcBorders>
            <w:shd w:val="clear" w:color="auto" w:fill="auto"/>
            <w:noWrap/>
            <w:vAlign w:val="center"/>
          </w:tcPr>
          <w:p w14:paraId="365FB1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2AD963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2A4C0F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51D0EF1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5D41E3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7B764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4FD9C0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rPr>
              <w:t>4</w:t>
            </w:r>
          </w:p>
        </w:tc>
        <w:tc>
          <w:tcPr>
            <w:tcW w:w="821" w:type="dxa"/>
            <w:tcBorders>
              <w:top w:val="nil"/>
              <w:left w:val="nil"/>
              <w:bottom w:val="single" w:color="auto" w:sz="4" w:space="0"/>
              <w:right w:val="single" w:color="auto" w:sz="4" w:space="0"/>
            </w:tcBorders>
            <w:shd w:val="clear" w:color="auto" w:fill="auto"/>
            <w:noWrap/>
            <w:vAlign w:val="center"/>
          </w:tcPr>
          <w:p w14:paraId="0A4982C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0.00</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5419BC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00FB61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w:t>
            </w:r>
          </w:p>
        </w:tc>
        <w:tc>
          <w:tcPr>
            <w:tcW w:w="1041" w:type="dxa"/>
            <w:tcBorders>
              <w:top w:val="nil"/>
              <w:left w:val="nil"/>
              <w:bottom w:val="single" w:color="auto" w:sz="4" w:space="0"/>
              <w:right w:val="single" w:color="auto" w:sz="4" w:space="0"/>
            </w:tcBorders>
            <w:shd w:val="clear" w:color="auto" w:fill="auto"/>
            <w:noWrap/>
            <w:vAlign w:val="center"/>
          </w:tcPr>
          <w:p w14:paraId="4ACDD9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157958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0232B3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122BCE2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90E005">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79A71A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5DD7A1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rPr>
              <w:t>5</w:t>
            </w:r>
          </w:p>
        </w:tc>
        <w:tc>
          <w:tcPr>
            <w:tcW w:w="821" w:type="dxa"/>
            <w:tcBorders>
              <w:top w:val="nil"/>
              <w:left w:val="nil"/>
              <w:bottom w:val="single" w:color="auto" w:sz="4" w:space="0"/>
              <w:right w:val="single" w:color="auto" w:sz="4" w:space="0"/>
            </w:tcBorders>
            <w:shd w:val="clear" w:color="auto" w:fill="auto"/>
            <w:noWrap/>
            <w:vAlign w:val="center"/>
          </w:tcPr>
          <w:p w14:paraId="54ADCB0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noWrap/>
            <w:vAlign w:val="center"/>
          </w:tcPr>
          <w:p w14:paraId="7C68757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9FA79D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31</w:t>
            </w:r>
          </w:p>
        </w:tc>
        <w:tc>
          <w:tcPr>
            <w:tcW w:w="1041" w:type="dxa"/>
            <w:tcBorders>
              <w:top w:val="nil"/>
              <w:left w:val="nil"/>
              <w:bottom w:val="single" w:color="auto" w:sz="4" w:space="0"/>
              <w:right w:val="single" w:color="auto" w:sz="4" w:space="0"/>
            </w:tcBorders>
            <w:shd w:val="clear" w:color="auto" w:fill="auto"/>
            <w:noWrap/>
            <w:vAlign w:val="center"/>
          </w:tcPr>
          <w:p w14:paraId="57C558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noWrap/>
            <w:vAlign w:val="center"/>
          </w:tcPr>
          <w:p w14:paraId="7C8A1C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noWrap/>
            <w:vAlign w:val="center"/>
          </w:tcPr>
          <w:p w14:paraId="171066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10BDA3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2947AA">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E16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77F8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rPr>
              <w:t>6</w:t>
            </w:r>
          </w:p>
        </w:tc>
        <w:tc>
          <w:tcPr>
            <w:tcW w:w="8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23D4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F52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75D4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32</w:t>
            </w:r>
          </w:p>
        </w:tc>
        <w:tc>
          <w:tcPr>
            <w:tcW w:w="10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A4E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612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E5E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F68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A3B87AB">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C3B5E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14:paraId="253EB5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rPr>
              <w:t>7</w:t>
            </w:r>
          </w:p>
        </w:tc>
        <w:tc>
          <w:tcPr>
            <w:tcW w:w="821" w:type="dxa"/>
            <w:tcBorders>
              <w:top w:val="single" w:color="auto" w:sz="4" w:space="0"/>
              <w:left w:val="nil"/>
              <w:bottom w:val="single" w:color="auto" w:sz="4" w:space="0"/>
              <w:right w:val="single" w:color="auto" w:sz="4" w:space="0"/>
            </w:tcBorders>
            <w:shd w:val="clear" w:color="auto" w:fill="auto"/>
            <w:noWrap/>
            <w:vAlign w:val="center"/>
          </w:tcPr>
          <w:p w14:paraId="17305B0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296.10</w:t>
            </w:r>
            <w:r>
              <w:rPr>
                <w:rFonts w:ascii="Times New Roman" w:hAnsi="Times New Roman" w:eastAsia="仿宋_GB2312" w:cs="Times New Roman"/>
                <w:kern w:val="0"/>
                <w:sz w:val="22"/>
              </w:rPr>
              <w:t>　</w:t>
            </w:r>
          </w:p>
        </w:tc>
        <w:tc>
          <w:tcPr>
            <w:tcW w:w="3336" w:type="dxa"/>
            <w:tcBorders>
              <w:top w:val="single" w:color="auto" w:sz="4" w:space="0"/>
              <w:left w:val="nil"/>
              <w:bottom w:val="single" w:color="auto" w:sz="4" w:space="0"/>
              <w:right w:val="single" w:color="auto" w:sz="4" w:space="0"/>
            </w:tcBorders>
            <w:shd w:val="clear" w:color="000000" w:fill="FFFFFF"/>
            <w:noWrap/>
            <w:vAlign w:val="center"/>
          </w:tcPr>
          <w:p w14:paraId="5F3FBB1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single" w:color="auto" w:sz="4" w:space="0"/>
              <w:left w:val="nil"/>
              <w:bottom w:val="single" w:color="auto" w:sz="4" w:space="0"/>
              <w:right w:val="single" w:color="auto" w:sz="4" w:space="0"/>
            </w:tcBorders>
            <w:shd w:val="clear" w:color="000000" w:fill="FFFFFF"/>
            <w:noWrap/>
            <w:vAlign w:val="center"/>
          </w:tcPr>
          <w:p w14:paraId="138BAA0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w:t>
            </w:r>
          </w:p>
        </w:tc>
        <w:tc>
          <w:tcPr>
            <w:tcW w:w="1041" w:type="dxa"/>
            <w:tcBorders>
              <w:top w:val="single" w:color="auto" w:sz="4" w:space="0"/>
              <w:left w:val="nil"/>
              <w:bottom w:val="single" w:color="auto" w:sz="4" w:space="0"/>
              <w:right w:val="single" w:color="auto" w:sz="4" w:space="0"/>
            </w:tcBorders>
            <w:shd w:val="clear" w:color="000000" w:fill="FFFFFF"/>
            <w:noWrap/>
            <w:vAlign w:val="center"/>
          </w:tcPr>
          <w:p w14:paraId="353256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296.10</w:t>
            </w:r>
          </w:p>
        </w:tc>
        <w:tc>
          <w:tcPr>
            <w:tcW w:w="1646" w:type="dxa"/>
            <w:tcBorders>
              <w:top w:val="single" w:color="auto" w:sz="4" w:space="0"/>
              <w:left w:val="nil"/>
              <w:bottom w:val="single" w:color="auto" w:sz="4" w:space="0"/>
              <w:right w:val="single" w:color="auto" w:sz="4" w:space="0"/>
            </w:tcBorders>
            <w:shd w:val="clear" w:color="000000" w:fill="FFFFFF"/>
            <w:noWrap/>
            <w:vAlign w:val="center"/>
          </w:tcPr>
          <w:p w14:paraId="282533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296.10</w:t>
            </w:r>
          </w:p>
        </w:tc>
        <w:tc>
          <w:tcPr>
            <w:tcW w:w="1378" w:type="dxa"/>
            <w:tcBorders>
              <w:top w:val="single" w:color="auto" w:sz="4" w:space="0"/>
              <w:left w:val="nil"/>
              <w:bottom w:val="single" w:color="auto" w:sz="4" w:space="0"/>
              <w:right w:val="single" w:color="auto" w:sz="4" w:space="0"/>
            </w:tcBorders>
            <w:shd w:val="clear" w:color="auto" w:fill="auto"/>
            <w:noWrap/>
            <w:vAlign w:val="center"/>
          </w:tcPr>
          <w:p w14:paraId="595A7CA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470" w:type="dxa"/>
            <w:tcBorders>
              <w:top w:val="single" w:color="auto" w:sz="4" w:space="0"/>
              <w:left w:val="nil"/>
              <w:bottom w:val="single" w:color="auto" w:sz="4" w:space="0"/>
              <w:right w:val="single" w:color="auto" w:sz="4" w:space="0"/>
            </w:tcBorders>
            <w:shd w:val="clear" w:color="auto" w:fill="auto"/>
            <w:noWrap/>
            <w:vAlign w:val="center"/>
          </w:tcPr>
          <w:p w14:paraId="2908F8E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075D84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3B1EA6E">
      <w:pPr>
        <w:widowControl/>
        <w:jc w:val="center"/>
        <w:rPr>
          <w:rFonts w:ascii="Times New Roman" w:hAnsi="Times New Roman" w:eastAsia="方正小标宋_GBK" w:cs="Times New Roman"/>
          <w:kern w:val="0"/>
          <w:sz w:val="36"/>
          <w:szCs w:val="36"/>
        </w:rPr>
      </w:pPr>
    </w:p>
    <w:p w14:paraId="3F45F1AF">
      <w:pPr>
        <w:widowControl/>
        <w:spacing w:afterLines="50"/>
        <w:jc w:val="center"/>
        <w:textAlignment w:val="center"/>
        <w:rPr>
          <w:rFonts w:ascii="Times New Roman" w:hAnsi="Times New Roman" w:eastAsia="黑体" w:cs="Times New Roman"/>
          <w:color w:val="000000"/>
          <w:kern w:val="0"/>
          <w:sz w:val="36"/>
          <w:szCs w:val="36"/>
        </w:rPr>
      </w:pPr>
    </w:p>
    <w:p w14:paraId="6BE11067">
      <w:pPr>
        <w:widowControl/>
        <w:spacing w:afterLines="50"/>
        <w:jc w:val="center"/>
        <w:textAlignment w:val="center"/>
        <w:rPr>
          <w:rFonts w:ascii="Times New Roman" w:hAnsi="Times New Roman" w:eastAsia="黑体" w:cs="Times New Roman"/>
          <w:color w:val="000000"/>
          <w:kern w:val="0"/>
          <w:sz w:val="36"/>
          <w:szCs w:val="36"/>
        </w:rPr>
      </w:pPr>
    </w:p>
    <w:p w14:paraId="6E1B2E03">
      <w:pP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br w:type="page"/>
      </w:r>
    </w:p>
    <w:p w14:paraId="02792D5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B29E65C">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部门：公开05表</w:t>
      </w:r>
    </w:p>
    <w:p w14:paraId="58F30BD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11"/>
        <w:tblW w:w="14219" w:type="dxa"/>
        <w:jc w:val="center"/>
        <w:tblLayout w:type="fixed"/>
        <w:tblCellMar>
          <w:top w:w="0" w:type="dxa"/>
          <w:left w:w="108" w:type="dxa"/>
          <w:bottom w:w="0" w:type="dxa"/>
          <w:right w:w="108" w:type="dxa"/>
        </w:tblCellMar>
      </w:tblPr>
      <w:tblGrid>
        <w:gridCol w:w="1200"/>
        <w:gridCol w:w="3870"/>
        <w:gridCol w:w="2657"/>
        <w:gridCol w:w="3492"/>
        <w:gridCol w:w="3000"/>
      </w:tblGrid>
      <w:tr w14:paraId="7DDF691C">
        <w:tblPrEx>
          <w:tblCellMar>
            <w:top w:w="0" w:type="dxa"/>
            <w:left w:w="108" w:type="dxa"/>
            <w:bottom w:w="0" w:type="dxa"/>
            <w:right w:w="108" w:type="dxa"/>
          </w:tblCellMar>
        </w:tblPrEx>
        <w:trPr>
          <w:trHeight w:val="545" w:hRule="atLeast"/>
          <w:jc w:val="center"/>
        </w:trPr>
        <w:tc>
          <w:tcPr>
            <w:tcW w:w="507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7283D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149" w:type="dxa"/>
            <w:gridSpan w:val="3"/>
            <w:tcBorders>
              <w:top w:val="single" w:color="auto" w:sz="8" w:space="0"/>
              <w:left w:val="nil"/>
              <w:bottom w:val="single" w:color="auto" w:sz="4" w:space="0"/>
              <w:right w:val="single" w:color="000000" w:sz="8" w:space="0"/>
            </w:tcBorders>
            <w:shd w:val="clear" w:color="auto" w:fill="auto"/>
            <w:vAlign w:val="center"/>
          </w:tcPr>
          <w:p w14:paraId="3580568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16DE58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64A0D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70" w:type="dxa"/>
            <w:vMerge w:val="restart"/>
            <w:tcBorders>
              <w:top w:val="nil"/>
              <w:left w:val="single" w:color="auto" w:sz="4" w:space="0"/>
              <w:bottom w:val="single" w:color="auto" w:sz="4" w:space="0"/>
              <w:right w:val="single" w:color="auto" w:sz="4" w:space="0"/>
            </w:tcBorders>
            <w:shd w:val="clear" w:color="auto" w:fill="auto"/>
            <w:vAlign w:val="center"/>
          </w:tcPr>
          <w:p w14:paraId="21EDC4F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657" w:type="dxa"/>
            <w:vMerge w:val="restart"/>
            <w:tcBorders>
              <w:top w:val="nil"/>
              <w:left w:val="single" w:color="auto" w:sz="4" w:space="0"/>
              <w:bottom w:val="single" w:color="000000" w:sz="4" w:space="0"/>
              <w:right w:val="single" w:color="auto" w:sz="4" w:space="0"/>
            </w:tcBorders>
            <w:shd w:val="clear" w:color="auto" w:fill="auto"/>
            <w:vAlign w:val="center"/>
          </w:tcPr>
          <w:p w14:paraId="31EE01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3B768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7DDD4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585CBB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BDA68BF">
            <w:pPr>
              <w:widowControl/>
              <w:jc w:val="left"/>
              <w:rPr>
                <w:rFonts w:ascii="Times New Roman" w:hAnsi="Times New Roman" w:eastAsia="仿宋_GB2312" w:cs="Times New Roman"/>
                <w:kern w:val="0"/>
                <w:szCs w:val="21"/>
              </w:rPr>
            </w:pPr>
          </w:p>
        </w:tc>
        <w:tc>
          <w:tcPr>
            <w:tcW w:w="3870" w:type="dxa"/>
            <w:vMerge w:val="continue"/>
            <w:tcBorders>
              <w:top w:val="nil"/>
              <w:left w:val="single" w:color="auto" w:sz="4" w:space="0"/>
              <w:bottom w:val="single" w:color="auto" w:sz="4" w:space="0"/>
              <w:right w:val="single" w:color="auto" w:sz="4" w:space="0"/>
            </w:tcBorders>
            <w:vAlign w:val="center"/>
          </w:tcPr>
          <w:p w14:paraId="0A677EBF">
            <w:pPr>
              <w:widowControl/>
              <w:jc w:val="left"/>
              <w:rPr>
                <w:rFonts w:ascii="Times New Roman" w:hAnsi="Times New Roman" w:eastAsia="仿宋_GB2312" w:cs="Times New Roman"/>
                <w:kern w:val="0"/>
                <w:szCs w:val="21"/>
              </w:rPr>
            </w:pPr>
          </w:p>
        </w:tc>
        <w:tc>
          <w:tcPr>
            <w:tcW w:w="2657" w:type="dxa"/>
            <w:vMerge w:val="continue"/>
            <w:tcBorders>
              <w:top w:val="nil"/>
              <w:left w:val="single" w:color="auto" w:sz="4" w:space="0"/>
              <w:bottom w:val="single" w:color="000000" w:sz="4" w:space="0"/>
              <w:right w:val="single" w:color="auto" w:sz="4" w:space="0"/>
            </w:tcBorders>
            <w:vAlign w:val="center"/>
          </w:tcPr>
          <w:p w14:paraId="15CF47F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353CD0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05ACD57">
            <w:pPr>
              <w:widowControl/>
              <w:jc w:val="left"/>
              <w:rPr>
                <w:rFonts w:ascii="Times New Roman" w:hAnsi="Times New Roman" w:eastAsia="仿宋_GB2312" w:cs="Times New Roman"/>
                <w:kern w:val="0"/>
                <w:szCs w:val="21"/>
              </w:rPr>
            </w:pPr>
          </w:p>
        </w:tc>
      </w:tr>
      <w:tr w14:paraId="285A99EB">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576A78">
            <w:pPr>
              <w:widowControl/>
              <w:jc w:val="left"/>
              <w:rPr>
                <w:rFonts w:ascii="Times New Roman" w:hAnsi="Times New Roman" w:eastAsia="仿宋_GB2312" w:cs="Times New Roman"/>
                <w:kern w:val="0"/>
                <w:szCs w:val="21"/>
              </w:rPr>
            </w:pPr>
          </w:p>
        </w:tc>
        <w:tc>
          <w:tcPr>
            <w:tcW w:w="3870" w:type="dxa"/>
            <w:vMerge w:val="continue"/>
            <w:tcBorders>
              <w:top w:val="nil"/>
              <w:left w:val="single" w:color="auto" w:sz="4" w:space="0"/>
              <w:bottom w:val="single" w:color="auto" w:sz="4" w:space="0"/>
              <w:right w:val="single" w:color="auto" w:sz="4" w:space="0"/>
            </w:tcBorders>
            <w:vAlign w:val="center"/>
          </w:tcPr>
          <w:p w14:paraId="160E64D0">
            <w:pPr>
              <w:widowControl/>
              <w:jc w:val="left"/>
              <w:rPr>
                <w:rFonts w:ascii="Times New Roman" w:hAnsi="Times New Roman" w:eastAsia="仿宋_GB2312" w:cs="Times New Roman"/>
                <w:kern w:val="0"/>
                <w:szCs w:val="21"/>
              </w:rPr>
            </w:pPr>
          </w:p>
        </w:tc>
        <w:tc>
          <w:tcPr>
            <w:tcW w:w="2657" w:type="dxa"/>
            <w:vMerge w:val="continue"/>
            <w:tcBorders>
              <w:top w:val="nil"/>
              <w:left w:val="single" w:color="auto" w:sz="4" w:space="0"/>
              <w:bottom w:val="single" w:color="000000" w:sz="4" w:space="0"/>
              <w:right w:val="single" w:color="auto" w:sz="4" w:space="0"/>
            </w:tcBorders>
            <w:vAlign w:val="center"/>
          </w:tcPr>
          <w:p w14:paraId="0CFFC33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8FA431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9598611">
            <w:pPr>
              <w:widowControl/>
              <w:jc w:val="left"/>
              <w:rPr>
                <w:rFonts w:ascii="Times New Roman" w:hAnsi="Times New Roman" w:eastAsia="仿宋_GB2312" w:cs="Times New Roman"/>
                <w:kern w:val="0"/>
                <w:szCs w:val="21"/>
              </w:rPr>
            </w:pPr>
          </w:p>
        </w:tc>
      </w:tr>
      <w:tr w14:paraId="2952D28F">
        <w:tblPrEx>
          <w:tblCellMar>
            <w:top w:w="0" w:type="dxa"/>
            <w:left w:w="108" w:type="dxa"/>
            <w:bottom w:w="0" w:type="dxa"/>
            <w:right w:w="108" w:type="dxa"/>
          </w:tblCellMar>
        </w:tblPrEx>
        <w:trPr>
          <w:trHeight w:val="450" w:hRule="atLeast"/>
          <w:jc w:val="center"/>
        </w:trPr>
        <w:tc>
          <w:tcPr>
            <w:tcW w:w="50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D7497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657" w:type="dxa"/>
            <w:tcBorders>
              <w:top w:val="nil"/>
              <w:left w:val="nil"/>
              <w:bottom w:val="single" w:color="auto" w:sz="4" w:space="0"/>
              <w:right w:val="single" w:color="auto" w:sz="4" w:space="0"/>
            </w:tcBorders>
            <w:shd w:val="clear" w:color="auto" w:fill="auto"/>
            <w:vAlign w:val="center"/>
          </w:tcPr>
          <w:p w14:paraId="1A8117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3EBB42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EFDC6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6FC5A0F">
        <w:tblPrEx>
          <w:tblCellMar>
            <w:top w:w="0" w:type="dxa"/>
            <w:left w:w="108" w:type="dxa"/>
            <w:bottom w:w="0" w:type="dxa"/>
            <w:right w:w="108" w:type="dxa"/>
          </w:tblCellMar>
        </w:tblPrEx>
        <w:trPr>
          <w:trHeight w:val="450" w:hRule="atLeast"/>
          <w:jc w:val="center"/>
        </w:trPr>
        <w:tc>
          <w:tcPr>
            <w:tcW w:w="507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B2E5B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657" w:type="dxa"/>
            <w:tcBorders>
              <w:top w:val="nil"/>
              <w:left w:val="nil"/>
              <w:bottom w:val="single" w:color="auto" w:sz="4" w:space="0"/>
              <w:right w:val="single" w:color="auto" w:sz="4" w:space="0"/>
            </w:tcBorders>
            <w:shd w:val="clear" w:color="auto" w:fill="auto"/>
            <w:vAlign w:val="center"/>
          </w:tcPr>
          <w:p w14:paraId="6883737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296.10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7B733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257.10</w:t>
            </w:r>
          </w:p>
        </w:tc>
        <w:tc>
          <w:tcPr>
            <w:tcW w:w="3000" w:type="dxa"/>
            <w:tcBorders>
              <w:top w:val="nil"/>
              <w:left w:val="nil"/>
              <w:bottom w:val="single" w:color="auto" w:sz="4" w:space="0"/>
              <w:right w:val="single" w:color="auto" w:sz="8" w:space="0"/>
            </w:tcBorders>
            <w:shd w:val="clear" w:color="auto" w:fill="auto"/>
            <w:vAlign w:val="center"/>
          </w:tcPr>
          <w:p w14:paraId="57CFF61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39.00</w:t>
            </w:r>
            <w:r>
              <w:rPr>
                <w:rFonts w:ascii="Times New Roman" w:hAnsi="Times New Roman" w:eastAsia="仿宋_GB2312" w:cs="Times New Roman"/>
                <w:kern w:val="0"/>
                <w:szCs w:val="21"/>
              </w:rPr>
              <w:t>　</w:t>
            </w:r>
          </w:p>
        </w:tc>
      </w:tr>
      <w:tr w14:paraId="50929C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D13C1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14:paraId="6B318CD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机关事业单位基本养老保险缴费支出</w:t>
            </w:r>
          </w:p>
        </w:tc>
        <w:tc>
          <w:tcPr>
            <w:tcW w:w="2657" w:type="dxa"/>
            <w:tcBorders>
              <w:top w:val="nil"/>
              <w:left w:val="nil"/>
              <w:bottom w:val="single" w:color="auto" w:sz="4" w:space="0"/>
              <w:right w:val="single" w:color="auto" w:sz="4" w:space="0"/>
            </w:tcBorders>
            <w:shd w:val="clear" w:color="auto" w:fill="auto"/>
            <w:vAlign w:val="center"/>
          </w:tcPr>
          <w:p w14:paraId="2CBD21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0.39</w:t>
            </w:r>
          </w:p>
        </w:tc>
        <w:tc>
          <w:tcPr>
            <w:tcW w:w="3492" w:type="dxa"/>
            <w:tcBorders>
              <w:top w:val="nil"/>
              <w:left w:val="nil"/>
              <w:bottom w:val="single" w:color="auto" w:sz="4" w:space="0"/>
              <w:right w:val="single" w:color="auto" w:sz="4" w:space="0"/>
            </w:tcBorders>
            <w:shd w:val="clear" w:color="auto" w:fill="auto"/>
            <w:vAlign w:val="center"/>
          </w:tcPr>
          <w:p w14:paraId="61E2210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0.39</w:t>
            </w:r>
          </w:p>
        </w:tc>
        <w:tc>
          <w:tcPr>
            <w:tcW w:w="3000" w:type="dxa"/>
            <w:tcBorders>
              <w:top w:val="nil"/>
              <w:left w:val="nil"/>
              <w:bottom w:val="single" w:color="auto" w:sz="4" w:space="0"/>
              <w:right w:val="single" w:color="auto" w:sz="8" w:space="0"/>
            </w:tcBorders>
            <w:shd w:val="clear" w:color="auto" w:fill="auto"/>
            <w:vAlign w:val="center"/>
          </w:tcPr>
          <w:p w14:paraId="098F0C10">
            <w:pPr>
              <w:widowControl/>
              <w:jc w:val="center"/>
              <w:rPr>
                <w:rFonts w:ascii="Times New Roman" w:hAnsi="Times New Roman" w:eastAsia="仿宋_GB2312" w:cs="Times New Roman"/>
                <w:kern w:val="0"/>
                <w:szCs w:val="21"/>
              </w:rPr>
            </w:pPr>
          </w:p>
        </w:tc>
      </w:tr>
      <w:tr w14:paraId="2B73FF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3F4A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2101101</w:t>
            </w:r>
          </w:p>
        </w:tc>
        <w:tc>
          <w:tcPr>
            <w:tcW w:w="3870" w:type="dxa"/>
            <w:tcBorders>
              <w:top w:val="nil"/>
              <w:left w:val="nil"/>
              <w:bottom w:val="single" w:color="auto" w:sz="4" w:space="0"/>
              <w:right w:val="single" w:color="auto" w:sz="4" w:space="0"/>
            </w:tcBorders>
            <w:shd w:val="clear" w:color="auto" w:fill="auto"/>
            <w:vAlign w:val="center"/>
          </w:tcPr>
          <w:p w14:paraId="000160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行政单位医疗</w:t>
            </w:r>
          </w:p>
        </w:tc>
        <w:tc>
          <w:tcPr>
            <w:tcW w:w="2657" w:type="dxa"/>
            <w:tcBorders>
              <w:top w:val="nil"/>
              <w:left w:val="nil"/>
              <w:bottom w:val="single" w:color="auto" w:sz="4" w:space="0"/>
              <w:right w:val="single" w:color="auto" w:sz="4" w:space="0"/>
            </w:tcBorders>
            <w:shd w:val="clear" w:color="auto" w:fill="auto"/>
            <w:vAlign w:val="center"/>
          </w:tcPr>
          <w:p w14:paraId="38D824A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0.18</w:t>
            </w:r>
          </w:p>
        </w:tc>
        <w:tc>
          <w:tcPr>
            <w:tcW w:w="3492" w:type="dxa"/>
            <w:tcBorders>
              <w:top w:val="nil"/>
              <w:left w:val="nil"/>
              <w:bottom w:val="single" w:color="auto" w:sz="4" w:space="0"/>
              <w:right w:val="single" w:color="auto" w:sz="4" w:space="0"/>
            </w:tcBorders>
            <w:shd w:val="clear" w:color="auto" w:fill="auto"/>
            <w:vAlign w:val="center"/>
          </w:tcPr>
          <w:p w14:paraId="43C8AB4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0.18</w:t>
            </w:r>
          </w:p>
        </w:tc>
        <w:tc>
          <w:tcPr>
            <w:tcW w:w="3000" w:type="dxa"/>
            <w:tcBorders>
              <w:top w:val="nil"/>
              <w:left w:val="nil"/>
              <w:bottom w:val="single" w:color="auto" w:sz="4" w:space="0"/>
              <w:right w:val="single" w:color="auto" w:sz="8" w:space="0"/>
            </w:tcBorders>
            <w:shd w:val="clear" w:color="auto" w:fill="auto"/>
            <w:vAlign w:val="center"/>
          </w:tcPr>
          <w:p w14:paraId="4EAEA585">
            <w:pPr>
              <w:widowControl/>
              <w:jc w:val="center"/>
              <w:rPr>
                <w:rFonts w:ascii="Times New Roman" w:hAnsi="Times New Roman" w:eastAsia="仿宋_GB2312" w:cs="Times New Roman"/>
                <w:kern w:val="0"/>
                <w:szCs w:val="21"/>
              </w:rPr>
            </w:pPr>
          </w:p>
        </w:tc>
      </w:tr>
      <w:tr w14:paraId="521A25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0F7C0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2110101</w:t>
            </w: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14:paraId="5326D9E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行政运行</w:t>
            </w:r>
          </w:p>
        </w:tc>
        <w:tc>
          <w:tcPr>
            <w:tcW w:w="2657" w:type="dxa"/>
            <w:tcBorders>
              <w:top w:val="nil"/>
              <w:left w:val="nil"/>
              <w:bottom w:val="single" w:color="auto" w:sz="4" w:space="0"/>
              <w:right w:val="single" w:color="auto" w:sz="4" w:space="0"/>
            </w:tcBorders>
            <w:shd w:val="clear" w:color="auto" w:fill="auto"/>
            <w:vAlign w:val="center"/>
          </w:tcPr>
          <w:p w14:paraId="6D403ED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256.53</w:t>
            </w:r>
          </w:p>
        </w:tc>
        <w:tc>
          <w:tcPr>
            <w:tcW w:w="3492" w:type="dxa"/>
            <w:tcBorders>
              <w:top w:val="nil"/>
              <w:left w:val="nil"/>
              <w:bottom w:val="single" w:color="auto" w:sz="4" w:space="0"/>
              <w:right w:val="single" w:color="auto" w:sz="4" w:space="0"/>
            </w:tcBorders>
            <w:shd w:val="clear" w:color="auto" w:fill="auto"/>
            <w:vAlign w:val="center"/>
          </w:tcPr>
          <w:p w14:paraId="46A494E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256.53</w:t>
            </w:r>
          </w:p>
        </w:tc>
        <w:tc>
          <w:tcPr>
            <w:tcW w:w="3000" w:type="dxa"/>
            <w:tcBorders>
              <w:top w:val="nil"/>
              <w:left w:val="nil"/>
              <w:bottom w:val="single" w:color="auto" w:sz="4" w:space="0"/>
              <w:right w:val="single" w:color="auto" w:sz="8" w:space="0"/>
            </w:tcBorders>
            <w:shd w:val="clear" w:color="auto" w:fill="auto"/>
            <w:vAlign w:val="center"/>
          </w:tcPr>
          <w:p w14:paraId="17A47654">
            <w:pPr>
              <w:widowControl/>
              <w:jc w:val="center"/>
              <w:rPr>
                <w:rFonts w:ascii="Times New Roman" w:hAnsi="Times New Roman" w:eastAsia="仿宋_GB2312" w:cs="Times New Roman"/>
                <w:kern w:val="0"/>
                <w:szCs w:val="21"/>
              </w:rPr>
            </w:pPr>
          </w:p>
        </w:tc>
      </w:tr>
      <w:tr w14:paraId="021A14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20FC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2110199</w:t>
            </w:r>
          </w:p>
        </w:tc>
        <w:tc>
          <w:tcPr>
            <w:tcW w:w="3870" w:type="dxa"/>
            <w:tcBorders>
              <w:top w:val="nil"/>
              <w:left w:val="nil"/>
              <w:bottom w:val="single" w:color="auto" w:sz="4" w:space="0"/>
              <w:right w:val="single" w:color="auto" w:sz="4" w:space="0"/>
            </w:tcBorders>
            <w:shd w:val="clear" w:color="auto" w:fill="auto"/>
            <w:vAlign w:val="center"/>
          </w:tcPr>
          <w:p w14:paraId="2E2DB8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其他环境保护管理事务支出</w:t>
            </w:r>
          </w:p>
        </w:tc>
        <w:tc>
          <w:tcPr>
            <w:tcW w:w="2657" w:type="dxa"/>
            <w:tcBorders>
              <w:top w:val="nil"/>
              <w:left w:val="nil"/>
              <w:bottom w:val="single" w:color="auto" w:sz="4" w:space="0"/>
              <w:right w:val="single" w:color="auto" w:sz="4" w:space="0"/>
            </w:tcBorders>
            <w:shd w:val="clear" w:color="auto" w:fill="auto"/>
            <w:vAlign w:val="center"/>
          </w:tcPr>
          <w:p w14:paraId="257A71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38.00</w:t>
            </w:r>
          </w:p>
        </w:tc>
        <w:tc>
          <w:tcPr>
            <w:tcW w:w="3492" w:type="dxa"/>
            <w:tcBorders>
              <w:top w:val="nil"/>
              <w:left w:val="nil"/>
              <w:bottom w:val="single" w:color="auto" w:sz="4" w:space="0"/>
              <w:right w:val="single" w:color="auto" w:sz="4" w:space="0"/>
            </w:tcBorders>
            <w:shd w:val="clear" w:color="auto" w:fill="auto"/>
            <w:vAlign w:val="center"/>
          </w:tcPr>
          <w:p w14:paraId="16F304E0">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01937D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38.00</w:t>
            </w:r>
          </w:p>
        </w:tc>
      </w:tr>
      <w:tr w14:paraId="569E1A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9CD30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2110299</w:t>
            </w:r>
            <w:r>
              <w:rPr>
                <w:rFonts w:ascii="Times New Roman" w:hAnsi="Times New Roman" w:eastAsia="仿宋_GB2312" w:cs="Times New Roman"/>
                <w:kern w:val="0"/>
                <w:szCs w:val="21"/>
              </w:rPr>
              <w:t>　</w:t>
            </w:r>
          </w:p>
        </w:tc>
        <w:tc>
          <w:tcPr>
            <w:tcW w:w="3870" w:type="dxa"/>
            <w:tcBorders>
              <w:top w:val="nil"/>
              <w:left w:val="nil"/>
              <w:bottom w:val="single" w:color="auto" w:sz="4" w:space="0"/>
              <w:right w:val="single" w:color="auto" w:sz="4" w:space="0"/>
            </w:tcBorders>
            <w:shd w:val="clear" w:color="auto" w:fill="auto"/>
            <w:vAlign w:val="center"/>
          </w:tcPr>
          <w:p w14:paraId="24D661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其他环境监测与监察支出</w:t>
            </w:r>
          </w:p>
        </w:tc>
        <w:tc>
          <w:tcPr>
            <w:tcW w:w="2657" w:type="dxa"/>
            <w:tcBorders>
              <w:top w:val="nil"/>
              <w:left w:val="nil"/>
              <w:bottom w:val="single" w:color="auto" w:sz="4" w:space="0"/>
              <w:right w:val="single" w:color="auto" w:sz="4" w:space="0"/>
            </w:tcBorders>
            <w:shd w:val="clear" w:color="auto" w:fill="auto"/>
            <w:vAlign w:val="center"/>
          </w:tcPr>
          <w:p w14:paraId="01C106D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c>
          <w:tcPr>
            <w:tcW w:w="3492" w:type="dxa"/>
            <w:tcBorders>
              <w:top w:val="nil"/>
              <w:left w:val="nil"/>
              <w:bottom w:val="single" w:color="auto" w:sz="4" w:space="0"/>
              <w:right w:val="single" w:color="auto" w:sz="4" w:space="0"/>
            </w:tcBorders>
            <w:shd w:val="clear" w:color="auto" w:fill="auto"/>
            <w:vAlign w:val="center"/>
          </w:tcPr>
          <w:p w14:paraId="0E4354AB">
            <w:pPr>
              <w:widowControl/>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C2B1D1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w:t>
            </w:r>
          </w:p>
        </w:tc>
      </w:tr>
    </w:tbl>
    <w:p w14:paraId="5352609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316E743">
      <w:pPr>
        <w:widowControl/>
        <w:jc w:val="left"/>
        <w:rPr>
          <w:rFonts w:ascii="Times New Roman" w:hAnsi="Times New Roman" w:eastAsia="仿宋_GB2312" w:cs="Times New Roman"/>
          <w:bCs/>
          <w:kern w:val="0"/>
          <w:szCs w:val="21"/>
        </w:rPr>
      </w:pPr>
    </w:p>
    <w:p w14:paraId="5D794F2D">
      <w:pPr>
        <w:widowControl/>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4F15CC9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部门：公开06表</w:t>
      </w:r>
    </w:p>
    <w:p w14:paraId="264948AC">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3200"/>
        <w:gridCol w:w="851"/>
        <w:gridCol w:w="1134"/>
        <w:gridCol w:w="1765"/>
        <w:gridCol w:w="933"/>
        <w:gridCol w:w="1217"/>
        <w:gridCol w:w="3517"/>
        <w:gridCol w:w="929"/>
      </w:tblGrid>
      <w:tr w14:paraId="1A4A3AE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7169D76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3200" w:type="dxa"/>
            <w:tcBorders>
              <w:top w:val="single" w:color="auto" w:sz="4" w:space="0"/>
              <w:left w:val="nil"/>
              <w:bottom w:val="single" w:color="auto" w:sz="4" w:space="0"/>
              <w:right w:val="single" w:color="auto" w:sz="4" w:space="0"/>
            </w:tcBorders>
            <w:shd w:val="clear" w:color="auto" w:fill="auto"/>
            <w:vAlign w:val="center"/>
          </w:tcPr>
          <w:p w14:paraId="4F9C241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851" w:type="dxa"/>
            <w:tcBorders>
              <w:top w:val="single" w:color="auto" w:sz="4" w:space="0"/>
              <w:left w:val="nil"/>
              <w:bottom w:val="single" w:color="auto" w:sz="4" w:space="0"/>
              <w:right w:val="single" w:color="auto" w:sz="4" w:space="0"/>
            </w:tcBorders>
            <w:shd w:val="clear" w:color="auto" w:fill="auto"/>
            <w:vAlign w:val="center"/>
          </w:tcPr>
          <w:p w14:paraId="0845AF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34" w:type="dxa"/>
            <w:tcBorders>
              <w:top w:val="single" w:color="auto" w:sz="4" w:space="0"/>
              <w:left w:val="nil"/>
              <w:bottom w:val="single" w:color="auto" w:sz="4" w:space="0"/>
              <w:right w:val="single" w:color="auto" w:sz="4" w:space="0"/>
            </w:tcBorders>
            <w:shd w:val="clear" w:color="auto" w:fill="auto"/>
            <w:vAlign w:val="center"/>
          </w:tcPr>
          <w:p w14:paraId="0FB99DC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765" w:type="dxa"/>
            <w:tcBorders>
              <w:top w:val="single" w:color="auto" w:sz="4" w:space="0"/>
              <w:left w:val="nil"/>
              <w:bottom w:val="single" w:color="auto" w:sz="4" w:space="0"/>
              <w:right w:val="single" w:color="auto" w:sz="4" w:space="0"/>
            </w:tcBorders>
            <w:shd w:val="clear" w:color="auto" w:fill="auto"/>
            <w:vAlign w:val="center"/>
          </w:tcPr>
          <w:p w14:paraId="6C0B4F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67ED2E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7F2B45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BB6318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6B6CE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222A3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733C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3200" w:type="dxa"/>
            <w:tcBorders>
              <w:top w:val="nil"/>
              <w:left w:val="nil"/>
              <w:bottom w:val="single" w:color="auto" w:sz="4" w:space="0"/>
              <w:right w:val="single" w:color="auto" w:sz="4" w:space="0"/>
            </w:tcBorders>
            <w:shd w:val="clear" w:color="auto" w:fill="auto"/>
            <w:noWrap/>
            <w:vAlign w:val="center"/>
          </w:tcPr>
          <w:p w14:paraId="189ED0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851" w:type="dxa"/>
            <w:tcBorders>
              <w:top w:val="nil"/>
              <w:left w:val="nil"/>
              <w:bottom w:val="single" w:color="auto" w:sz="4" w:space="0"/>
              <w:right w:val="single" w:color="auto" w:sz="4" w:space="0"/>
            </w:tcBorders>
            <w:shd w:val="clear" w:color="auto" w:fill="auto"/>
            <w:noWrap/>
            <w:vAlign w:val="center"/>
          </w:tcPr>
          <w:p w14:paraId="04E409B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224.03</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161D3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765" w:type="dxa"/>
            <w:tcBorders>
              <w:top w:val="nil"/>
              <w:left w:val="nil"/>
              <w:bottom w:val="single" w:color="auto" w:sz="4" w:space="0"/>
              <w:right w:val="single" w:color="auto" w:sz="4" w:space="0"/>
            </w:tcBorders>
            <w:shd w:val="clear" w:color="auto" w:fill="auto"/>
            <w:noWrap/>
            <w:vAlign w:val="center"/>
          </w:tcPr>
          <w:p w14:paraId="313EE3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211E91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29.51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4041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3226A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47520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A843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9CEDA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3200" w:type="dxa"/>
            <w:tcBorders>
              <w:top w:val="nil"/>
              <w:left w:val="nil"/>
              <w:bottom w:val="single" w:color="auto" w:sz="4" w:space="0"/>
              <w:right w:val="single" w:color="auto" w:sz="4" w:space="0"/>
            </w:tcBorders>
            <w:shd w:val="clear" w:color="auto" w:fill="auto"/>
            <w:noWrap/>
            <w:vAlign w:val="center"/>
          </w:tcPr>
          <w:p w14:paraId="1A4FC7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851" w:type="dxa"/>
            <w:tcBorders>
              <w:top w:val="nil"/>
              <w:left w:val="nil"/>
              <w:bottom w:val="single" w:color="auto" w:sz="4" w:space="0"/>
              <w:right w:val="single" w:color="auto" w:sz="4" w:space="0"/>
            </w:tcBorders>
            <w:shd w:val="clear" w:color="auto" w:fill="auto"/>
            <w:noWrap/>
            <w:vAlign w:val="center"/>
          </w:tcPr>
          <w:p w14:paraId="78E4F97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88.94</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1C6A2CD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765" w:type="dxa"/>
            <w:tcBorders>
              <w:top w:val="nil"/>
              <w:left w:val="nil"/>
              <w:bottom w:val="single" w:color="auto" w:sz="4" w:space="0"/>
              <w:right w:val="single" w:color="auto" w:sz="4" w:space="0"/>
            </w:tcBorders>
            <w:shd w:val="clear" w:color="auto" w:fill="auto"/>
            <w:noWrap/>
            <w:vAlign w:val="center"/>
          </w:tcPr>
          <w:p w14:paraId="145A26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3377A07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1.46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407AF2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2A26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010AA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3EC2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1192A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3200" w:type="dxa"/>
            <w:tcBorders>
              <w:top w:val="nil"/>
              <w:left w:val="nil"/>
              <w:bottom w:val="single" w:color="auto" w:sz="4" w:space="0"/>
              <w:right w:val="single" w:color="auto" w:sz="4" w:space="0"/>
            </w:tcBorders>
            <w:shd w:val="clear" w:color="auto" w:fill="auto"/>
            <w:noWrap/>
            <w:vAlign w:val="center"/>
          </w:tcPr>
          <w:p w14:paraId="07982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851" w:type="dxa"/>
            <w:tcBorders>
              <w:top w:val="nil"/>
              <w:left w:val="nil"/>
              <w:bottom w:val="single" w:color="auto" w:sz="4" w:space="0"/>
              <w:right w:val="single" w:color="auto" w:sz="4" w:space="0"/>
            </w:tcBorders>
            <w:shd w:val="clear" w:color="auto" w:fill="auto"/>
            <w:noWrap/>
            <w:vAlign w:val="center"/>
          </w:tcPr>
          <w:p w14:paraId="17F31A3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72.96</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567514D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765" w:type="dxa"/>
            <w:tcBorders>
              <w:top w:val="nil"/>
              <w:left w:val="nil"/>
              <w:bottom w:val="single" w:color="auto" w:sz="4" w:space="0"/>
              <w:right w:val="single" w:color="auto" w:sz="4" w:space="0"/>
            </w:tcBorders>
            <w:shd w:val="clear" w:color="auto" w:fill="auto"/>
            <w:noWrap/>
            <w:vAlign w:val="center"/>
          </w:tcPr>
          <w:p w14:paraId="3014EB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D81612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022AAF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6E85D0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F26D2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5397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CC654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3200" w:type="dxa"/>
            <w:tcBorders>
              <w:top w:val="nil"/>
              <w:left w:val="nil"/>
              <w:bottom w:val="single" w:color="auto" w:sz="4" w:space="0"/>
              <w:right w:val="single" w:color="auto" w:sz="4" w:space="0"/>
            </w:tcBorders>
            <w:shd w:val="clear" w:color="auto" w:fill="auto"/>
            <w:noWrap/>
            <w:vAlign w:val="center"/>
          </w:tcPr>
          <w:p w14:paraId="68CF37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851" w:type="dxa"/>
            <w:tcBorders>
              <w:top w:val="nil"/>
              <w:left w:val="nil"/>
              <w:bottom w:val="single" w:color="auto" w:sz="4" w:space="0"/>
              <w:right w:val="single" w:color="auto" w:sz="4" w:space="0"/>
            </w:tcBorders>
            <w:shd w:val="clear" w:color="auto" w:fill="auto"/>
            <w:noWrap/>
            <w:vAlign w:val="center"/>
          </w:tcPr>
          <w:p w14:paraId="770AE757">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6.48</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7D7C27B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765" w:type="dxa"/>
            <w:tcBorders>
              <w:top w:val="nil"/>
              <w:left w:val="nil"/>
              <w:bottom w:val="single" w:color="auto" w:sz="4" w:space="0"/>
              <w:right w:val="single" w:color="auto" w:sz="4" w:space="0"/>
            </w:tcBorders>
            <w:shd w:val="clear" w:color="auto" w:fill="auto"/>
            <w:noWrap/>
            <w:vAlign w:val="center"/>
          </w:tcPr>
          <w:p w14:paraId="5893B1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38876E0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2.40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B56A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C018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A6576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0.46</w:t>
            </w:r>
          </w:p>
        </w:tc>
      </w:tr>
      <w:tr w14:paraId="1C22DC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13CFF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3200" w:type="dxa"/>
            <w:tcBorders>
              <w:top w:val="nil"/>
              <w:left w:val="nil"/>
              <w:bottom w:val="single" w:color="auto" w:sz="4" w:space="0"/>
              <w:right w:val="single" w:color="auto" w:sz="4" w:space="0"/>
            </w:tcBorders>
            <w:shd w:val="clear" w:color="auto" w:fill="auto"/>
            <w:noWrap/>
            <w:vAlign w:val="center"/>
          </w:tcPr>
          <w:p w14:paraId="32838D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851" w:type="dxa"/>
            <w:tcBorders>
              <w:top w:val="nil"/>
              <w:left w:val="nil"/>
              <w:bottom w:val="single" w:color="auto" w:sz="4" w:space="0"/>
              <w:right w:val="single" w:color="auto" w:sz="4" w:space="0"/>
            </w:tcBorders>
            <w:shd w:val="clear" w:color="auto" w:fill="auto"/>
            <w:noWrap/>
            <w:vAlign w:val="center"/>
          </w:tcPr>
          <w:p w14:paraId="4EA5AA2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1F8BFE2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765" w:type="dxa"/>
            <w:tcBorders>
              <w:top w:val="nil"/>
              <w:left w:val="nil"/>
              <w:bottom w:val="single" w:color="auto" w:sz="4" w:space="0"/>
              <w:right w:val="single" w:color="auto" w:sz="4" w:space="0"/>
            </w:tcBorders>
            <w:shd w:val="clear" w:color="auto" w:fill="auto"/>
            <w:noWrap/>
            <w:vAlign w:val="center"/>
          </w:tcPr>
          <w:p w14:paraId="11BA53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EFFC2D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C3966B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3EE74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A9DB3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628ED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383B9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3200" w:type="dxa"/>
            <w:tcBorders>
              <w:top w:val="nil"/>
              <w:left w:val="nil"/>
              <w:bottom w:val="single" w:color="auto" w:sz="4" w:space="0"/>
              <w:right w:val="single" w:color="auto" w:sz="4" w:space="0"/>
            </w:tcBorders>
            <w:shd w:val="clear" w:color="auto" w:fill="auto"/>
            <w:noWrap/>
            <w:vAlign w:val="center"/>
          </w:tcPr>
          <w:p w14:paraId="4DAD9B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851" w:type="dxa"/>
            <w:tcBorders>
              <w:top w:val="nil"/>
              <w:left w:val="nil"/>
              <w:bottom w:val="single" w:color="auto" w:sz="4" w:space="0"/>
              <w:right w:val="single" w:color="auto" w:sz="4" w:space="0"/>
            </w:tcBorders>
            <w:shd w:val="clear" w:color="auto" w:fill="auto"/>
            <w:noWrap/>
            <w:vAlign w:val="center"/>
          </w:tcPr>
          <w:p w14:paraId="6300F17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56C8F8B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765" w:type="dxa"/>
            <w:tcBorders>
              <w:top w:val="nil"/>
              <w:left w:val="nil"/>
              <w:bottom w:val="single" w:color="auto" w:sz="4" w:space="0"/>
              <w:right w:val="single" w:color="auto" w:sz="4" w:space="0"/>
            </w:tcBorders>
            <w:shd w:val="clear" w:color="auto" w:fill="auto"/>
            <w:noWrap/>
            <w:vAlign w:val="center"/>
          </w:tcPr>
          <w:p w14:paraId="7660E5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4A588CD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0.18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11F6D5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A2700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4A6DC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0.46</w:t>
            </w:r>
          </w:p>
        </w:tc>
      </w:tr>
      <w:tr w14:paraId="7B1943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72602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3200" w:type="dxa"/>
            <w:tcBorders>
              <w:top w:val="nil"/>
              <w:left w:val="nil"/>
              <w:bottom w:val="single" w:color="auto" w:sz="4" w:space="0"/>
              <w:right w:val="single" w:color="auto" w:sz="4" w:space="0"/>
            </w:tcBorders>
            <w:shd w:val="clear" w:color="auto" w:fill="auto"/>
            <w:noWrap/>
            <w:vAlign w:val="center"/>
          </w:tcPr>
          <w:p w14:paraId="31D6F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w:t>
            </w:r>
            <w:r>
              <w:rPr>
                <w:rFonts w:hint="eastAsia" w:ascii="Times New Roman" w:hAnsi="Times New Roman" w:eastAsia="仿宋_GB2312" w:cs="Times New Roman"/>
                <w:color w:val="000000"/>
                <w:kern w:val="0"/>
                <w:szCs w:val="20"/>
              </w:rPr>
              <w:t>缴费</w:t>
            </w:r>
            <w:r>
              <w:rPr>
                <w:rFonts w:ascii="Times New Roman" w:hAnsi="Times New Roman" w:eastAsia="仿宋_GB2312" w:cs="Times New Roman"/>
                <w:color w:val="000000"/>
                <w:kern w:val="0"/>
                <w:szCs w:val="20"/>
              </w:rPr>
              <w:t>缴费</w:t>
            </w:r>
          </w:p>
        </w:tc>
        <w:tc>
          <w:tcPr>
            <w:tcW w:w="851" w:type="dxa"/>
            <w:tcBorders>
              <w:top w:val="nil"/>
              <w:left w:val="nil"/>
              <w:bottom w:val="single" w:color="auto" w:sz="4" w:space="0"/>
              <w:right w:val="single" w:color="auto" w:sz="4" w:space="0"/>
            </w:tcBorders>
            <w:shd w:val="clear" w:color="auto" w:fill="auto"/>
            <w:noWrap/>
            <w:vAlign w:val="center"/>
          </w:tcPr>
          <w:p w14:paraId="49715C3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23.19</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1480A74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765" w:type="dxa"/>
            <w:tcBorders>
              <w:top w:val="nil"/>
              <w:left w:val="nil"/>
              <w:bottom w:val="single" w:color="auto" w:sz="4" w:space="0"/>
              <w:right w:val="single" w:color="auto" w:sz="4" w:space="0"/>
            </w:tcBorders>
            <w:shd w:val="clear" w:color="auto" w:fill="auto"/>
            <w:noWrap/>
            <w:vAlign w:val="center"/>
          </w:tcPr>
          <w:p w14:paraId="6D4651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27115EB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A46B12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A4755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1C362C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488A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DEDC9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3200" w:type="dxa"/>
            <w:tcBorders>
              <w:top w:val="nil"/>
              <w:left w:val="nil"/>
              <w:bottom w:val="single" w:color="auto" w:sz="4" w:space="0"/>
              <w:right w:val="single" w:color="auto" w:sz="4" w:space="0"/>
            </w:tcBorders>
            <w:shd w:val="clear" w:color="auto" w:fill="auto"/>
            <w:noWrap/>
            <w:vAlign w:val="center"/>
          </w:tcPr>
          <w:p w14:paraId="0A8EF3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851" w:type="dxa"/>
            <w:tcBorders>
              <w:top w:val="nil"/>
              <w:left w:val="nil"/>
              <w:bottom w:val="single" w:color="auto" w:sz="4" w:space="0"/>
              <w:right w:val="single" w:color="auto" w:sz="4" w:space="0"/>
            </w:tcBorders>
            <w:shd w:val="clear" w:color="auto" w:fill="auto"/>
            <w:noWrap/>
            <w:vAlign w:val="center"/>
          </w:tcPr>
          <w:p w14:paraId="26FBEC2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1139DEC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765" w:type="dxa"/>
            <w:tcBorders>
              <w:top w:val="nil"/>
              <w:left w:val="nil"/>
              <w:bottom w:val="single" w:color="auto" w:sz="4" w:space="0"/>
              <w:right w:val="single" w:color="auto" w:sz="4" w:space="0"/>
            </w:tcBorders>
            <w:shd w:val="clear" w:color="auto" w:fill="auto"/>
            <w:noWrap/>
            <w:vAlign w:val="center"/>
          </w:tcPr>
          <w:p w14:paraId="3CFB10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10E9147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0.40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EC4380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628B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2B083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7CBB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D631F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3200" w:type="dxa"/>
            <w:tcBorders>
              <w:top w:val="nil"/>
              <w:left w:val="nil"/>
              <w:bottom w:val="single" w:color="auto" w:sz="4" w:space="0"/>
              <w:right w:val="single" w:color="auto" w:sz="4" w:space="0"/>
            </w:tcBorders>
            <w:shd w:val="clear" w:color="auto" w:fill="auto"/>
            <w:noWrap/>
            <w:vAlign w:val="center"/>
          </w:tcPr>
          <w:p w14:paraId="44D0A5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851" w:type="dxa"/>
            <w:tcBorders>
              <w:top w:val="nil"/>
              <w:left w:val="nil"/>
              <w:bottom w:val="single" w:color="auto" w:sz="4" w:space="0"/>
              <w:right w:val="single" w:color="auto" w:sz="4" w:space="0"/>
            </w:tcBorders>
            <w:shd w:val="clear" w:color="auto" w:fill="auto"/>
            <w:noWrap/>
            <w:vAlign w:val="center"/>
          </w:tcPr>
          <w:p w14:paraId="7128B23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11.58</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5F4EBE6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765" w:type="dxa"/>
            <w:tcBorders>
              <w:top w:val="nil"/>
              <w:left w:val="nil"/>
              <w:bottom w:val="single" w:color="auto" w:sz="4" w:space="0"/>
              <w:right w:val="single" w:color="auto" w:sz="4" w:space="0"/>
            </w:tcBorders>
            <w:shd w:val="clear" w:color="auto" w:fill="auto"/>
            <w:noWrap/>
            <w:vAlign w:val="center"/>
          </w:tcPr>
          <w:p w14:paraId="60D71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2527064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6C4CF8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A302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099F29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C3B5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25589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3200" w:type="dxa"/>
            <w:tcBorders>
              <w:top w:val="nil"/>
              <w:left w:val="nil"/>
              <w:bottom w:val="single" w:color="auto" w:sz="4" w:space="0"/>
              <w:right w:val="single" w:color="auto" w:sz="4" w:space="0"/>
            </w:tcBorders>
            <w:shd w:val="clear" w:color="auto" w:fill="auto"/>
            <w:noWrap/>
            <w:vAlign w:val="center"/>
          </w:tcPr>
          <w:p w14:paraId="6471F5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851" w:type="dxa"/>
            <w:tcBorders>
              <w:top w:val="nil"/>
              <w:left w:val="nil"/>
              <w:bottom w:val="single" w:color="auto" w:sz="4" w:space="0"/>
              <w:right w:val="single" w:color="auto" w:sz="4" w:space="0"/>
            </w:tcBorders>
            <w:shd w:val="clear" w:color="auto" w:fill="auto"/>
            <w:noWrap/>
            <w:vAlign w:val="center"/>
          </w:tcPr>
          <w:p w14:paraId="74D0513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0F4AACF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765" w:type="dxa"/>
            <w:tcBorders>
              <w:top w:val="nil"/>
              <w:left w:val="nil"/>
              <w:bottom w:val="single" w:color="auto" w:sz="4" w:space="0"/>
              <w:right w:val="single" w:color="auto" w:sz="4" w:space="0"/>
            </w:tcBorders>
            <w:shd w:val="clear" w:color="auto" w:fill="auto"/>
            <w:noWrap/>
            <w:vAlign w:val="center"/>
          </w:tcPr>
          <w:p w14:paraId="7E5D3E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078F9F4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F0258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2D13B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A1DE5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7DAF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95B6C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3200" w:type="dxa"/>
            <w:tcBorders>
              <w:top w:val="nil"/>
              <w:left w:val="nil"/>
              <w:bottom w:val="single" w:color="auto" w:sz="4" w:space="0"/>
              <w:right w:val="single" w:color="auto" w:sz="4" w:space="0"/>
            </w:tcBorders>
            <w:shd w:val="clear" w:color="auto" w:fill="auto"/>
            <w:noWrap/>
            <w:vAlign w:val="center"/>
          </w:tcPr>
          <w:p w14:paraId="7CA76E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851" w:type="dxa"/>
            <w:tcBorders>
              <w:top w:val="nil"/>
              <w:left w:val="nil"/>
              <w:bottom w:val="single" w:color="auto" w:sz="4" w:space="0"/>
              <w:right w:val="single" w:color="auto" w:sz="4" w:space="0"/>
            </w:tcBorders>
            <w:shd w:val="clear" w:color="auto" w:fill="auto"/>
            <w:noWrap/>
            <w:vAlign w:val="center"/>
          </w:tcPr>
          <w:p w14:paraId="6CC5698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484A935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765" w:type="dxa"/>
            <w:tcBorders>
              <w:top w:val="nil"/>
              <w:left w:val="nil"/>
              <w:bottom w:val="single" w:color="auto" w:sz="4" w:space="0"/>
              <w:right w:val="single" w:color="auto" w:sz="4" w:space="0"/>
            </w:tcBorders>
            <w:shd w:val="clear" w:color="auto" w:fill="auto"/>
            <w:noWrap/>
            <w:vAlign w:val="center"/>
          </w:tcPr>
          <w:p w14:paraId="005CF9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B225F9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2.44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9D09F4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7382E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32F255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E482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E753A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3200" w:type="dxa"/>
            <w:tcBorders>
              <w:top w:val="nil"/>
              <w:left w:val="nil"/>
              <w:bottom w:val="single" w:color="auto" w:sz="4" w:space="0"/>
              <w:right w:val="single" w:color="auto" w:sz="4" w:space="0"/>
            </w:tcBorders>
            <w:shd w:val="clear" w:color="auto" w:fill="auto"/>
            <w:noWrap/>
            <w:vAlign w:val="center"/>
          </w:tcPr>
          <w:p w14:paraId="7175F1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851" w:type="dxa"/>
            <w:tcBorders>
              <w:top w:val="nil"/>
              <w:left w:val="nil"/>
              <w:bottom w:val="single" w:color="auto" w:sz="4" w:space="0"/>
              <w:right w:val="single" w:color="auto" w:sz="4" w:space="0"/>
            </w:tcBorders>
            <w:shd w:val="clear" w:color="auto" w:fill="auto"/>
            <w:noWrap/>
            <w:vAlign w:val="center"/>
          </w:tcPr>
          <w:p w14:paraId="276612B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18.5</w:t>
            </w:r>
            <w:r>
              <w:rPr>
                <w:rFonts w:hint="eastAsia" w:ascii="Times New Roman" w:hAnsi="Times New Roman" w:eastAsia="仿宋_GB2312" w:cs="Times New Roman"/>
                <w:color w:val="000000"/>
                <w:kern w:val="0"/>
                <w:szCs w:val="20"/>
                <w:lang w:val="en-US" w:eastAsia="zh-CN"/>
              </w:rPr>
              <w:t>4</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749AFB8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765" w:type="dxa"/>
            <w:tcBorders>
              <w:top w:val="nil"/>
              <w:left w:val="nil"/>
              <w:bottom w:val="single" w:color="auto" w:sz="4" w:space="0"/>
              <w:right w:val="single" w:color="auto" w:sz="4" w:space="0"/>
            </w:tcBorders>
            <w:shd w:val="clear" w:color="auto" w:fill="auto"/>
            <w:noWrap/>
            <w:vAlign w:val="center"/>
          </w:tcPr>
          <w:p w14:paraId="732AD6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A1A4A2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849040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75E2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36677C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6AB4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BFAC5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3200" w:type="dxa"/>
            <w:tcBorders>
              <w:top w:val="nil"/>
              <w:left w:val="nil"/>
              <w:bottom w:val="single" w:color="auto" w:sz="4" w:space="0"/>
              <w:right w:val="single" w:color="auto" w:sz="4" w:space="0"/>
            </w:tcBorders>
            <w:shd w:val="clear" w:color="auto" w:fill="auto"/>
            <w:noWrap/>
            <w:vAlign w:val="center"/>
          </w:tcPr>
          <w:p w14:paraId="675022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851" w:type="dxa"/>
            <w:tcBorders>
              <w:top w:val="nil"/>
              <w:left w:val="nil"/>
              <w:bottom w:val="single" w:color="auto" w:sz="4" w:space="0"/>
              <w:right w:val="single" w:color="auto" w:sz="4" w:space="0"/>
            </w:tcBorders>
            <w:shd w:val="clear" w:color="auto" w:fill="auto"/>
            <w:noWrap/>
            <w:vAlign w:val="center"/>
          </w:tcPr>
          <w:p w14:paraId="13AD09A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368B57B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765" w:type="dxa"/>
            <w:tcBorders>
              <w:top w:val="nil"/>
              <w:left w:val="nil"/>
              <w:bottom w:val="single" w:color="auto" w:sz="4" w:space="0"/>
              <w:right w:val="single" w:color="auto" w:sz="4" w:space="0"/>
            </w:tcBorders>
            <w:shd w:val="clear" w:color="auto" w:fill="auto"/>
            <w:noWrap/>
            <w:vAlign w:val="center"/>
          </w:tcPr>
          <w:p w14:paraId="0EBD35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35118E1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0.22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6A80C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FC6F6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12AB2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5DB7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08711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3200" w:type="dxa"/>
            <w:tcBorders>
              <w:top w:val="nil"/>
              <w:left w:val="nil"/>
              <w:bottom w:val="single" w:color="auto" w:sz="4" w:space="0"/>
              <w:right w:val="single" w:color="auto" w:sz="4" w:space="0"/>
            </w:tcBorders>
            <w:shd w:val="clear" w:color="auto" w:fill="auto"/>
            <w:noWrap/>
            <w:vAlign w:val="center"/>
          </w:tcPr>
          <w:p w14:paraId="0EE4A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851" w:type="dxa"/>
            <w:tcBorders>
              <w:top w:val="nil"/>
              <w:left w:val="nil"/>
              <w:bottom w:val="single" w:color="auto" w:sz="4" w:space="0"/>
              <w:right w:val="single" w:color="auto" w:sz="4" w:space="0"/>
            </w:tcBorders>
            <w:shd w:val="clear" w:color="auto" w:fill="auto"/>
            <w:noWrap/>
            <w:vAlign w:val="center"/>
          </w:tcPr>
          <w:p w14:paraId="284ADE0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2.34</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2009DC6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765" w:type="dxa"/>
            <w:tcBorders>
              <w:top w:val="nil"/>
              <w:left w:val="nil"/>
              <w:bottom w:val="single" w:color="auto" w:sz="4" w:space="0"/>
              <w:right w:val="single" w:color="auto" w:sz="4" w:space="0"/>
            </w:tcBorders>
            <w:shd w:val="clear" w:color="auto" w:fill="auto"/>
            <w:noWrap/>
            <w:vAlign w:val="center"/>
          </w:tcPr>
          <w:p w14:paraId="21551B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358225D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337AD3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93E82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C30BE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7EDA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2140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3200" w:type="dxa"/>
            <w:tcBorders>
              <w:top w:val="nil"/>
              <w:left w:val="nil"/>
              <w:bottom w:val="single" w:color="auto" w:sz="4" w:space="0"/>
              <w:right w:val="single" w:color="auto" w:sz="4" w:space="0"/>
            </w:tcBorders>
            <w:shd w:val="clear" w:color="auto" w:fill="auto"/>
            <w:noWrap/>
            <w:vAlign w:val="center"/>
          </w:tcPr>
          <w:p w14:paraId="69DF9C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851" w:type="dxa"/>
            <w:tcBorders>
              <w:top w:val="nil"/>
              <w:left w:val="nil"/>
              <w:bottom w:val="single" w:color="auto" w:sz="4" w:space="0"/>
              <w:right w:val="single" w:color="auto" w:sz="4" w:space="0"/>
            </w:tcBorders>
            <w:shd w:val="clear" w:color="auto" w:fill="auto"/>
            <w:noWrap/>
            <w:vAlign w:val="center"/>
          </w:tcPr>
          <w:p w14:paraId="3C24E5EC">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3.1</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31AA0A8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765" w:type="dxa"/>
            <w:tcBorders>
              <w:top w:val="nil"/>
              <w:left w:val="nil"/>
              <w:bottom w:val="single" w:color="auto" w:sz="4" w:space="0"/>
              <w:right w:val="single" w:color="auto" w:sz="4" w:space="0"/>
            </w:tcBorders>
            <w:shd w:val="clear" w:color="auto" w:fill="auto"/>
            <w:noWrap/>
            <w:vAlign w:val="center"/>
          </w:tcPr>
          <w:p w14:paraId="0FD283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1C919C8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41E3B5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61B16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773F04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A79D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F638B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3200" w:type="dxa"/>
            <w:tcBorders>
              <w:top w:val="nil"/>
              <w:left w:val="nil"/>
              <w:bottom w:val="single" w:color="auto" w:sz="4" w:space="0"/>
              <w:right w:val="single" w:color="auto" w:sz="4" w:space="0"/>
            </w:tcBorders>
            <w:shd w:val="clear" w:color="auto" w:fill="auto"/>
            <w:noWrap/>
            <w:vAlign w:val="center"/>
          </w:tcPr>
          <w:p w14:paraId="2742E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851" w:type="dxa"/>
            <w:tcBorders>
              <w:top w:val="nil"/>
              <w:left w:val="nil"/>
              <w:bottom w:val="single" w:color="auto" w:sz="4" w:space="0"/>
              <w:right w:val="single" w:color="auto" w:sz="4" w:space="0"/>
            </w:tcBorders>
            <w:shd w:val="clear" w:color="auto" w:fill="auto"/>
            <w:noWrap/>
            <w:vAlign w:val="center"/>
          </w:tcPr>
          <w:p w14:paraId="6881018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1A9A738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765" w:type="dxa"/>
            <w:tcBorders>
              <w:top w:val="nil"/>
              <w:left w:val="nil"/>
              <w:bottom w:val="single" w:color="auto" w:sz="4" w:space="0"/>
              <w:right w:val="single" w:color="auto" w:sz="4" w:space="0"/>
            </w:tcBorders>
            <w:shd w:val="clear" w:color="auto" w:fill="auto"/>
            <w:noWrap/>
            <w:vAlign w:val="center"/>
          </w:tcPr>
          <w:p w14:paraId="4622D6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5D679E3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7DE760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A8C3A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693F9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1B4B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C0F5D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3200" w:type="dxa"/>
            <w:tcBorders>
              <w:top w:val="nil"/>
              <w:left w:val="nil"/>
              <w:bottom w:val="single" w:color="auto" w:sz="4" w:space="0"/>
              <w:right w:val="single" w:color="auto" w:sz="4" w:space="0"/>
            </w:tcBorders>
            <w:shd w:val="clear" w:color="auto" w:fill="auto"/>
            <w:noWrap/>
            <w:vAlign w:val="center"/>
          </w:tcPr>
          <w:p w14:paraId="70ED9F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851" w:type="dxa"/>
            <w:tcBorders>
              <w:top w:val="nil"/>
              <w:left w:val="nil"/>
              <w:bottom w:val="single" w:color="auto" w:sz="4" w:space="0"/>
              <w:right w:val="single" w:color="auto" w:sz="4" w:space="0"/>
            </w:tcBorders>
            <w:shd w:val="clear" w:color="auto" w:fill="auto"/>
            <w:noWrap/>
            <w:vAlign w:val="center"/>
          </w:tcPr>
          <w:p w14:paraId="684D2DE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2842B8E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765" w:type="dxa"/>
            <w:tcBorders>
              <w:top w:val="nil"/>
              <w:left w:val="nil"/>
              <w:bottom w:val="single" w:color="auto" w:sz="4" w:space="0"/>
              <w:right w:val="single" w:color="auto" w:sz="4" w:space="0"/>
            </w:tcBorders>
            <w:shd w:val="clear" w:color="auto" w:fill="auto"/>
            <w:noWrap/>
            <w:vAlign w:val="center"/>
          </w:tcPr>
          <w:p w14:paraId="63AD57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6686E78B">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1.82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6BB98D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F9F3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2BB5CF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2A65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370BD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3200" w:type="dxa"/>
            <w:tcBorders>
              <w:top w:val="nil"/>
              <w:left w:val="nil"/>
              <w:bottom w:val="single" w:color="auto" w:sz="4" w:space="0"/>
              <w:right w:val="single" w:color="auto" w:sz="4" w:space="0"/>
            </w:tcBorders>
            <w:shd w:val="clear" w:color="auto" w:fill="auto"/>
            <w:noWrap/>
            <w:vAlign w:val="center"/>
          </w:tcPr>
          <w:p w14:paraId="5BDD39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851" w:type="dxa"/>
            <w:tcBorders>
              <w:top w:val="nil"/>
              <w:left w:val="nil"/>
              <w:bottom w:val="single" w:color="auto" w:sz="4" w:space="0"/>
              <w:right w:val="single" w:color="auto" w:sz="4" w:space="0"/>
            </w:tcBorders>
            <w:shd w:val="clear" w:color="auto" w:fill="auto"/>
            <w:noWrap/>
            <w:vAlign w:val="center"/>
          </w:tcPr>
          <w:p w14:paraId="473CACF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0108AC9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765" w:type="dxa"/>
            <w:tcBorders>
              <w:top w:val="nil"/>
              <w:left w:val="nil"/>
              <w:bottom w:val="single" w:color="auto" w:sz="4" w:space="0"/>
              <w:right w:val="single" w:color="auto" w:sz="4" w:space="0"/>
            </w:tcBorders>
            <w:shd w:val="clear" w:color="auto" w:fill="auto"/>
            <w:noWrap/>
            <w:vAlign w:val="center"/>
          </w:tcPr>
          <w:p w14:paraId="1C18E3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2192FDA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EBDCE3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8C9AE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EC3F6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32ED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26F27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3200" w:type="dxa"/>
            <w:tcBorders>
              <w:top w:val="nil"/>
              <w:left w:val="nil"/>
              <w:bottom w:val="single" w:color="auto" w:sz="4" w:space="0"/>
              <w:right w:val="single" w:color="auto" w:sz="4" w:space="0"/>
            </w:tcBorders>
            <w:shd w:val="clear" w:color="auto" w:fill="auto"/>
            <w:noWrap/>
            <w:vAlign w:val="center"/>
          </w:tcPr>
          <w:p w14:paraId="220C6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851" w:type="dxa"/>
            <w:tcBorders>
              <w:top w:val="nil"/>
              <w:left w:val="nil"/>
              <w:bottom w:val="single" w:color="auto" w:sz="4" w:space="0"/>
              <w:right w:val="single" w:color="auto" w:sz="4" w:space="0"/>
            </w:tcBorders>
            <w:shd w:val="clear" w:color="auto" w:fill="auto"/>
            <w:noWrap/>
            <w:vAlign w:val="center"/>
          </w:tcPr>
          <w:p w14:paraId="1477E8A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0DF4118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765" w:type="dxa"/>
            <w:tcBorders>
              <w:top w:val="nil"/>
              <w:left w:val="nil"/>
              <w:bottom w:val="single" w:color="auto" w:sz="4" w:space="0"/>
              <w:right w:val="single" w:color="auto" w:sz="4" w:space="0"/>
            </w:tcBorders>
            <w:shd w:val="clear" w:color="auto" w:fill="auto"/>
            <w:noWrap/>
            <w:vAlign w:val="center"/>
          </w:tcPr>
          <w:p w14:paraId="31380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5A826FE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7B817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71E749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0ACDD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B1151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9F4A3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3200" w:type="dxa"/>
            <w:tcBorders>
              <w:top w:val="nil"/>
              <w:left w:val="nil"/>
              <w:bottom w:val="single" w:color="auto" w:sz="4" w:space="0"/>
              <w:right w:val="single" w:color="auto" w:sz="4" w:space="0"/>
            </w:tcBorders>
            <w:shd w:val="clear" w:color="auto" w:fill="auto"/>
            <w:noWrap/>
            <w:vAlign w:val="center"/>
          </w:tcPr>
          <w:p w14:paraId="5EF8EA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851" w:type="dxa"/>
            <w:tcBorders>
              <w:top w:val="nil"/>
              <w:left w:val="nil"/>
              <w:bottom w:val="single" w:color="auto" w:sz="4" w:space="0"/>
              <w:right w:val="single" w:color="auto" w:sz="4" w:space="0"/>
            </w:tcBorders>
            <w:shd w:val="clear" w:color="auto" w:fill="auto"/>
            <w:noWrap/>
            <w:vAlign w:val="center"/>
          </w:tcPr>
          <w:p w14:paraId="7964E20D">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3.1</w:t>
            </w: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3480DDD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765" w:type="dxa"/>
            <w:tcBorders>
              <w:top w:val="nil"/>
              <w:left w:val="nil"/>
              <w:bottom w:val="single" w:color="auto" w:sz="4" w:space="0"/>
              <w:right w:val="single" w:color="auto" w:sz="4" w:space="0"/>
            </w:tcBorders>
            <w:shd w:val="clear" w:color="auto" w:fill="auto"/>
            <w:noWrap/>
            <w:vAlign w:val="center"/>
          </w:tcPr>
          <w:p w14:paraId="1F228A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5CAA622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43652D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59197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D6B00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C20D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5952C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3200" w:type="dxa"/>
            <w:tcBorders>
              <w:top w:val="nil"/>
              <w:left w:val="nil"/>
              <w:bottom w:val="single" w:color="auto" w:sz="4" w:space="0"/>
              <w:right w:val="single" w:color="auto" w:sz="4" w:space="0"/>
            </w:tcBorders>
            <w:shd w:val="clear" w:color="auto" w:fill="auto"/>
            <w:noWrap/>
            <w:vAlign w:val="center"/>
          </w:tcPr>
          <w:p w14:paraId="2480F9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851" w:type="dxa"/>
            <w:tcBorders>
              <w:top w:val="nil"/>
              <w:left w:val="nil"/>
              <w:bottom w:val="single" w:color="auto" w:sz="4" w:space="0"/>
              <w:right w:val="single" w:color="auto" w:sz="4" w:space="0"/>
            </w:tcBorders>
            <w:shd w:val="clear" w:color="auto" w:fill="auto"/>
            <w:noWrap/>
            <w:vAlign w:val="center"/>
          </w:tcPr>
          <w:p w14:paraId="0C991E6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7BD7398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765" w:type="dxa"/>
            <w:tcBorders>
              <w:top w:val="nil"/>
              <w:left w:val="nil"/>
              <w:bottom w:val="single" w:color="auto" w:sz="4" w:space="0"/>
              <w:right w:val="single" w:color="auto" w:sz="4" w:space="0"/>
            </w:tcBorders>
            <w:shd w:val="clear" w:color="auto" w:fill="auto"/>
            <w:noWrap/>
            <w:vAlign w:val="center"/>
          </w:tcPr>
          <w:p w14:paraId="6CFE0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169A1C75">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0.69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11AF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9B4C1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06869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6E53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56F8A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3200" w:type="dxa"/>
            <w:tcBorders>
              <w:top w:val="nil"/>
              <w:left w:val="nil"/>
              <w:bottom w:val="single" w:color="auto" w:sz="4" w:space="0"/>
              <w:right w:val="single" w:color="auto" w:sz="4" w:space="0"/>
            </w:tcBorders>
            <w:shd w:val="clear" w:color="auto" w:fill="auto"/>
            <w:noWrap/>
            <w:vAlign w:val="center"/>
          </w:tcPr>
          <w:p w14:paraId="08D691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851" w:type="dxa"/>
            <w:tcBorders>
              <w:top w:val="nil"/>
              <w:left w:val="nil"/>
              <w:bottom w:val="single" w:color="auto" w:sz="4" w:space="0"/>
              <w:right w:val="single" w:color="auto" w:sz="4" w:space="0"/>
            </w:tcBorders>
            <w:shd w:val="clear" w:color="auto" w:fill="auto"/>
            <w:noWrap/>
            <w:vAlign w:val="center"/>
          </w:tcPr>
          <w:p w14:paraId="2EB97B2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47F5EBF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765" w:type="dxa"/>
            <w:tcBorders>
              <w:top w:val="nil"/>
              <w:left w:val="nil"/>
              <w:bottom w:val="single" w:color="auto" w:sz="4" w:space="0"/>
              <w:right w:val="single" w:color="auto" w:sz="4" w:space="0"/>
            </w:tcBorders>
            <w:shd w:val="clear" w:color="auto" w:fill="auto"/>
            <w:noWrap/>
            <w:vAlign w:val="center"/>
          </w:tcPr>
          <w:p w14:paraId="60783B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007D85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0047A6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C8EF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627A56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736B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6A19D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3200" w:type="dxa"/>
            <w:tcBorders>
              <w:top w:val="nil"/>
              <w:left w:val="nil"/>
              <w:bottom w:val="single" w:color="auto" w:sz="4" w:space="0"/>
              <w:right w:val="single" w:color="auto" w:sz="4" w:space="0"/>
            </w:tcBorders>
            <w:shd w:val="clear" w:color="auto" w:fill="auto"/>
            <w:noWrap/>
            <w:vAlign w:val="center"/>
          </w:tcPr>
          <w:p w14:paraId="109A19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851" w:type="dxa"/>
            <w:tcBorders>
              <w:top w:val="nil"/>
              <w:left w:val="nil"/>
              <w:bottom w:val="single" w:color="auto" w:sz="4" w:space="0"/>
              <w:right w:val="single" w:color="auto" w:sz="4" w:space="0"/>
            </w:tcBorders>
            <w:shd w:val="clear" w:color="auto" w:fill="auto"/>
            <w:noWrap/>
            <w:vAlign w:val="center"/>
          </w:tcPr>
          <w:p w14:paraId="7BE03D6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286DCCB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765" w:type="dxa"/>
            <w:tcBorders>
              <w:top w:val="nil"/>
              <w:left w:val="nil"/>
              <w:bottom w:val="single" w:color="auto" w:sz="4" w:space="0"/>
              <w:right w:val="single" w:color="auto" w:sz="4" w:space="0"/>
            </w:tcBorders>
            <w:shd w:val="clear" w:color="auto" w:fill="auto"/>
            <w:noWrap/>
            <w:vAlign w:val="center"/>
          </w:tcPr>
          <w:p w14:paraId="553610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5268886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6.96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4DD55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4F18F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DEB5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80C1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1B4D7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3200" w:type="dxa"/>
            <w:tcBorders>
              <w:top w:val="nil"/>
              <w:left w:val="nil"/>
              <w:bottom w:val="single" w:color="auto" w:sz="4" w:space="0"/>
              <w:right w:val="single" w:color="auto" w:sz="4" w:space="0"/>
            </w:tcBorders>
            <w:shd w:val="clear" w:color="auto" w:fill="auto"/>
            <w:noWrap/>
            <w:vAlign w:val="center"/>
          </w:tcPr>
          <w:p w14:paraId="24C7F3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851" w:type="dxa"/>
            <w:tcBorders>
              <w:top w:val="nil"/>
              <w:left w:val="nil"/>
              <w:bottom w:val="single" w:color="auto" w:sz="4" w:space="0"/>
              <w:right w:val="single" w:color="auto" w:sz="4" w:space="0"/>
            </w:tcBorders>
            <w:shd w:val="clear" w:color="auto" w:fill="auto"/>
            <w:noWrap/>
            <w:vAlign w:val="center"/>
          </w:tcPr>
          <w:p w14:paraId="37E2D3B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027F9A9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765" w:type="dxa"/>
            <w:tcBorders>
              <w:top w:val="nil"/>
              <w:left w:val="nil"/>
              <w:bottom w:val="single" w:color="auto" w:sz="4" w:space="0"/>
              <w:right w:val="single" w:color="auto" w:sz="4" w:space="0"/>
            </w:tcBorders>
            <w:shd w:val="clear" w:color="auto" w:fill="auto"/>
            <w:noWrap/>
            <w:vAlign w:val="center"/>
          </w:tcPr>
          <w:p w14:paraId="4CBF12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3BF270F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5.67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DE836F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E7718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65DDAC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5074CB26">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F0F82A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8BE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48EEBCE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481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7BC1449">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48AA41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80E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6B75ABA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DC4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51EFC750">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3A29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EE595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D46A1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3200" w:type="dxa"/>
            <w:tcBorders>
              <w:top w:val="nil"/>
              <w:left w:val="nil"/>
              <w:bottom w:val="single" w:color="auto" w:sz="4" w:space="0"/>
              <w:right w:val="single" w:color="auto" w:sz="4" w:space="0"/>
            </w:tcBorders>
            <w:shd w:val="clear" w:color="auto" w:fill="auto"/>
            <w:noWrap/>
            <w:vAlign w:val="center"/>
          </w:tcPr>
          <w:p w14:paraId="5CA6EA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851" w:type="dxa"/>
            <w:tcBorders>
              <w:top w:val="nil"/>
              <w:left w:val="nil"/>
              <w:bottom w:val="single" w:color="auto" w:sz="4" w:space="0"/>
              <w:right w:val="single" w:color="auto" w:sz="4" w:space="0"/>
            </w:tcBorders>
            <w:shd w:val="clear" w:color="auto" w:fill="auto"/>
            <w:noWrap/>
            <w:vAlign w:val="center"/>
          </w:tcPr>
          <w:p w14:paraId="2940D39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39A1F9D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765" w:type="dxa"/>
            <w:tcBorders>
              <w:top w:val="nil"/>
              <w:left w:val="nil"/>
              <w:bottom w:val="single" w:color="auto" w:sz="4" w:space="0"/>
              <w:right w:val="single" w:color="auto" w:sz="4" w:space="0"/>
            </w:tcBorders>
            <w:shd w:val="clear" w:color="auto" w:fill="auto"/>
            <w:noWrap/>
            <w:vAlign w:val="center"/>
          </w:tcPr>
          <w:p w14:paraId="6986A6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D33176A">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4.01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51DC2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A80EC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C7E3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F8E1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5E08C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3200" w:type="dxa"/>
            <w:tcBorders>
              <w:top w:val="nil"/>
              <w:left w:val="nil"/>
              <w:bottom w:val="single" w:color="auto" w:sz="4" w:space="0"/>
              <w:right w:val="single" w:color="auto" w:sz="4" w:space="0"/>
            </w:tcBorders>
            <w:shd w:val="clear" w:color="auto" w:fill="auto"/>
            <w:noWrap/>
            <w:vAlign w:val="center"/>
          </w:tcPr>
          <w:p w14:paraId="71C2F4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851" w:type="dxa"/>
            <w:tcBorders>
              <w:top w:val="nil"/>
              <w:left w:val="nil"/>
              <w:bottom w:val="single" w:color="auto" w:sz="4" w:space="0"/>
              <w:right w:val="single" w:color="auto" w:sz="4" w:space="0"/>
            </w:tcBorders>
            <w:shd w:val="clear" w:color="auto" w:fill="auto"/>
            <w:noWrap/>
            <w:vAlign w:val="center"/>
          </w:tcPr>
          <w:p w14:paraId="638BC0F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3268BAC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765" w:type="dxa"/>
            <w:tcBorders>
              <w:top w:val="nil"/>
              <w:left w:val="nil"/>
              <w:bottom w:val="single" w:color="auto" w:sz="4" w:space="0"/>
              <w:right w:val="single" w:color="auto" w:sz="4" w:space="0"/>
            </w:tcBorders>
            <w:shd w:val="clear" w:color="auto" w:fill="auto"/>
            <w:noWrap/>
            <w:vAlign w:val="center"/>
          </w:tcPr>
          <w:p w14:paraId="047C9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8ECE37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16BA4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162B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5172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7724A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44092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3200" w:type="dxa"/>
            <w:tcBorders>
              <w:top w:val="nil"/>
              <w:left w:val="nil"/>
              <w:bottom w:val="single" w:color="auto" w:sz="4" w:space="0"/>
              <w:right w:val="single" w:color="auto" w:sz="4" w:space="0"/>
            </w:tcBorders>
            <w:shd w:val="clear" w:color="auto" w:fill="auto"/>
            <w:noWrap/>
            <w:vAlign w:val="center"/>
          </w:tcPr>
          <w:p w14:paraId="583726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851" w:type="dxa"/>
            <w:tcBorders>
              <w:top w:val="nil"/>
              <w:left w:val="nil"/>
              <w:bottom w:val="single" w:color="auto" w:sz="4" w:space="0"/>
              <w:right w:val="single" w:color="auto" w:sz="4" w:space="0"/>
            </w:tcBorders>
            <w:shd w:val="clear" w:color="auto" w:fill="auto"/>
            <w:noWrap/>
            <w:vAlign w:val="center"/>
          </w:tcPr>
          <w:p w14:paraId="75B2CF6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2D0020E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765" w:type="dxa"/>
            <w:tcBorders>
              <w:top w:val="nil"/>
              <w:left w:val="nil"/>
              <w:bottom w:val="single" w:color="auto" w:sz="4" w:space="0"/>
              <w:right w:val="single" w:color="auto" w:sz="4" w:space="0"/>
            </w:tcBorders>
            <w:shd w:val="clear" w:color="auto" w:fill="auto"/>
            <w:noWrap/>
            <w:vAlign w:val="center"/>
          </w:tcPr>
          <w:p w14:paraId="1430BA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7141A4B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D8754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CD5D8E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BFEA5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876D1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8688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3200" w:type="dxa"/>
            <w:tcBorders>
              <w:top w:val="nil"/>
              <w:left w:val="nil"/>
              <w:bottom w:val="single" w:color="auto" w:sz="4" w:space="0"/>
              <w:right w:val="single" w:color="auto" w:sz="4" w:space="0"/>
            </w:tcBorders>
            <w:shd w:val="clear" w:color="auto" w:fill="auto"/>
            <w:noWrap/>
            <w:vAlign w:val="center"/>
          </w:tcPr>
          <w:p w14:paraId="582D1F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189BBF8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34" w:type="dxa"/>
            <w:tcBorders>
              <w:top w:val="nil"/>
              <w:left w:val="nil"/>
              <w:bottom w:val="single" w:color="auto" w:sz="4" w:space="0"/>
              <w:right w:val="single" w:color="auto" w:sz="4" w:space="0"/>
            </w:tcBorders>
            <w:shd w:val="clear" w:color="auto" w:fill="auto"/>
            <w:noWrap/>
            <w:vAlign w:val="center"/>
          </w:tcPr>
          <w:p w14:paraId="2D7A60E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765" w:type="dxa"/>
            <w:tcBorders>
              <w:top w:val="nil"/>
              <w:left w:val="nil"/>
              <w:bottom w:val="single" w:color="auto" w:sz="4" w:space="0"/>
              <w:right w:val="single" w:color="auto" w:sz="4" w:space="0"/>
            </w:tcBorders>
            <w:shd w:val="clear" w:color="auto" w:fill="auto"/>
            <w:noWrap/>
            <w:vAlign w:val="center"/>
          </w:tcPr>
          <w:p w14:paraId="56F6F9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D05F7D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0.90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F8E53D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615DD7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8AF63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D1AE048">
        <w:tblPrEx>
          <w:tblCellMar>
            <w:top w:w="0" w:type="dxa"/>
            <w:left w:w="108" w:type="dxa"/>
            <w:bottom w:w="0" w:type="dxa"/>
            <w:right w:w="108" w:type="dxa"/>
          </w:tblCellMar>
        </w:tblPrEx>
        <w:trPr>
          <w:trHeight w:val="317" w:hRule="exact"/>
          <w:jc w:val="center"/>
        </w:trPr>
        <w:tc>
          <w:tcPr>
            <w:tcW w:w="428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2953F0">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851" w:type="dxa"/>
            <w:tcBorders>
              <w:top w:val="nil"/>
              <w:left w:val="nil"/>
              <w:bottom w:val="single" w:color="auto" w:sz="4" w:space="0"/>
              <w:right w:val="single" w:color="auto" w:sz="4" w:space="0"/>
            </w:tcBorders>
            <w:shd w:val="clear" w:color="auto" w:fill="auto"/>
            <w:noWrap/>
            <w:vAlign w:val="center"/>
          </w:tcPr>
          <w:p w14:paraId="5BE0B868">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227.13</w:t>
            </w:r>
            <w:r>
              <w:rPr>
                <w:rFonts w:ascii="Times New Roman" w:hAnsi="Times New Roman" w:eastAsia="仿宋_GB2312" w:cs="Times New Roman"/>
                <w:color w:val="000000"/>
                <w:kern w:val="0"/>
                <w:szCs w:val="20"/>
              </w:rPr>
              <w:t>　</w:t>
            </w:r>
          </w:p>
        </w:tc>
        <w:tc>
          <w:tcPr>
            <w:tcW w:w="8566" w:type="dxa"/>
            <w:gridSpan w:val="5"/>
            <w:tcBorders>
              <w:top w:val="single" w:color="auto" w:sz="4" w:space="0"/>
              <w:left w:val="nil"/>
              <w:bottom w:val="single" w:color="auto" w:sz="4" w:space="0"/>
              <w:right w:val="single" w:color="auto" w:sz="4" w:space="0"/>
            </w:tcBorders>
            <w:shd w:val="clear" w:color="auto" w:fill="auto"/>
            <w:noWrap/>
            <w:vAlign w:val="center"/>
          </w:tcPr>
          <w:p w14:paraId="64E1618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61FA635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29.97</w:t>
            </w:r>
          </w:p>
        </w:tc>
      </w:tr>
    </w:tbl>
    <w:p w14:paraId="46D452BD">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4D6AF4B">
      <w:pPr>
        <w:widowControl/>
        <w:spacing w:line="400" w:lineRule="exact"/>
        <w:jc w:val="center"/>
        <w:textAlignment w:val="center"/>
        <w:rPr>
          <w:rFonts w:ascii="Times New Roman" w:hAnsi="Times New Roman" w:eastAsia="仿宋_GB2312" w:cs="Times New Roman"/>
          <w:color w:val="000000"/>
          <w:kern w:val="0"/>
          <w:sz w:val="32"/>
          <w:szCs w:val="32"/>
        </w:rPr>
      </w:pPr>
    </w:p>
    <w:p w14:paraId="76DF80E3">
      <w:pPr>
        <w:widowControl/>
        <w:jc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DAC11C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EF66BE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C6424A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2F1A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C64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D04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2814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0EE5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44277F4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F51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92B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7E5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ED6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5583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DEB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61B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F6F52">
            <w:pPr>
              <w:widowControl/>
              <w:jc w:val="center"/>
              <w:rPr>
                <w:rFonts w:ascii="Times New Roman" w:hAnsi="Times New Roman" w:eastAsia="仿宋_GB2312" w:cs="Times New Roman"/>
                <w:color w:val="000000"/>
                <w:sz w:val="24"/>
                <w:szCs w:val="24"/>
              </w:rPr>
            </w:pPr>
          </w:p>
        </w:tc>
      </w:tr>
      <w:tr w14:paraId="0BD9B8F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B74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F4E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E7A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2B1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662A">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B87B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3E3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5029">
            <w:pPr>
              <w:jc w:val="center"/>
              <w:rPr>
                <w:rFonts w:ascii="Times New Roman" w:hAnsi="Times New Roman" w:eastAsia="仿宋_GB2312" w:cs="Times New Roman"/>
                <w:color w:val="000000"/>
                <w:sz w:val="24"/>
                <w:szCs w:val="24"/>
              </w:rPr>
            </w:pPr>
          </w:p>
        </w:tc>
      </w:tr>
      <w:tr w14:paraId="5D4C272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185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F343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C83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6120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57E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869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5EB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8C3F">
            <w:pPr>
              <w:jc w:val="center"/>
              <w:rPr>
                <w:rFonts w:ascii="Times New Roman" w:hAnsi="Times New Roman" w:eastAsia="仿宋_GB2312" w:cs="Times New Roman"/>
                <w:color w:val="000000"/>
                <w:sz w:val="24"/>
                <w:szCs w:val="24"/>
              </w:rPr>
            </w:pPr>
          </w:p>
        </w:tc>
      </w:tr>
      <w:tr w14:paraId="192C2F4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558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E0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41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8F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B8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57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E3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2CFED1D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AD6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135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609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6E8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28A9">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8F1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4585">
            <w:pPr>
              <w:jc w:val="center"/>
              <w:rPr>
                <w:rFonts w:ascii="Times New Roman" w:hAnsi="Times New Roman" w:eastAsia="仿宋_GB2312" w:cs="Times New Roman"/>
                <w:color w:val="000000"/>
                <w:sz w:val="24"/>
                <w:szCs w:val="24"/>
              </w:rPr>
            </w:pPr>
          </w:p>
        </w:tc>
      </w:tr>
      <w:tr w14:paraId="4483DBF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288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C74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C84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1C1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6EA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58F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B2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E140">
            <w:pPr>
              <w:rPr>
                <w:rFonts w:ascii="Times New Roman" w:hAnsi="Times New Roman" w:eastAsia="仿宋_GB2312" w:cs="Times New Roman"/>
                <w:color w:val="000000"/>
                <w:sz w:val="24"/>
                <w:szCs w:val="24"/>
              </w:rPr>
            </w:pPr>
          </w:p>
        </w:tc>
      </w:tr>
      <w:tr w14:paraId="072DE47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AE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50A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578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4FF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E24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27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993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28CE">
            <w:pPr>
              <w:rPr>
                <w:rFonts w:ascii="Times New Roman" w:hAnsi="Times New Roman" w:eastAsia="仿宋_GB2312" w:cs="Times New Roman"/>
                <w:color w:val="000000"/>
                <w:sz w:val="24"/>
                <w:szCs w:val="24"/>
              </w:rPr>
            </w:pPr>
          </w:p>
        </w:tc>
      </w:tr>
      <w:tr w14:paraId="1B6ACD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5EA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843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1D5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985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004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7C7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95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4C69">
            <w:pPr>
              <w:rPr>
                <w:rFonts w:ascii="Times New Roman" w:hAnsi="Times New Roman" w:eastAsia="仿宋_GB2312" w:cs="Times New Roman"/>
                <w:color w:val="000000"/>
                <w:sz w:val="24"/>
                <w:szCs w:val="24"/>
              </w:rPr>
            </w:pPr>
          </w:p>
        </w:tc>
      </w:tr>
      <w:tr w14:paraId="299934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8E1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67E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469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38F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2EE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4C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C62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0EE2">
            <w:pPr>
              <w:rPr>
                <w:rFonts w:ascii="Times New Roman" w:hAnsi="Times New Roman" w:eastAsia="仿宋_GB2312" w:cs="Times New Roman"/>
                <w:color w:val="000000"/>
                <w:sz w:val="24"/>
                <w:szCs w:val="24"/>
              </w:rPr>
            </w:pPr>
          </w:p>
        </w:tc>
      </w:tr>
      <w:tr w14:paraId="61DF792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324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5CD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3E2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0FF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A52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1D3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C9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172C">
            <w:pPr>
              <w:rPr>
                <w:rFonts w:ascii="Times New Roman" w:hAnsi="Times New Roman" w:eastAsia="仿宋_GB2312" w:cs="Times New Roman"/>
                <w:color w:val="000000"/>
                <w:sz w:val="24"/>
                <w:szCs w:val="24"/>
              </w:rPr>
            </w:pPr>
          </w:p>
        </w:tc>
      </w:tr>
      <w:tr w14:paraId="0BEC517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722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6C9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FE3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6EC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951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F0A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487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995C">
            <w:pPr>
              <w:rPr>
                <w:rFonts w:ascii="Times New Roman" w:hAnsi="Times New Roman" w:eastAsia="仿宋_GB2312" w:cs="Times New Roman"/>
                <w:color w:val="000000"/>
                <w:sz w:val="24"/>
                <w:szCs w:val="24"/>
              </w:rPr>
            </w:pPr>
          </w:p>
        </w:tc>
      </w:tr>
    </w:tbl>
    <w:p w14:paraId="2EA99837">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0CC47A67">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01F28693">
      <w:pP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br w:type="page"/>
      </w:r>
    </w:p>
    <w:p w14:paraId="47FC650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41AF44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72FCC89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14:paraId="7CED6470">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6B7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0"/>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9B1A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1C70B2B">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BD5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EFBB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986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4425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B83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54AF62E1">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DC36">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B283">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C142B">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28C77">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20345">
            <w:pPr>
              <w:jc w:val="center"/>
              <w:rPr>
                <w:rFonts w:ascii="Times New Roman" w:hAnsi="Times New Roman" w:eastAsia="仿宋_GB2312" w:cs="Times New Roman"/>
                <w:color w:val="000000"/>
                <w:sz w:val="24"/>
                <w:szCs w:val="24"/>
              </w:rPr>
            </w:pPr>
          </w:p>
        </w:tc>
      </w:tr>
      <w:tr w14:paraId="1E7140BD">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FCA4">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2EB26">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FBB87">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0365">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C2876">
            <w:pPr>
              <w:jc w:val="center"/>
              <w:rPr>
                <w:rFonts w:ascii="Times New Roman" w:hAnsi="Times New Roman" w:eastAsia="仿宋_GB2312" w:cs="Times New Roman"/>
                <w:color w:val="000000"/>
                <w:sz w:val="24"/>
                <w:szCs w:val="24"/>
              </w:rPr>
            </w:pPr>
          </w:p>
        </w:tc>
      </w:tr>
      <w:tr w14:paraId="5F68611A">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D8F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7C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34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1B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490A99EB">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437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47E6">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40F4">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0.00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1F6D">
            <w:pPr>
              <w:jc w:val="center"/>
              <w:rPr>
                <w:rFonts w:ascii="Times New Roman" w:hAnsi="Times New Roman" w:eastAsia="仿宋_GB2312" w:cs="Times New Roman"/>
                <w:color w:val="000000"/>
                <w:sz w:val="24"/>
                <w:szCs w:val="24"/>
              </w:rPr>
            </w:pPr>
          </w:p>
        </w:tc>
      </w:tr>
      <w:tr w14:paraId="701DEAB6">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1D69">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C7B2">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3DAD">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D53D">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D485">
            <w:pPr>
              <w:rPr>
                <w:rFonts w:ascii="Times New Roman" w:hAnsi="Times New Roman" w:eastAsia="仿宋_GB2312" w:cs="Times New Roman"/>
                <w:color w:val="000000"/>
                <w:sz w:val="24"/>
                <w:szCs w:val="24"/>
              </w:rPr>
            </w:pPr>
          </w:p>
        </w:tc>
      </w:tr>
      <w:tr w14:paraId="5D9D8E68">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EB4A">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51B6">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2C89">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1B89">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013C">
            <w:pPr>
              <w:rPr>
                <w:rFonts w:ascii="Times New Roman" w:hAnsi="Times New Roman" w:eastAsia="仿宋_GB2312" w:cs="Times New Roman"/>
                <w:color w:val="000000"/>
                <w:sz w:val="24"/>
                <w:szCs w:val="24"/>
              </w:rPr>
            </w:pPr>
          </w:p>
        </w:tc>
      </w:tr>
      <w:tr w14:paraId="08DBAFCA">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0501">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57CE">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0938">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08C1">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517">
            <w:pPr>
              <w:rPr>
                <w:rFonts w:ascii="Times New Roman" w:hAnsi="Times New Roman" w:eastAsia="宋体" w:cs="Times New Roman"/>
                <w:color w:val="000000"/>
                <w:sz w:val="24"/>
                <w:szCs w:val="24"/>
              </w:rPr>
            </w:pPr>
          </w:p>
        </w:tc>
      </w:tr>
      <w:tr w14:paraId="699AB294">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660">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6F87">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FC68">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4B03">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9DB6">
            <w:pPr>
              <w:rPr>
                <w:rFonts w:ascii="Times New Roman" w:hAnsi="Times New Roman" w:eastAsia="宋体" w:cs="Times New Roman"/>
                <w:color w:val="000000"/>
                <w:sz w:val="24"/>
                <w:szCs w:val="24"/>
              </w:rPr>
            </w:pPr>
          </w:p>
        </w:tc>
      </w:tr>
      <w:tr w14:paraId="4DE24579">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524E">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2039">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9F73">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6303">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D47A">
            <w:pPr>
              <w:rPr>
                <w:rFonts w:ascii="Times New Roman" w:hAnsi="Times New Roman" w:eastAsia="宋体" w:cs="Times New Roman"/>
                <w:color w:val="000000"/>
                <w:sz w:val="24"/>
                <w:szCs w:val="24"/>
              </w:rPr>
            </w:pPr>
          </w:p>
        </w:tc>
      </w:tr>
      <w:tr w14:paraId="5177B363">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2CE4">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BAE">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4773">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5C5C">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8EED">
            <w:pPr>
              <w:rPr>
                <w:rFonts w:ascii="Times New Roman" w:hAnsi="Times New Roman" w:eastAsia="宋体" w:cs="Times New Roman"/>
                <w:color w:val="000000"/>
                <w:sz w:val="24"/>
                <w:szCs w:val="24"/>
              </w:rPr>
            </w:pPr>
          </w:p>
        </w:tc>
      </w:tr>
    </w:tbl>
    <w:p w14:paraId="5518A4C9">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761CAE1D">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3419BC5">
      <w:pPr>
        <w:widowControl/>
        <w:jc w:val="center"/>
        <w:rPr>
          <w:rFonts w:ascii="Times New Roman" w:hAnsi="Times New Roman" w:eastAsia="方正小标宋_GBK" w:cs="Times New Roman"/>
          <w:color w:val="000000"/>
          <w:kern w:val="0"/>
          <w:sz w:val="36"/>
          <w:szCs w:val="36"/>
        </w:rPr>
      </w:pPr>
    </w:p>
    <w:p w14:paraId="54A8F172">
      <w:pPr>
        <w:pStyle w:val="2"/>
        <w:spacing w:line="400" w:lineRule="exact"/>
        <w:rPr>
          <w:rFonts w:ascii="Times New Roman" w:hAnsi="Times New Roman" w:eastAsia="华文中宋" w:cs="Times New Roman"/>
          <w:color w:val="000000"/>
          <w:kern w:val="0"/>
          <w:sz w:val="32"/>
          <w:szCs w:val="32"/>
        </w:rPr>
      </w:pPr>
    </w:p>
    <w:p w14:paraId="5ED9B8C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78D91C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E3D28F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1"/>
        <w:tblW w:w="14544" w:type="dxa"/>
        <w:jc w:val="center"/>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14:paraId="650357C9">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7B7C1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5B95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6D584FCD">
        <w:tblPrEx>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5A8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71B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78C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C680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7F1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AB2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8AE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950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393A4FFC">
        <w:tblPrEx>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CEE1F">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2737">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872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3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7E4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AC385">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9CE8">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64FB">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F1B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681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736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6EF3">
            <w:pPr>
              <w:jc w:val="center"/>
              <w:rPr>
                <w:rFonts w:ascii="Times New Roman" w:hAnsi="Times New Roman" w:eastAsia="仿宋_GB2312" w:cs="Times New Roman"/>
                <w:color w:val="000000"/>
                <w:sz w:val="22"/>
              </w:rPr>
            </w:pPr>
          </w:p>
        </w:tc>
      </w:tr>
      <w:tr w14:paraId="23688509">
        <w:tblPrEx>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11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F2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36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80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E6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E5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4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84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48C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5F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BA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F9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7F47FB94">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840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6.20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0D8">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C79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4.01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9EF1">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CCB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4.01</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436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2.19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032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5.82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8F55">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FE1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4.01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F028">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416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4.01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464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1.81</w:t>
            </w:r>
          </w:p>
        </w:tc>
      </w:tr>
    </w:tbl>
    <w:p w14:paraId="373A1AFE">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4C6EC43">
      <w:pPr>
        <w:autoSpaceDE w:val="0"/>
        <w:autoSpaceDN w:val="0"/>
        <w:adjustRightInd w:val="0"/>
        <w:ind w:left="315" w:leftChars="150"/>
        <w:jc w:val="left"/>
        <w:rPr>
          <w:rFonts w:ascii="Times New Roman" w:hAnsi="Times New Roman" w:eastAsia="宋体" w:cs="Times New Roman"/>
          <w:kern w:val="0"/>
          <w:sz w:val="24"/>
          <w:szCs w:val="24"/>
        </w:rPr>
      </w:pPr>
    </w:p>
    <w:p w14:paraId="54A8A79A">
      <w:pPr>
        <w:autoSpaceDE w:val="0"/>
        <w:autoSpaceDN w:val="0"/>
        <w:adjustRightInd w:val="0"/>
        <w:ind w:left="315" w:leftChars="150"/>
        <w:jc w:val="left"/>
        <w:rPr>
          <w:rFonts w:ascii="Times New Roman" w:hAnsi="Times New Roman" w:eastAsia="宋体" w:cs="Times New Roman"/>
          <w:kern w:val="0"/>
          <w:sz w:val="24"/>
          <w:szCs w:val="24"/>
        </w:rPr>
      </w:pPr>
    </w:p>
    <w:p w14:paraId="61A5A5CF">
      <w:pPr>
        <w:autoSpaceDE w:val="0"/>
        <w:autoSpaceDN w:val="0"/>
        <w:adjustRightInd w:val="0"/>
        <w:ind w:left="315" w:leftChars="150"/>
        <w:jc w:val="left"/>
        <w:rPr>
          <w:rFonts w:ascii="Times New Roman" w:hAnsi="Times New Roman" w:eastAsia="宋体" w:cs="Times New Roman"/>
          <w:kern w:val="0"/>
          <w:sz w:val="24"/>
          <w:szCs w:val="24"/>
        </w:rPr>
      </w:pPr>
    </w:p>
    <w:p w14:paraId="35F7DFB1">
      <w:pPr>
        <w:autoSpaceDE w:val="0"/>
        <w:autoSpaceDN w:val="0"/>
        <w:adjustRightInd w:val="0"/>
        <w:ind w:left="315" w:leftChars="150"/>
        <w:jc w:val="left"/>
        <w:rPr>
          <w:rFonts w:ascii="Times New Roman" w:hAnsi="Times New Roman" w:eastAsia="宋体" w:cs="Times New Roman"/>
          <w:kern w:val="0"/>
          <w:sz w:val="24"/>
          <w:szCs w:val="24"/>
        </w:rPr>
      </w:pPr>
    </w:p>
    <w:p w14:paraId="6A7E1319">
      <w:pPr>
        <w:autoSpaceDE w:val="0"/>
        <w:autoSpaceDN w:val="0"/>
        <w:adjustRightInd w:val="0"/>
        <w:ind w:left="315" w:leftChars="150"/>
        <w:jc w:val="left"/>
        <w:rPr>
          <w:rFonts w:ascii="Times New Roman" w:hAnsi="Times New Roman" w:eastAsia="宋体" w:cs="Times New Roman"/>
          <w:kern w:val="0"/>
          <w:sz w:val="24"/>
          <w:szCs w:val="24"/>
        </w:rPr>
      </w:pPr>
    </w:p>
    <w:p w14:paraId="323CB3F8">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D025CFC">
      <w:pPr>
        <w:pStyle w:val="15"/>
        <w:rPr>
          <w:rFonts w:ascii="Times New Roman" w:hAnsi="Times New Roman" w:cs="Times New Roman"/>
          <w:sz w:val="72"/>
          <w:szCs w:val="72"/>
        </w:rPr>
      </w:pPr>
    </w:p>
    <w:p w14:paraId="54E35742">
      <w:pPr>
        <w:pStyle w:val="15"/>
        <w:rPr>
          <w:rFonts w:ascii="Times New Roman" w:hAnsi="Times New Roman" w:cs="Times New Roman"/>
          <w:sz w:val="72"/>
          <w:szCs w:val="72"/>
        </w:rPr>
      </w:pPr>
    </w:p>
    <w:p w14:paraId="567F95E3">
      <w:pPr>
        <w:pStyle w:val="15"/>
        <w:rPr>
          <w:rFonts w:ascii="Times New Roman" w:hAnsi="Times New Roman" w:cs="Times New Roman"/>
          <w:sz w:val="72"/>
          <w:szCs w:val="72"/>
        </w:rPr>
      </w:pPr>
    </w:p>
    <w:p w14:paraId="7D211EED">
      <w:pPr>
        <w:pStyle w:val="15"/>
        <w:jc w:val="center"/>
        <w:rPr>
          <w:rFonts w:ascii="Times New Roman" w:hAnsi="Times New Roman" w:cs="Times New Roman"/>
          <w:sz w:val="72"/>
          <w:szCs w:val="72"/>
        </w:rPr>
      </w:pPr>
    </w:p>
    <w:p w14:paraId="3A3B8A50">
      <w:pPr>
        <w:pStyle w:val="15"/>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第三部分</w:t>
      </w:r>
    </w:p>
    <w:p w14:paraId="095E9BAB">
      <w:pPr>
        <w:pStyle w:val="15"/>
        <w:spacing w:line="360" w:lineRule="auto"/>
        <w:jc w:val="center"/>
        <w:rPr>
          <w:rFonts w:ascii="Times New Roman" w:hAnsi="Times New Roman" w:eastAsia="方正小标宋_GBK" w:cs="Times New Roman"/>
          <w:sz w:val="84"/>
          <w:szCs w:val="84"/>
        </w:rPr>
      </w:pPr>
    </w:p>
    <w:p w14:paraId="662DBDC2">
      <w:pPr>
        <w:pStyle w:val="15"/>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2024年度部门决算情况说明</w:t>
      </w:r>
    </w:p>
    <w:p w14:paraId="12AECFE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3D90E0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261F470">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2024年度收、支总计</w:t>
      </w:r>
      <w:r>
        <w:rPr>
          <w:rFonts w:hint="eastAsia" w:ascii="仿宋" w:hAnsi="仿宋" w:eastAsia="仿宋" w:cs="Times New Roman"/>
          <w:sz w:val="32"/>
          <w:szCs w:val="32"/>
        </w:rPr>
        <w:t>1116.83</w:t>
      </w:r>
      <w:r>
        <w:rPr>
          <w:rFonts w:ascii="仿宋" w:hAnsi="仿宋" w:eastAsia="仿宋" w:cs="Times New Roman"/>
          <w:sz w:val="32"/>
          <w:szCs w:val="32"/>
        </w:rPr>
        <w:t>万元。与上年相比，增加</w:t>
      </w:r>
      <w:r>
        <w:rPr>
          <w:rFonts w:hint="eastAsia" w:ascii="仿宋" w:hAnsi="仿宋" w:eastAsia="仿宋" w:cs="仿宋"/>
          <w:sz w:val="32"/>
          <w:szCs w:val="32"/>
        </w:rPr>
        <w:t>130.78</w:t>
      </w:r>
      <w:r>
        <w:rPr>
          <w:rFonts w:ascii="仿宋" w:hAnsi="仿宋" w:eastAsia="仿宋" w:cs="Times New Roman"/>
          <w:sz w:val="32"/>
          <w:szCs w:val="32"/>
        </w:rPr>
        <w:t>万元，增长</w:t>
      </w:r>
      <w:r>
        <w:rPr>
          <w:rFonts w:hint="eastAsia" w:ascii="仿宋" w:hAnsi="仿宋" w:eastAsia="仿宋" w:cs="Times New Roman"/>
          <w:sz w:val="32"/>
          <w:szCs w:val="32"/>
        </w:rPr>
        <w:t>13.26</w:t>
      </w:r>
      <w:r>
        <w:rPr>
          <w:rFonts w:ascii="仿宋" w:hAnsi="仿宋" w:eastAsia="仿宋" w:cs="Times New Roman"/>
          <w:sz w:val="32"/>
          <w:szCs w:val="32"/>
        </w:rPr>
        <w:t>%，主要是因为</w:t>
      </w:r>
      <w:r>
        <w:rPr>
          <w:rFonts w:hint="eastAsia" w:ascii="仿宋" w:hAnsi="仿宋" w:eastAsia="仿宋" w:cs="仿宋"/>
          <w:sz w:val="32"/>
          <w:szCs w:val="32"/>
        </w:rPr>
        <w:t>项目资金和单位人员的增加。</w:t>
      </w:r>
    </w:p>
    <w:p w14:paraId="2B39873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FBEBE6C">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2024年度收入合计</w:t>
      </w:r>
      <w:r>
        <w:rPr>
          <w:rFonts w:hint="eastAsia" w:ascii="仿宋" w:hAnsi="仿宋" w:eastAsia="仿宋" w:cs="Times New Roman"/>
          <w:sz w:val="32"/>
          <w:szCs w:val="32"/>
        </w:rPr>
        <w:t>1116.83</w:t>
      </w:r>
      <w:r>
        <w:rPr>
          <w:rFonts w:ascii="仿宋" w:hAnsi="仿宋" w:eastAsia="仿宋" w:cs="Times New Roman"/>
          <w:sz w:val="32"/>
          <w:szCs w:val="32"/>
        </w:rPr>
        <w:t>万元，其中：财政拨款收入</w:t>
      </w:r>
      <w:r>
        <w:rPr>
          <w:rFonts w:hint="eastAsia" w:ascii="仿宋" w:hAnsi="仿宋" w:eastAsia="仿宋" w:cs="Times New Roman"/>
          <w:sz w:val="32"/>
          <w:szCs w:val="32"/>
        </w:rPr>
        <w:t>296.10</w:t>
      </w:r>
      <w:r>
        <w:rPr>
          <w:rFonts w:ascii="仿宋" w:hAnsi="仿宋" w:eastAsia="仿宋" w:cs="Times New Roman"/>
          <w:sz w:val="32"/>
          <w:szCs w:val="32"/>
        </w:rPr>
        <w:t>万元，占</w:t>
      </w:r>
      <w:r>
        <w:rPr>
          <w:rFonts w:hint="eastAsia" w:ascii="仿宋" w:hAnsi="仿宋" w:eastAsia="仿宋" w:cs="Times New Roman"/>
          <w:sz w:val="32"/>
          <w:szCs w:val="32"/>
        </w:rPr>
        <w:t>26.51</w:t>
      </w:r>
      <w:r>
        <w:rPr>
          <w:rFonts w:ascii="仿宋" w:hAnsi="仿宋" w:eastAsia="仿宋" w:cs="Times New Roman"/>
          <w:sz w:val="32"/>
          <w:szCs w:val="32"/>
        </w:rPr>
        <w:t>%；上级补助收入</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%；事业收入</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%；经营收入</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%；附属单位上缴收入</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%；其他收入</w:t>
      </w:r>
      <w:r>
        <w:rPr>
          <w:rFonts w:hint="eastAsia" w:ascii="仿宋" w:hAnsi="仿宋" w:eastAsia="仿宋" w:cs="Times New Roman"/>
          <w:sz w:val="32"/>
          <w:szCs w:val="32"/>
        </w:rPr>
        <w:t>820.73</w:t>
      </w:r>
      <w:r>
        <w:rPr>
          <w:rFonts w:ascii="仿宋" w:hAnsi="仿宋" w:eastAsia="仿宋" w:cs="Times New Roman"/>
          <w:sz w:val="32"/>
          <w:szCs w:val="32"/>
        </w:rPr>
        <w:t>万元，占</w:t>
      </w:r>
      <w:r>
        <w:rPr>
          <w:rFonts w:hint="eastAsia" w:ascii="仿宋" w:hAnsi="仿宋" w:eastAsia="仿宋" w:cs="Times New Roman"/>
          <w:sz w:val="32"/>
          <w:szCs w:val="32"/>
        </w:rPr>
        <w:t>73.49</w:t>
      </w:r>
      <w:r>
        <w:rPr>
          <w:rFonts w:ascii="仿宋" w:hAnsi="仿宋" w:eastAsia="仿宋" w:cs="Times New Roman"/>
          <w:sz w:val="32"/>
          <w:szCs w:val="32"/>
        </w:rPr>
        <w:t>%。</w:t>
      </w:r>
    </w:p>
    <w:p w14:paraId="0726AD9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3ACBE20">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2024年度支出合计</w:t>
      </w:r>
      <w:r>
        <w:rPr>
          <w:rFonts w:hint="eastAsia" w:ascii="仿宋" w:hAnsi="仿宋" w:eastAsia="仿宋" w:cs="Times New Roman"/>
          <w:sz w:val="32"/>
          <w:szCs w:val="32"/>
        </w:rPr>
        <w:t>1116.83</w:t>
      </w:r>
      <w:r>
        <w:rPr>
          <w:rFonts w:ascii="仿宋" w:hAnsi="仿宋" w:eastAsia="仿宋" w:cs="Times New Roman"/>
          <w:sz w:val="32"/>
          <w:szCs w:val="32"/>
        </w:rPr>
        <w:t>万元，其中：基本支出</w:t>
      </w:r>
      <w:r>
        <w:rPr>
          <w:rFonts w:hint="eastAsia" w:ascii="仿宋" w:hAnsi="仿宋" w:eastAsia="仿宋" w:cs="Times New Roman"/>
          <w:sz w:val="32"/>
          <w:szCs w:val="32"/>
        </w:rPr>
        <w:t>477.86</w:t>
      </w:r>
      <w:r>
        <w:rPr>
          <w:rFonts w:ascii="仿宋" w:hAnsi="仿宋" w:eastAsia="仿宋" w:cs="Times New Roman"/>
          <w:sz w:val="32"/>
          <w:szCs w:val="32"/>
        </w:rPr>
        <w:t>万元，占</w:t>
      </w:r>
      <w:r>
        <w:rPr>
          <w:rFonts w:hint="eastAsia" w:ascii="仿宋" w:hAnsi="仿宋" w:eastAsia="仿宋" w:cs="Times New Roman"/>
          <w:sz w:val="32"/>
          <w:szCs w:val="32"/>
        </w:rPr>
        <w:t>42.79</w:t>
      </w:r>
      <w:r>
        <w:rPr>
          <w:rFonts w:ascii="仿宋" w:hAnsi="仿宋" w:eastAsia="仿宋" w:cs="Times New Roman"/>
          <w:sz w:val="32"/>
          <w:szCs w:val="32"/>
        </w:rPr>
        <w:t>%；项目支出</w:t>
      </w:r>
      <w:r>
        <w:rPr>
          <w:rFonts w:hint="eastAsia" w:ascii="仿宋" w:hAnsi="仿宋" w:eastAsia="仿宋" w:cs="Times New Roman"/>
          <w:sz w:val="32"/>
          <w:szCs w:val="32"/>
        </w:rPr>
        <w:t>638.97</w:t>
      </w:r>
      <w:r>
        <w:rPr>
          <w:rFonts w:ascii="仿宋" w:hAnsi="仿宋" w:eastAsia="仿宋" w:cs="Times New Roman"/>
          <w:sz w:val="32"/>
          <w:szCs w:val="32"/>
        </w:rPr>
        <w:t>万元，占</w:t>
      </w:r>
      <w:r>
        <w:rPr>
          <w:rFonts w:hint="eastAsia" w:ascii="仿宋" w:hAnsi="仿宋" w:eastAsia="仿宋" w:cs="Times New Roman"/>
          <w:sz w:val="32"/>
          <w:szCs w:val="32"/>
        </w:rPr>
        <w:t>57.21</w:t>
      </w:r>
      <w:r>
        <w:rPr>
          <w:rFonts w:ascii="仿宋" w:hAnsi="仿宋" w:eastAsia="仿宋" w:cs="Times New Roman"/>
          <w:sz w:val="32"/>
          <w:szCs w:val="32"/>
        </w:rPr>
        <w:t>%；上缴上级支出</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%；经营支出</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%；对附属单位补助支出</w:t>
      </w:r>
      <w:r>
        <w:rPr>
          <w:rFonts w:hint="eastAsia" w:ascii="仿宋" w:hAnsi="仿宋" w:eastAsia="仿宋" w:cs="Times New Roman"/>
          <w:sz w:val="32"/>
          <w:szCs w:val="32"/>
        </w:rPr>
        <w:t>0</w:t>
      </w:r>
      <w:r>
        <w:rPr>
          <w:rFonts w:ascii="仿宋" w:hAnsi="仿宋" w:eastAsia="仿宋" w:cs="Times New Roman"/>
          <w:sz w:val="32"/>
          <w:szCs w:val="32"/>
        </w:rPr>
        <w:t>万元，占</w:t>
      </w:r>
      <w:r>
        <w:rPr>
          <w:rFonts w:hint="eastAsia" w:ascii="仿宋" w:hAnsi="仿宋" w:eastAsia="仿宋" w:cs="Times New Roman"/>
          <w:sz w:val="32"/>
          <w:szCs w:val="32"/>
        </w:rPr>
        <w:t>0</w:t>
      </w:r>
      <w:r>
        <w:rPr>
          <w:rFonts w:ascii="仿宋" w:hAnsi="仿宋" w:eastAsia="仿宋" w:cs="Times New Roman"/>
          <w:sz w:val="32"/>
          <w:szCs w:val="32"/>
        </w:rPr>
        <w:t>%。</w:t>
      </w:r>
    </w:p>
    <w:p w14:paraId="55177EA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13AE317">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2024年度财政拨款收、支总计</w:t>
      </w:r>
      <w:r>
        <w:rPr>
          <w:rFonts w:hint="eastAsia" w:ascii="仿宋" w:hAnsi="仿宋" w:eastAsia="仿宋" w:cs="Times New Roman"/>
          <w:sz w:val="32"/>
          <w:szCs w:val="32"/>
        </w:rPr>
        <w:t>1116.83</w:t>
      </w:r>
      <w:r>
        <w:rPr>
          <w:rFonts w:ascii="仿宋" w:hAnsi="仿宋" w:eastAsia="仿宋" w:cs="Times New Roman"/>
          <w:sz w:val="32"/>
          <w:szCs w:val="32"/>
        </w:rPr>
        <w:t>万元。与上年相比，增加</w:t>
      </w:r>
      <w:r>
        <w:rPr>
          <w:rFonts w:hint="eastAsia" w:ascii="仿宋" w:hAnsi="仿宋" w:eastAsia="仿宋" w:cs="仿宋"/>
          <w:sz w:val="32"/>
          <w:szCs w:val="32"/>
        </w:rPr>
        <w:t>130.78</w:t>
      </w:r>
      <w:r>
        <w:rPr>
          <w:rFonts w:ascii="仿宋" w:hAnsi="仿宋" w:eastAsia="仿宋" w:cs="Times New Roman"/>
          <w:sz w:val="32"/>
          <w:szCs w:val="32"/>
        </w:rPr>
        <w:t>万元，增长</w:t>
      </w:r>
      <w:r>
        <w:rPr>
          <w:rFonts w:hint="eastAsia" w:ascii="仿宋" w:hAnsi="仿宋" w:eastAsia="仿宋" w:cs="Times New Roman"/>
          <w:sz w:val="32"/>
          <w:szCs w:val="32"/>
        </w:rPr>
        <w:t>13.26</w:t>
      </w:r>
      <w:r>
        <w:rPr>
          <w:rFonts w:ascii="仿宋" w:hAnsi="仿宋" w:eastAsia="仿宋" w:cs="Times New Roman"/>
          <w:sz w:val="32"/>
          <w:szCs w:val="32"/>
        </w:rPr>
        <w:t>%，主要是因为</w:t>
      </w:r>
      <w:r>
        <w:rPr>
          <w:rFonts w:hint="eastAsia" w:ascii="仿宋" w:hAnsi="仿宋" w:eastAsia="仿宋" w:cs="仿宋"/>
          <w:sz w:val="32"/>
          <w:szCs w:val="32"/>
        </w:rPr>
        <w:t>项目资金和单位人员的增加。</w:t>
      </w:r>
    </w:p>
    <w:p w14:paraId="45AE9BB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C7FF35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3B6805E">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2024年度财政拨款支出</w:t>
      </w:r>
      <w:r>
        <w:rPr>
          <w:rFonts w:hint="eastAsia" w:ascii="仿宋" w:hAnsi="仿宋" w:eastAsia="仿宋" w:cs="Times New Roman"/>
          <w:sz w:val="32"/>
          <w:szCs w:val="32"/>
        </w:rPr>
        <w:t>296.10</w:t>
      </w:r>
      <w:r>
        <w:rPr>
          <w:rFonts w:ascii="仿宋" w:hAnsi="仿宋" w:eastAsia="仿宋" w:cs="Times New Roman"/>
          <w:sz w:val="32"/>
          <w:szCs w:val="32"/>
        </w:rPr>
        <w:t>万元，占本年支出合计的</w:t>
      </w:r>
      <w:r>
        <w:rPr>
          <w:rFonts w:hint="eastAsia" w:ascii="仿宋" w:hAnsi="仿宋" w:eastAsia="仿宋" w:cs="Times New Roman"/>
          <w:sz w:val="32"/>
          <w:szCs w:val="32"/>
        </w:rPr>
        <w:t>26.52</w:t>
      </w:r>
      <w:r>
        <w:rPr>
          <w:rFonts w:ascii="仿宋" w:hAnsi="仿宋" w:eastAsia="仿宋" w:cs="Times New Roman"/>
          <w:sz w:val="32"/>
          <w:szCs w:val="32"/>
        </w:rPr>
        <w:t>%，与上年相比，财政拨款支出增加</w:t>
      </w:r>
      <w:r>
        <w:rPr>
          <w:rFonts w:hint="eastAsia" w:ascii="仿宋" w:hAnsi="仿宋" w:eastAsia="仿宋" w:cs="Times New Roman"/>
          <w:sz w:val="32"/>
          <w:szCs w:val="32"/>
        </w:rPr>
        <w:t>30.57</w:t>
      </w:r>
      <w:r>
        <w:rPr>
          <w:rFonts w:ascii="仿宋" w:hAnsi="仿宋" w:eastAsia="仿宋" w:cs="Times New Roman"/>
          <w:sz w:val="32"/>
          <w:szCs w:val="32"/>
        </w:rPr>
        <w:t>万元，增长</w:t>
      </w:r>
      <w:r>
        <w:rPr>
          <w:rFonts w:hint="eastAsia" w:ascii="仿宋" w:hAnsi="仿宋" w:eastAsia="仿宋" w:cs="Times New Roman"/>
          <w:sz w:val="32"/>
          <w:szCs w:val="32"/>
        </w:rPr>
        <w:t>11.51</w:t>
      </w:r>
      <w:r>
        <w:rPr>
          <w:rFonts w:ascii="仿宋" w:hAnsi="仿宋" w:eastAsia="仿宋" w:cs="Times New Roman"/>
          <w:sz w:val="32"/>
          <w:szCs w:val="32"/>
        </w:rPr>
        <w:t>%，主要是因为</w:t>
      </w:r>
      <w:r>
        <w:rPr>
          <w:rFonts w:hint="eastAsia" w:ascii="仿宋" w:hAnsi="仿宋" w:eastAsia="仿宋" w:cs="仿宋"/>
          <w:sz w:val="32"/>
          <w:szCs w:val="32"/>
        </w:rPr>
        <w:t>项目资金和单位人员的增加。</w:t>
      </w:r>
    </w:p>
    <w:p w14:paraId="4BD171C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D95A05A">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2024年度财政拨款支出</w:t>
      </w:r>
      <w:r>
        <w:rPr>
          <w:rFonts w:hint="eastAsia" w:ascii="仿宋" w:hAnsi="仿宋" w:eastAsia="仿宋" w:cs="Times New Roman"/>
          <w:sz w:val="32"/>
          <w:szCs w:val="32"/>
        </w:rPr>
        <w:t>296.10</w:t>
      </w:r>
      <w:r>
        <w:rPr>
          <w:rFonts w:ascii="仿宋" w:hAnsi="仿宋" w:eastAsia="仿宋" w:cs="Times New Roman"/>
          <w:sz w:val="32"/>
          <w:szCs w:val="32"/>
        </w:rPr>
        <w:t>万元，主要用于以下方面：</w:t>
      </w:r>
      <w:r>
        <w:rPr>
          <w:rFonts w:hint="eastAsia" w:ascii="仿宋" w:hAnsi="仿宋" w:eastAsia="仿宋" w:cs="仿宋"/>
          <w:sz w:val="32"/>
          <w:szCs w:val="32"/>
        </w:rPr>
        <w:t>社会保障和就业支出 0.39万元，占0.13%；卫生健康支出0.18万元，占0.06%；节能环保支出295.53万元，占99.81%。</w:t>
      </w:r>
    </w:p>
    <w:p w14:paraId="0D7B3F2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4076A80">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2024年度财政拨款支出年初预算数为</w:t>
      </w:r>
      <w:r>
        <w:rPr>
          <w:rFonts w:hint="eastAsia" w:ascii="仿宋" w:hAnsi="仿宋" w:eastAsia="仿宋" w:cs="Times New Roman"/>
          <w:sz w:val="32"/>
          <w:szCs w:val="32"/>
        </w:rPr>
        <w:t>252.75</w:t>
      </w:r>
      <w:r>
        <w:rPr>
          <w:rFonts w:ascii="仿宋" w:hAnsi="仿宋" w:eastAsia="仿宋" w:cs="Times New Roman"/>
          <w:sz w:val="32"/>
          <w:szCs w:val="32"/>
        </w:rPr>
        <w:t>万元，支出决算数为</w:t>
      </w:r>
      <w:r>
        <w:rPr>
          <w:rFonts w:hint="eastAsia" w:ascii="仿宋" w:hAnsi="仿宋" w:eastAsia="仿宋" w:cs="Times New Roman"/>
          <w:sz w:val="32"/>
          <w:szCs w:val="32"/>
        </w:rPr>
        <w:t>296.10</w:t>
      </w:r>
      <w:r>
        <w:rPr>
          <w:rFonts w:ascii="仿宋" w:hAnsi="仿宋" w:eastAsia="仿宋" w:cs="Times New Roman"/>
          <w:sz w:val="32"/>
          <w:szCs w:val="32"/>
        </w:rPr>
        <w:t>万元，完成年初预算的</w:t>
      </w:r>
      <w:r>
        <w:rPr>
          <w:rFonts w:hint="eastAsia" w:ascii="仿宋" w:hAnsi="仿宋" w:eastAsia="仿宋" w:cs="Times New Roman"/>
          <w:sz w:val="32"/>
          <w:szCs w:val="32"/>
        </w:rPr>
        <w:t>117.15</w:t>
      </w:r>
      <w:r>
        <w:rPr>
          <w:rFonts w:ascii="仿宋" w:hAnsi="仿宋" w:eastAsia="仿宋" w:cs="Times New Roman"/>
          <w:sz w:val="32"/>
          <w:szCs w:val="32"/>
        </w:rPr>
        <w:t>%，其中：</w:t>
      </w:r>
    </w:p>
    <w:p w14:paraId="4EB54EEC">
      <w:pPr>
        <w:pStyle w:val="15"/>
        <w:spacing w:line="560" w:lineRule="exact"/>
        <w:ind w:firstLine="800" w:firstLineChars="250"/>
        <w:rPr>
          <w:rFonts w:ascii="仿宋" w:hAnsi="仿宋" w:eastAsia="仿宋" w:cs="仿宋"/>
          <w:sz w:val="32"/>
          <w:szCs w:val="32"/>
        </w:rPr>
      </w:pPr>
      <w:r>
        <w:rPr>
          <w:rFonts w:hint="eastAsia" w:ascii="仿宋" w:hAnsi="仿宋" w:eastAsia="仿宋" w:cs="仿宋"/>
          <w:sz w:val="32"/>
          <w:szCs w:val="32"/>
        </w:rPr>
        <w:t>1、社会保障和就业支出（类） 行政事业单位养老支出（款）机关事业单位基本养老保险缴费支出（项）。</w:t>
      </w:r>
    </w:p>
    <w:p w14:paraId="214032B1">
      <w:pPr>
        <w:pStyle w:val="15"/>
        <w:spacing w:line="560" w:lineRule="exact"/>
        <w:ind w:firstLine="800" w:firstLineChars="250"/>
        <w:rPr>
          <w:rFonts w:ascii="仿宋" w:hAnsi="仿宋" w:eastAsia="仿宋" w:cs="仿宋"/>
          <w:sz w:val="32"/>
          <w:szCs w:val="32"/>
        </w:rPr>
      </w:pPr>
      <w:r>
        <w:rPr>
          <w:rFonts w:hint="eastAsia" w:ascii="仿宋" w:hAnsi="仿宋" w:eastAsia="仿宋" w:cs="仿宋"/>
          <w:sz w:val="32"/>
          <w:szCs w:val="32"/>
        </w:rPr>
        <w:t>年初预算数为0万元，支出决算数为0.39万元，增长100%，决算数大于年初预算数的主要原因是：业务需要增加此项支出。</w:t>
      </w:r>
    </w:p>
    <w:p w14:paraId="18B404DA">
      <w:pPr>
        <w:pStyle w:val="15"/>
        <w:spacing w:line="560" w:lineRule="exact"/>
        <w:ind w:firstLine="800" w:firstLineChars="250"/>
        <w:rPr>
          <w:rFonts w:ascii="仿宋" w:hAnsi="仿宋" w:eastAsia="仿宋" w:cs="仿宋"/>
          <w:sz w:val="32"/>
          <w:szCs w:val="32"/>
        </w:rPr>
      </w:pPr>
      <w:r>
        <w:rPr>
          <w:rFonts w:hint="eastAsia" w:ascii="仿宋" w:hAnsi="仿宋" w:eastAsia="仿宋" w:cs="仿宋"/>
          <w:sz w:val="32"/>
          <w:szCs w:val="32"/>
        </w:rPr>
        <w:t>2、卫生健康支出（类）行政事业单位医疗（款）行政单位医疗（项）。</w:t>
      </w:r>
    </w:p>
    <w:p w14:paraId="3B5FE1B1">
      <w:pPr>
        <w:pStyle w:val="15"/>
        <w:spacing w:line="560" w:lineRule="exact"/>
        <w:ind w:firstLine="800" w:firstLineChars="250"/>
        <w:rPr>
          <w:rFonts w:ascii="仿宋" w:hAnsi="仿宋" w:eastAsia="仿宋" w:cs="仿宋"/>
          <w:sz w:val="32"/>
          <w:szCs w:val="32"/>
        </w:rPr>
      </w:pPr>
      <w:r>
        <w:rPr>
          <w:rFonts w:hint="eastAsia" w:ascii="仿宋" w:hAnsi="仿宋" w:eastAsia="仿宋" w:cs="仿宋"/>
          <w:sz w:val="32"/>
          <w:szCs w:val="32"/>
        </w:rPr>
        <w:t>年初预算为0万元，支出决算数为0.18万元，增长100%，决算数大于年初预算数的主要原因是：业务需要增加此项支出。</w:t>
      </w:r>
    </w:p>
    <w:p w14:paraId="4A54CE27">
      <w:pPr>
        <w:pStyle w:val="15"/>
        <w:spacing w:line="560" w:lineRule="exact"/>
        <w:ind w:firstLine="800" w:firstLineChars="250"/>
        <w:rPr>
          <w:rFonts w:ascii="仿宋" w:hAnsi="仿宋" w:eastAsia="仿宋" w:cs="仿宋"/>
          <w:sz w:val="32"/>
          <w:szCs w:val="32"/>
        </w:rPr>
      </w:pPr>
      <w:r>
        <w:rPr>
          <w:rFonts w:hint="eastAsia" w:ascii="仿宋" w:hAnsi="仿宋" w:eastAsia="仿宋" w:cs="仿宋"/>
          <w:sz w:val="32"/>
          <w:szCs w:val="32"/>
        </w:rPr>
        <w:t>3、节能环保支出（类）环境保护管理事务（款）行政运行（项）污染防治（款）其他污染防治（项）。</w:t>
      </w:r>
    </w:p>
    <w:p w14:paraId="116EE8A1">
      <w:pPr>
        <w:pStyle w:val="15"/>
        <w:spacing w:line="560" w:lineRule="exact"/>
        <w:ind w:firstLine="745" w:firstLineChars="250"/>
        <w:rPr>
          <w:rFonts w:ascii="仿宋" w:hAnsi="仿宋" w:eastAsia="仿宋" w:cs="仿宋"/>
          <w:sz w:val="32"/>
          <w:szCs w:val="32"/>
        </w:rPr>
      </w:pPr>
      <w:r>
        <w:rPr>
          <w:rFonts w:hint="eastAsia" w:ascii="仿宋" w:hAnsi="仿宋" w:eastAsia="仿宋" w:cs="仿宋"/>
          <w:spacing w:val="-11"/>
          <w:sz w:val="32"/>
          <w:szCs w:val="32"/>
        </w:rPr>
        <w:t>年初预算为252.75万元，支出决算为295.53万元，增加16.93</w:t>
      </w:r>
      <w:r>
        <w:rPr>
          <w:rFonts w:hint="eastAsia" w:ascii="仿宋" w:hAnsi="仿宋" w:eastAsia="仿宋" w:cs="仿宋"/>
          <w:sz w:val="32"/>
          <w:szCs w:val="32"/>
        </w:rPr>
        <w:t>%，决算数大于年初预算数的主要原因是：业务需要增加此项支出。</w:t>
      </w:r>
    </w:p>
    <w:p w14:paraId="6640DF3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CC76214">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2024年度一般公共预算财政拨款基本支出</w:t>
      </w:r>
      <w:r>
        <w:rPr>
          <w:rFonts w:hint="eastAsia" w:ascii="仿宋" w:hAnsi="仿宋" w:eastAsia="仿宋" w:cs="Times New Roman"/>
          <w:sz w:val="32"/>
          <w:szCs w:val="32"/>
        </w:rPr>
        <w:t>257.10</w:t>
      </w:r>
      <w:r>
        <w:rPr>
          <w:rFonts w:ascii="仿宋" w:hAnsi="仿宋" w:eastAsia="仿宋" w:cs="Times New Roman"/>
          <w:sz w:val="32"/>
          <w:szCs w:val="32"/>
        </w:rPr>
        <w:t>万元，其中：</w:t>
      </w:r>
    </w:p>
    <w:p w14:paraId="6F56AC72">
      <w:pPr>
        <w:pStyle w:val="15"/>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人员经费</w:t>
      </w:r>
      <w:r>
        <w:rPr>
          <w:rFonts w:hint="eastAsia" w:ascii="仿宋" w:hAnsi="仿宋" w:eastAsia="仿宋" w:cs="仿宋"/>
          <w:sz w:val="32"/>
          <w:szCs w:val="32"/>
        </w:rPr>
        <w:t>227.13万元，占基本支出的88.34%,主要包括基本工资、津贴补贴、奖金、绩效工资、基本养老保险缴费、职工基本医疗保险缴费、其他工资福利支出。</w:t>
      </w:r>
    </w:p>
    <w:p w14:paraId="0A03D505">
      <w:pPr>
        <w:pStyle w:val="15"/>
        <w:spacing w:line="560" w:lineRule="exact"/>
        <w:ind w:firstLine="640" w:firstLineChars="200"/>
        <w:rPr>
          <w:rFonts w:ascii="仿宋" w:hAnsi="仿宋" w:eastAsia="仿宋" w:cs="仿宋"/>
          <w:sz w:val="32"/>
          <w:szCs w:val="32"/>
        </w:rPr>
      </w:pPr>
      <w:r>
        <w:rPr>
          <w:rFonts w:hint="eastAsia" w:ascii="仿宋" w:hAnsi="仿宋" w:eastAsia="仿宋" w:cs="仿宋"/>
          <w:b/>
          <w:bCs/>
          <w:sz w:val="32"/>
          <w:szCs w:val="32"/>
        </w:rPr>
        <w:t>公用经费</w:t>
      </w:r>
      <w:r>
        <w:rPr>
          <w:rFonts w:hint="eastAsia" w:ascii="仿宋" w:hAnsi="仿宋" w:eastAsia="仿宋" w:cs="仿宋"/>
          <w:sz w:val="32"/>
          <w:szCs w:val="32"/>
        </w:rPr>
        <w:t>29.97万元，占基本支出的11.66%,主要包括咨询费、差旅费、电费、水费、邮电费、劳务费、维修（护）费、培训费、工会经费、福利费、公务接待费、公务用车运行维护费、专用材料费、其他商品服务支出。</w:t>
      </w:r>
    </w:p>
    <w:p w14:paraId="13848793">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462AAE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400B829">
      <w:pPr>
        <w:pStyle w:val="15"/>
        <w:spacing w:line="560" w:lineRule="exact"/>
        <w:ind w:firstLine="800" w:firstLineChars="250"/>
        <w:rPr>
          <w:rFonts w:ascii="仿宋" w:hAnsi="仿宋" w:eastAsia="仿宋" w:cs="Times New Roman"/>
          <w:sz w:val="32"/>
          <w:szCs w:val="32"/>
        </w:rPr>
      </w:pPr>
      <w:r>
        <w:rPr>
          <w:rFonts w:ascii="仿宋" w:hAnsi="仿宋" w:eastAsia="仿宋" w:cs="Times New Roman"/>
          <w:sz w:val="32"/>
          <w:szCs w:val="32"/>
        </w:rPr>
        <w:t>2024年度“三公”经费财政拨款支出预算为</w:t>
      </w:r>
      <w:r>
        <w:rPr>
          <w:rFonts w:hint="eastAsia" w:ascii="仿宋" w:hAnsi="仿宋" w:eastAsia="仿宋" w:cs="Times New Roman"/>
          <w:sz w:val="32"/>
          <w:szCs w:val="32"/>
        </w:rPr>
        <w:t>6.20</w:t>
      </w:r>
      <w:r>
        <w:rPr>
          <w:rFonts w:ascii="仿宋" w:hAnsi="仿宋" w:eastAsia="仿宋" w:cs="Times New Roman"/>
          <w:sz w:val="32"/>
          <w:szCs w:val="32"/>
        </w:rPr>
        <w:t>万元，支出决算为</w:t>
      </w:r>
      <w:r>
        <w:rPr>
          <w:rFonts w:hint="eastAsia" w:ascii="仿宋" w:hAnsi="仿宋" w:eastAsia="仿宋" w:cs="Times New Roman"/>
          <w:sz w:val="32"/>
          <w:szCs w:val="32"/>
        </w:rPr>
        <w:t>5.82</w:t>
      </w:r>
      <w:r>
        <w:rPr>
          <w:rFonts w:ascii="仿宋" w:hAnsi="仿宋" w:eastAsia="仿宋" w:cs="Times New Roman"/>
          <w:sz w:val="32"/>
          <w:szCs w:val="32"/>
        </w:rPr>
        <w:t>万元，完成预算的</w:t>
      </w:r>
      <w:r>
        <w:rPr>
          <w:rFonts w:hint="eastAsia" w:ascii="仿宋" w:hAnsi="仿宋" w:eastAsia="仿宋" w:cs="Times New Roman"/>
          <w:sz w:val="32"/>
          <w:szCs w:val="32"/>
        </w:rPr>
        <w:t>93.87</w:t>
      </w:r>
      <w:r>
        <w:rPr>
          <w:rFonts w:ascii="仿宋" w:hAnsi="仿宋" w:eastAsia="仿宋" w:cs="Times New Roman"/>
          <w:sz w:val="32"/>
          <w:szCs w:val="32"/>
        </w:rPr>
        <w:t>%；与上年相比减少</w:t>
      </w:r>
      <w:r>
        <w:rPr>
          <w:rFonts w:hint="eastAsia" w:ascii="仿宋" w:hAnsi="仿宋" w:eastAsia="仿宋" w:cs="Times New Roman"/>
          <w:sz w:val="32"/>
          <w:szCs w:val="32"/>
        </w:rPr>
        <w:t>0.82</w:t>
      </w:r>
      <w:r>
        <w:rPr>
          <w:rFonts w:ascii="仿宋" w:hAnsi="仿宋" w:eastAsia="仿宋" w:cs="Times New Roman"/>
          <w:sz w:val="32"/>
          <w:szCs w:val="32"/>
        </w:rPr>
        <w:t>万元，降低</w:t>
      </w:r>
      <w:r>
        <w:rPr>
          <w:rFonts w:hint="eastAsia" w:ascii="仿宋" w:hAnsi="仿宋" w:eastAsia="仿宋" w:cs="Times New Roman"/>
          <w:sz w:val="32"/>
          <w:szCs w:val="32"/>
        </w:rPr>
        <w:t>12.35</w:t>
      </w:r>
      <w:r>
        <w:rPr>
          <w:rFonts w:ascii="仿宋" w:hAnsi="仿宋" w:eastAsia="仿宋" w:cs="Times New Roman"/>
          <w:sz w:val="32"/>
          <w:szCs w:val="32"/>
        </w:rPr>
        <w:t>%。决算数小于预算数的主要原因是</w:t>
      </w:r>
      <w:r>
        <w:rPr>
          <w:rFonts w:hint="eastAsia" w:ascii="仿宋" w:hAnsi="仿宋" w:eastAsia="仿宋" w:cs="仿宋"/>
          <w:sz w:val="32"/>
          <w:szCs w:val="32"/>
        </w:rPr>
        <w:t>厉行节约</w:t>
      </w:r>
      <w:r>
        <w:rPr>
          <w:rFonts w:ascii="仿宋" w:hAnsi="仿宋" w:eastAsia="仿宋" w:cs="Times New Roman"/>
          <w:sz w:val="32"/>
          <w:szCs w:val="32"/>
        </w:rPr>
        <w:t>。决算数小于上年数的主要原因是</w:t>
      </w:r>
      <w:r>
        <w:rPr>
          <w:rFonts w:hint="eastAsia" w:ascii="仿宋" w:hAnsi="仿宋" w:eastAsia="仿宋" w:cs="仿宋"/>
          <w:sz w:val="32"/>
          <w:szCs w:val="32"/>
        </w:rPr>
        <w:t>厉行节约</w:t>
      </w:r>
      <w:r>
        <w:rPr>
          <w:rFonts w:ascii="仿宋" w:hAnsi="仿宋" w:eastAsia="仿宋" w:cs="Times New Roman"/>
          <w:sz w:val="32"/>
          <w:szCs w:val="32"/>
        </w:rPr>
        <w:t>。</w:t>
      </w:r>
    </w:p>
    <w:p w14:paraId="115F0F2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BC61237">
      <w:pPr>
        <w:pStyle w:val="15"/>
        <w:overflowPunct w:val="0"/>
        <w:autoSpaceDE/>
        <w:autoSpaceDN/>
        <w:spacing w:line="600" w:lineRule="exact"/>
        <w:ind w:firstLine="640" w:firstLineChars="200"/>
        <w:jc w:val="both"/>
        <w:rPr>
          <w:rFonts w:ascii="仿宋" w:hAnsi="仿宋" w:eastAsia="仿宋" w:cs="Times New Roman"/>
          <w:sz w:val="32"/>
          <w:szCs w:val="32"/>
          <w:highlight w:val="yellow"/>
        </w:rPr>
      </w:pPr>
      <w:r>
        <w:rPr>
          <w:rFonts w:ascii="仿宋" w:hAnsi="仿宋" w:eastAsia="仿宋" w:cs="Times New Roman"/>
          <w:sz w:val="32"/>
          <w:szCs w:val="32"/>
        </w:rPr>
        <w:t>1.因公出国（境）费支出预算为</w:t>
      </w:r>
      <w:r>
        <w:rPr>
          <w:rFonts w:hint="eastAsia" w:ascii="仿宋" w:hAnsi="仿宋" w:eastAsia="仿宋" w:cs="Times New Roman"/>
          <w:sz w:val="32"/>
          <w:szCs w:val="32"/>
        </w:rPr>
        <w:t>0</w:t>
      </w:r>
      <w:r>
        <w:rPr>
          <w:rFonts w:ascii="仿宋" w:hAnsi="仿宋" w:eastAsia="仿宋" w:cs="Times New Roman"/>
          <w:sz w:val="32"/>
          <w:szCs w:val="32"/>
        </w:rPr>
        <w:t>万元，支出决算为</w:t>
      </w:r>
      <w:r>
        <w:rPr>
          <w:rFonts w:hint="eastAsia" w:ascii="仿宋" w:hAnsi="仿宋" w:eastAsia="仿宋" w:cs="Times New Roman"/>
          <w:sz w:val="32"/>
          <w:szCs w:val="32"/>
        </w:rPr>
        <w:t>0</w:t>
      </w:r>
      <w:r>
        <w:rPr>
          <w:rFonts w:ascii="仿宋" w:hAnsi="仿宋" w:eastAsia="仿宋" w:cs="Times New Roman"/>
          <w:sz w:val="32"/>
          <w:szCs w:val="32"/>
        </w:rPr>
        <w:t>万元，完成预算的</w:t>
      </w:r>
      <w:r>
        <w:rPr>
          <w:rFonts w:hint="eastAsia" w:ascii="仿宋" w:hAnsi="仿宋" w:eastAsia="仿宋" w:cs="Times New Roman"/>
          <w:sz w:val="32"/>
          <w:szCs w:val="32"/>
        </w:rPr>
        <w:t>0</w:t>
      </w:r>
      <w:r>
        <w:rPr>
          <w:rFonts w:ascii="仿宋" w:hAnsi="仿宋" w:eastAsia="仿宋" w:cs="Times New Roman"/>
          <w:sz w:val="32"/>
          <w:szCs w:val="32"/>
        </w:rPr>
        <w:t>%；</w:t>
      </w:r>
      <w:r>
        <w:rPr>
          <w:rFonts w:hint="eastAsia" w:ascii="仿宋" w:hAnsi="仿宋" w:eastAsia="仿宋" w:cs="仿宋"/>
          <w:sz w:val="32"/>
          <w:szCs w:val="32"/>
        </w:rPr>
        <w:t>与年初预算数一致，与上年决算数相比一致</w:t>
      </w:r>
      <w:r>
        <w:rPr>
          <w:rFonts w:ascii="仿宋" w:hAnsi="仿宋" w:eastAsia="仿宋" w:cs="Times New Roman"/>
          <w:sz w:val="32"/>
          <w:szCs w:val="32"/>
        </w:rPr>
        <w:t>。2024年度安排因公出国（境）团组</w:t>
      </w:r>
      <w:r>
        <w:rPr>
          <w:rFonts w:hint="eastAsia" w:ascii="仿宋" w:hAnsi="仿宋" w:eastAsia="仿宋" w:cs="Times New Roman"/>
          <w:sz w:val="32"/>
          <w:szCs w:val="32"/>
        </w:rPr>
        <w:t>0</w:t>
      </w:r>
      <w:r>
        <w:rPr>
          <w:rFonts w:ascii="仿宋" w:hAnsi="仿宋" w:eastAsia="仿宋" w:cs="Times New Roman"/>
          <w:sz w:val="32"/>
          <w:szCs w:val="32"/>
        </w:rPr>
        <w:t>个，累计</w:t>
      </w:r>
      <w:r>
        <w:rPr>
          <w:rFonts w:hint="eastAsia" w:ascii="仿宋" w:hAnsi="仿宋" w:eastAsia="仿宋" w:cs="Times New Roman"/>
          <w:sz w:val="32"/>
          <w:szCs w:val="32"/>
        </w:rPr>
        <w:t>0人。</w:t>
      </w:r>
    </w:p>
    <w:p w14:paraId="6B311103">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2.公务用车购置费及运行维护费支出预算为</w:t>
      </w:r>
      <w:r>
        <w:rPr>
          <w:rFonts w:hint="eastAsia" w:ascii="仿宋" w:hAnsi="仿宋" w:eastAsia="仿宋" w:cs="Times New Roman"/>
          <w:sz w:val="32"/>
          <w:szCs w:val="32"/>
        </w:rPr>
        <w:t>4.01</w:t>
      </w:r>
      <w:r>
        <w:rPr>
          <w:rFonts w:ascii="仿宋" w:hAnsi="仿宋" w:eastAsia="仿宋" w:cs="Times New Roman"/>
          <w:sz w:val="32"/>
          <w:szCs w:val="32"/>
        </w:rPr>
        <w:t>万元，支出决算为</w:t>
      </w:r>
      <w:r>
        <w:rPr>
          <w:rFonts w:hint="eastAsia" w:ascii="仿宋" w:hAnsi="仿宋" w:eastAsia="仿宋" w:cs="Times New Roman"/>
          <w:sz w:val="32"/>
          <w:szCs w:val="32"/>
        </w:rPr>
        <w:t>4.01</w:t>
      </w:r>
      <w:r>
        <w:rPr>
          <w:rFonts w:ascii="仿宋" w:hAnsi="仿宋" w:eastAsia="仿宋" w:cs="Times New Roman"/>
          <w:sz w:val="32"/>
          <w:szCs w:val="32"/>
        </w:rPr>
        <w:t>万元，完成预算的</w:t>
      </w:r>
      <w:r>
        <w:rPr>
          <w:rFonts w:hint="eastAsia" w:ascii="仿宋" w:hAnsi="仿宋" w:eastAsia="仿宋" w:cs="Times New Roman"/>
          <w:sz w:val="32"/>
          <w:szCs w:val="32"/>
        </w:rPr>
        <w:t>100</w:t>
      </w:r>
      <w:r>
        <w:rPr>
          <w:rFonts w:ascii="仿宋" w:hAnsi="仿宋" w:eastAsia="仿宋" w:cs="Times New Roman"/>
          <w:sz w:val="32"/>
          <w:szCs w:val="32"/>
        </w:rPr>
        <w:t>%；与上年相比减少</w:t>
      </w:r>
      <w:r>
        <w:rPr>
          <w:rFonts w:hint="eastAsia" w:ascii="仿宋" w:hAnsi="仿宋" w:eastAsia="仿宋" w:cs="Times New Roman"/>
          <w:sz w:val="32"/>
          <w:szCs w:val="32"/>
        </w:rPr>
        <w:t>0.24</w:t>
      </w:r>
      <w:r>
        <w:rPr>
          <w:rFonts w:ascii="仿宋" w:hAnsi="仿宋" w:eastAsia="仿宋" w:cs="Times New Roman"/>
          <w:sz w:val="32"/>
          <w:szCs w:val="32"/>
        </w:rPr>
        <w:t>万元，降低</w:t>
      </w:r>
      <w:r>
        <w:rPr>
          <w:rFonts w:hint="eastAsia" w:ascii="仿宋" w:hAnsi="仿宋" w:eastAsia="仿宋" w:cs="Times New Roman"/>
          <w:sz w:val="32"/>
          <w:szCs w:val="32"/>
        </w:rPr>
        <w:t>5.65</w:t>
      </w:r>
      <w:r>
        <w:rPr>
          <w:rFonts w:ascii="仿宋" w:hAnsi="仿宋" w:eastAsia="仿宋" w:cs="Times New Roman"/>
          <w:sz w:val="32"/>
          <w:szCs w:val="32"/>
        </w:rPr>
        <w:t>%。其中：</w:t>
      </w:r>
    </w:p>
    <w:p w14:paraId="36DEAF28">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公务用车购置费支出预算为</w:t>
      </w:r>
      <w:r>
        <w:rPr>
          <w:rFonts w:hint="eastAsia" w:ascii="仿宋" w:hAnsi="仿宋" w:eastAsia="仿宋" w:cs="Times New Roman"/>
          <w:sz w:val="32"/>
          <w:szCs w:val="32"/>
        </w:rPr>
        <w:t>0</w:t>
      </w:r>
      <w:r>
        <w:rPr>
          <w:rFonts w:ascii="仿宋" w:hAnsi="仿宋" w:eastAsia="仿宋" w:cs="Times New Roman"/>
          <w:sz w:val="32"/>
          <w:szCs w:val="32"/>
        </w:rPr>
        <w:t>万元，支出决算为</w:t>
      </w:r>
      <w:r>
        <w:rPr>
          <w:rFonts w:hint="eastAsia" w:ascii="仿宋" w:hAnsi="仿宋" w:eastAsia="仿宋" w:cs="Times New Roman"/>
          <w:sz w:val="32"/>
          <w:szCs w:val="32"/>
        </w:rPr>
        <w:t>0</w:t>
      </w:r>
      <w:r>
        <w:rPr>
          <w:rFonts w:ascii="仿宋" w:hAnsi="仿宋" w:eastAsia="仿宋" w:cs="Times New Roman"/>
          <w:sz w:val="32"/>
          <w:szCs w:val="32"/>
        </w:rPr>
        <w:t>万元，完成预算的</w:t>
      </w:r>
      <w:r>
        <w:rPr>
          <w:rFonts w:hint="eastAsia" w:ascii="仿宋" w:hAnsi="仿宋" w:eastAsia="仿宋" w:cs="Times New Roman"/>
          <w:sz w:val="32"/>
          <w:szCs w:val="32"/>
        </w:rPr>
        <w:t>0</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仿宋"/>
          <w:sz w:val="32"/>
          <w:szCs w:val="32"/>
        </w:rPr>
        <w:t>本年无公车购置支出</w:t>
      </w:r>
      <w:r>
        <w:rPr>
          <w:rFonts w:hint="eastAsia" w:ascii="仿宋" w:hAnsi="仿宋" w:eastAsia="仿宋" w:cs="Times New Roman"/>
          <w:sz w:val="32"/>
          <w:szCs w:val="32"/>
        </w:rPr>
        <w:t>；与上年持平</w:t>
      </w:r>
      <w:r>
        <w:rPr>
          <w:rFonts w:ascii="仿宋" w:hAnsi="仿宋" w:eastAsia="仿宋" w:cs="Times New Roman"/>
          <w:sz w:val="32"/>
          <w:szCs w:val="32"/>
        </w:rPr>
        <w:t>。</w:t>
      </w:r>
    </w:p>
    <w:p w14:paraId="221F17A1">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公务用车运行维护费支出预算为</w:t>
      </w:r>
      <w:r>
        <w:rPr>
          <w:rFonts w:hint="eastAsia" w:ascii="仿宋" w:hAnsi="仿宋" w:eastAsia="仿宋" w:cs="Times New Roman"/>
          <w:sz w:val="32"/>
          <w:szCs w:val="32"/>
        </w:rPr>
        <w:t>4.01</w:t>
      </w:r>
      <w:r>
        <w:rPr>
          <w:rFonts w:ascii="仿宋" w:hAnsi="仿宋" w:eastAsia="仿宋" w:cs="Times New Roman"/>
          <w:sz w:val="32"/>
          <w:szCs w:val="32"/>
        </w:rPr>
        <w:t>万元，支出决算为</w:t>
      </w:r>
      <w:r>
        <w:rPr>
          <w:rFonts w:hint="eastAsia" w:ascii="仿宋" w:hAnsi="仿宋" w:eastAsia="仿宋" w:cs="Times New Roman"/>
          <w:sz w:val="32"/>
          <w:szCs w:val="32"/>
        </w:rPr>
        <w:t>4.01</w:t>
      </w:r>
      <w:r>
        <w:rPr>
          <w:rFonts w:ascii="仿宋" w:hAnsi="仿宋" w:eastAsia="仿宋" w:cs="Times New Roman"/>
          <w:sz w:val="32"/>
          <w:szCs w:val="32"/>
        </w:rPr>
        <w:t>万元，</w:t>
      </w:r>
    </w:p>
    <w:p w14:paraId="6BF60D2A">
      <w:pPr>
        <w:pStyle w:val="15"/>
        <w:overflowPunct w:val="0"/>
        <w:autoSpaceDE/>
        <w:autoSpaceDN/>
        <w:spacing w:line="600" w:lineRule="exact"/>
        <w:ind w:firstLine="640" w:firstLineChars="200"/>
        <w:jc w:val="both"/>
        <w:rPr>
          <w:rFonts w:ascii="仿宋" w:hAnsi="仿宋" w:eastAsia="仿宋" w:cs="Times New Roman"/>
          <w:sz w:val="32"/>
          <w:szCs w:val="32"/>
        </w:rPr>
      </w:pPr>
      <w:r>
        <w:rPr>
          <w:rFonts w:hint="eastAsia" w:ascii="仿宋" w:hAnsi="仿宋" w:eastAsia="仿宋" w:cs="仿宋"/>
          <w:sz w:val="32"/>
          <w:szCs w:val="32"/>
        </w:rPr>
        <w:t>主要是监测车、执法车运行时支出的汽油费、维修费、过路过桥费和车辆保险支出</w:t>
      </w:r>
      <w:r>
        <w:rPr>
          <w:rFonts w:ascii="仿宋" w:hAnsi="仿宋" w:eastAsia="仿宋" w:cs="Times New Roman"/>
          <w:sz w:val="32"/>
          <w:szCs w:val="32"/>
        </w:rPr>
        <w:t>，完成预算的</w:t>
      </w:r>
      <w:r>
        <w:rPr>
          <w:rFonts w:hint="eastAsia" w:ascii="仿宋" w:hAnsi="仿宋" w:eastAsia="仿宋" w:cs="Times New Roman"/>
          <w:sz w:val="32"/>
          <w:szCs w:val="32"/>
        </w:rPr>
        <w:t>100</w:t>
      </w:r>
      <w:r>
        <w:rPr>
          <w:rFonts w:ascii="仿宋" w:hAnsi="仿宋" w:eastAsia="仿宋" w:cs="Times New Roman"/>
          <w:sz w:val="32"/>
          <w:szCs w:val="32"/>
        </w:rPr>
        <w:t>%；与上年相比减少</w:t>
      </w:r>
      <w:r>
        <w:rPr>
          <w:rFonts w:hint="eastAsia" w:ascii="仿宋" w:hAnsi="仿宋" w:eastAsia="仿宋" w:cs="Times New Roman"/>
          <w:sz w:val="32"/>
          <w:szCs w:val="32"/>
        </w:rPr>
        <w:t>0.24</w:t>
      </w:r>
      <w:r>
        <w:rPr>
          <w:rFonts w:ascii="仿宋" w:hAnsi="仿宋" w:eastAsia="仿宋" w:cs="Times New Roman"/>
          <w:sz w:val="32"/>
          <w:szCs w:val="32"/>
        </w:rPr>
        <w:t>万元，降低</w:t>
      </w:r>
      <w:r>
        <w:rPr>
          <w:rFonts w:hint="eastAsia" w:ascii="仿宋" w:hAnsi="仿宋" w:eastAsia="仿宋" w:cs="Times New Roman"/>
          <w:sz w:val="32"/>
          <w:szCs w:val="32"/>
        </w:rPr>
        <w:t>5.65</w:t>
      </w:r>
      <w:r>
        <w:rPr>
          <w:rFonts w:ascii="仿宋" w:hAnsi="仿宋" w:eastAsia="仿宋" w:cs="Times New Roman"/>
          <w:sz w:val="32"/>
          <w:szCs w:val="32"/>
        </w:rPr>
        <w:t>%。决算数小于上年数的主要原因是</w:t>
      </w:r>
      <w:r>
        <w:rPr>
          <w:rFonts w:hint="eastAsia" w:ascii="仿宋" w:hAnsi="仿宋" w:eastAsia="仿宋" w:cs="Times New Roman"/>
          <w:sz w:val="32"/>
          <w:szCs w:val="32"/>
        </w:rPr>
        <w:t>厉行节约</w:t>
      </w:r>
      <w:r>
        <w:rPr>
          <w:rFonts w:hint="eastAsia" w:ascii="仿宋" w:hAnsi="仿宋" w:eastAsia="仿宋" w:cs="仿宋"/>
          <w:sz w:val="32"/>
          <w:szCs w:val="32"/>
        </w:rPr>
        <w:t>严格执行公务用车制度</w:t>
      </w:r>
      <w:r>
        <w:rPr>
          <w:rFonts w:ascii="仿宋" w:hAnsi="仿宋" w:eastAsia="仿宋" w:cs="Times New Roman"/>
          <w:sz w:val="32"/>
          <w:szCs w:val="32"/>
        </w:rPr>
        <w:t>。截止2024年12月31日，我单位开支财政拨款的公务用车保有量为</w:t>
      </w:r>
      <w:r>
        <w:rPr>
          <w:rFonts w:hint="eastAsia" w:ascii="仿宋" w:hAnsi="仿宋" w:eastAsia="仿宋" w:cs="Times New Roman"/>
          <w:sz w:val="32"/>
          <w:szCs w:val="32"/>
        </w:rPr>
        <w:t>2</w:t>
      </w:r>
      <w:r>
        <w:rPr>
          <w:rFonts w:ascii="仿宋" w:hAnsi="仿宋" w:eastAsia="仿宋" w:cs="Times New Roman"/>
          <w:sz w:val="32"/>
          <w:szCs w:val="32"/>
        </w:rPr>
        <w:t>辆</w:t>
      </w:r>
      <w:r>
        <w:rPr>
          <w:rFonts w:hint="eastAsia" w:ascii="仿宋" w:hAnsi="仿宋" w:eastAsia="仿宋" w:cs="Times New Roman"/>
          <w:sz w:val="32"/>
          <w:szCs w:val="32"/>
        </w:rPr>
        <w:t>。</w:t>
      </w:r>
    </w:p>
    <w:p w14:paraId="5EEB288F">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3.公务接待费支出预算为</w:t>
      </w:r>
      <w:r>
        <w:rPr>
          <w:rFonts w:hint="eastAsia" w:ascii="仿宋" w:hAnsi="仿宋" w:eastAsia="仿宋" w:cs="Times New Roman"/>
          <w:sz w:val="32"/>
          <w:szCs w:val="32"/>
        </w:rPr>
        <w:t>2.19</w:t>
      </w:r>
      <w:r>
        <w:rPr>
          <w:rFonts w:ascii="仿宋" w:hAnsi="仿宋" w:eastAsia="仿宋" w:cs="Times New Roman"/>
          <w:sz w:val="32"/>
          <w:szCs w:val="32"/>
        </w:rPr>
        <w:t>万元，支出决算为</w:t>
      </w:r>
      <w:r>
        <w:rPr>
          <w:rFonts w:hint="eastAsia" w:ascii="仿宋" w:hAnsi="仿宋" w:eastAsia="仿宋" w:cs="Times New Roman"/>
          <w:sz w:val="32"/>
          <w:szCs w:val="32"/>
        </w:rPr>
        <w:t>1.81</w:t>
      </w:r>
      <w:r>
        <w:rPr>
          <w:rFonts w:ascii="仿宋" w:hAnsi="仿宋" w:eastAsia="仿宋" w:cs="Times New Roman"/>
          <w:sz w:val="32"/>
          <w:szCs w:val="32"/>
        </w:rPr>
        <w:t>万元，完成预算的</w:t>
      </w:r>
      <w:r>
        <w:rPr>
          <w:rFonts w:hint="eastAsia" w:ascii="仿宋" w:hAnsi="仿宋" w:eastAsia="仿宋" w:cs="Times New Roman"/>
          <w:sz w:val="32"/>
          <w:szCs w:val="32"/>
        </w:rPr>
        <w:t>82.65</w:t>
      </w:r>
      <w:r>
        <w:rPr>
          <w:rFonts w:ascii="仿宋" w:hAnsi="仿宋" w:eastAsia="仿宋" w:cs="Times New Roman"/>
          <w:sz w:val="32"/>
          <w:szCs w:val="32"/>
        </w:rPr>
        <w:t>%；与上年相比增加减少</w:t>
      </w:r>
      <w:r>
        <w:rPr>
          <w:rFonts w:hint="eastAsia" w:ascii="仿宋" w:hAnsi="仿宋" w:eastAsia="仿宋" w:cs="Times New Roman"/>
          <w:sz w:val="32"/>
          <w:szCs w:val="32"/>
        </w:rPr>
        <w:t>0.58</w:t>
      </w:r>
      <w:r>
        <w:rPr>
          <w:rFonts w:ascii="仿宋" w:hAnsi="仿宋" w:eastAsia="仿宋" w:cs="Times New Roman"/>
          <w:sz w:val="32"/>
          <w:szCs w:val="32"/>
        </w:rPr>
        <w:t>万元，降低</w:t>
      </w:r>
      <w:r>
        <w:rPr>
          <w:rFonts w:hint="eastAsia" w:ascii="仿宋" w:hAnsi="仿宋" w:eastAsia="仿宋" w:cs="Times New Roman"/>
          <w:sz w:val="32"/>
          <w:szCs w:val="32"/>
        </w:rPr>
        <w:t>24.27</w:t>
      </w:r>
      <w:r>
        <w:rPr>
          <w:rFonts w:ascii="仿宋" w:hAnsi="仿宋" w:eastAsia="仿宋" w:cs="Times New Roman"/>
          <w:sz w:val="32"/>
          <w:szCs w:val="32"/>
        </w:rPr>
        <w:t>%。决算数小于预算数的主要原因是</w:t>
      </w:r>
      <w:r>
        <w:rPr>
          <w:rFonts w:hint="eastAsia" w:ascii="仿宋" w:hAnsi="仿宋" w:eastAsia="仿宋" w:cs="仿宋"/>
          <w:sz w:val="32"/>
          <w:szCs w:val="32"/>
        </w:rPr>
        <w:t>厉行节约，严格控制接待标准和陪餐人数</w:t>
      </w:r>
      <w:r>
        <w:rPr>
          <w:rFonts w:ascii="仿宋" w:hAnsi="仿宋" w:eastAsia="仿宋" w:cs="Times New Roman"/>
          <w:sz w:val="32"/>
          <w:szCs w:val="32"/>
        </w:rPr>
        <w:t>。决算数小于上年数的主要原因是</w:t>
      </w:r>
      <w:r>
        <w:rPr>
          <w:rFonts w:hint="eastAsia" w:ascii="仿宋" w:hAnsi="仿宋" w:eastAsia="仿宋" w:cs="仿宋"/>
          <w:sz w:val="32"/>
          <w:szCs w:val="32"/>
        </w:rPr>
        <w:t>厉行节约，严格控制接待标准和陪餐人数</w:t>
      </w:r>
      <w:r>
        <w:rPr>
          <w:rFonts w:ascii="仿宋" w:hAnsi="仿宋" w:eastAsia="仿宋" w:cs="Times New Roman"/>
          <w:sz w:val="32"/>
          <w:szCs w:val="32"/>
        </w:rPr>
        <w:t>。2024年度共接待来访团组</w:t>
      </w:r>
      <w:r>
        <w:rPr>
          <w:rFonts w:hint="eastAsia" w:ascii="仿宋" w:hAnsi="仿宋" w:eastAsia="仿宋" w:cs="Times New Roman"/>
          <w:sz w:val="32"/>
          <w:szCs w:val="32"/>
        </w:rPr>
        <w:t>31</w:t>
      </w:r>
      <w:r>
        <w:rPr>
          <w:rFonts w:ascii="仿宋" w:hAnsi="仿宋" w:eastAsia="仿宋" w:cs="Times New Roman"/>
          <w:sz w:val="32"/>
          <w:szCs w:val="32"/>
        </w:rPr>
        <w:t>个、来宾</w:t>
      </w:r>
      <w:r>
        <w:rPr>
          <w:rFonts w:hint="eastAsia" w:ascii="仿宋" w:hAnsi="仿宋" w:eastAsia="仿宋" w:cs="Times New Roman"/>
          <w:sz w:val="32"/>
          <w:szCs w:val="32"/>
        </w:rPr>
        <w:t>227</w:t>
      </w:r>
      <w:r>
        <w:rPr>
          <w:rFonts w:ascii="仿宋" w:hAnsi="仿宋" w:eastAsia="仿宋" w:cs="Times New Roman"/>
          <w:sz w:val="32"/>
          <w:szCs w:val="32"/>
        </w:rPr>
        <w:t>人次</w:t>
      </w:r>
      <w:r>
        <w:rPr>
          <w:rFonts w:hint="eastAsia" w:ascii="仿宋" w:hAnsi="仿宋" w:eastAsia="仿宋" w:cs="Times New Roman"/>
          <w:sz w:val="32"/>
          <w:szCs w:val="32"/>
        </w:rPr>
        <w:t>，</w:t>
      </w:r>
      <w:r>
        <w:rPr>
          <w:rFonts w:ascii="仿宋" w:hAnsi="仿宋" w:eastAsia="仿宋" w:cs="Times New Roman"/>
          <w:sz w:val="32"/>
          <w:szCs w:val="32"/>
        </w:rPr>
        <w:t>主要是</w:t>
      </w:r>
      <w:r>
        <w:rPr>
          <w:rFonts w:hint="eastAsia" w:ascii="仿宋" w:hAnsi="仿宋" w:eastAsia="仿宋" w:cs="仿宋"/>
          <w:sz w:val="32"/>
          <w:szCs w:val="32"/>
        </w:rPr>
        <w:t>主要是</w:t>
      </w:r>
      <w:r>
        <w:rPr>
          <w:rFonts w:hint="eastAsia" w:ascii="仿宋" w:hAnsi="仿宋" w:eastAsia="仿宋" w:cs="仿宋"/>
          <w:color w:val="000000" w:themeColor="text1"/>
          <w:sz w:val="32"/>
          <w:szCs w:val="32"/>
        </w:rPr>
        <w:t>环境执法检查、问题督察、农环整治、工作调研、业务学习交流、环境监测</w:t>
      </w:r>
      <w:r>
        <w:rPr>
          <w:rFonts w:ascii="仿宋" w:hAnsi="仿宋" w:eastAsia="仿宋" w:cs="Times New Roman"/>
          <w:sz w:val="32"/>
          <w:szCs w:val="32"/>
        </w:rPr>
        <w:t>发生的接待支出。</w:t>
      </w:r>
    </w:p>
    <w:p w14:paraId="1581D8C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1DE91E68">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2024年度政府性基金预算财政拨款收入</w:t>
      </w:r>
      <w:r>
        <w:rPr>
          <w:rFonts w:hint="eastAsia" w:ascii="仿宋" w:hAnsi="仿宋" w:eastAsia="仿宋" w:cs="Times New Roman"/>
          <w:sz w:val="32"/>
          <w:szCs w:val="32"/>
        </w:rPr>
        <w:t>0</w:t>
      </w:r>
      <w:r>
        <w:rPr>
          <w:rFonts w:ascii="仿宋" w:hAnsi="仿宋" w:eastAsia="仿宋" w:cs="Times New Roman"/>
          <w:sz w:val="32"/>
          <w:szCs w:val="32"/>
        </w:rPr>
        <w:t>万元；年初结转和结余</w:t>
      </w:r>
      <w:r>
        <w:rPr>
          <w:rFonts w:hint="eastAsia" w:ascii="仿宋" w:hAnsi="仿宋" w:eastAsia="仿宋" w:cs="Times New Roman"/>
          <w:sz w:val="32"/>
          <w:szCs w:val="32"/>
        </w:rPr>
        <w:t>0</w:t>
      </w:r>
      <w:r>
        <w:rPr>
          <w:rFonts w:ascii="仿宋" w:hAnsi="仿宋" w:eastAsia="仿宋" w:cs="Times New Roman"/>
          <w:sz w:val="32"/>
          <w:szCs w:val="32"/>
        </w:rPr>
        <w:t>万元；支出</w:t>
      </w:r>
      <w:r>
        <w:rPr>
          <w:rFonts w:hint="eastAsia" w:ascii="仿宋" w:hAnsi="仿宋" w:eastAsia="仿宋" w:cs="Times New Roman"/>
          <w:sz w:val="32"/>
          <w:szCs w:val="32"/>
        </w:rPr>
        <w:t>0</w:t>
      </w:r>
      <w:r>
        <w:rPr>
          <w:rFonts w:ascii="仿宋" w:hAnsi="仿宋" w:eastAsia="仿宋" w:cs="Times New Roman"/>
          <w:sz w:val="32"/>
          <w:szCs w:val="32"/>
        </w:rPr>
        <w:t>万元，其中基本支出</w:t>
      </w:r>
      <w:r>
        <w:rPr>
          <w:rFonts w:hint="eastAsia" w:ascii="仿宋" w:hAnsi="仿宋" w:eastAsia="仿宋" w:cs="Times New Roman"/>
          <w:sz w:val="32"/>
          <w:szCs w:val="32"/>
        </w:rPr>
        <w:t>0</w:t>
      </w:r>
      <w:r>
        <w:rPr>
          <w:rFonts w:ascii="仿宋" w:hAnsi="仿宋" w:eastAsia="仿宋" w:cs="Times New Roman"/>
          <w:sz w:val="32"/>
          <w:szCs w:val="32"/>
        </w:rPr>
        <w:t>万元，项目支出</w:t>
      </w:r>
      <w:r>
        <w:rPr>
          <w:rFonts w:hint="eastAsia" w:ascii="仿宋" w:hAnsi="仿宋" w:eastAsia="仿宋" w:cs="Times New Roman"/>
          <w:sz w:val="32"/>
          <w:szCs w:val="32"/>
        </w:rPr>
        <w:t>0</w:t>
      </w:r>
      <w:r>
        <w:rPr>
          <w:rFonts w:ascii="仿宋" w:hAnsi="仿宋" w:eastAsia="仿宋" w:cs="Times New Roman"/>
          <w:sz w:val="32"/>
          <w:szCs w:val="32"/>
        </w:rPr>
        <w:t>万元；年末结转和结余</w:t>
      </w:r>
      <w:r>
        <w:rPr>
          <w:rFonts w:hint="eastAsia" w:ascii="仿宋" w:hAnsi="仿宋" w:eastAsia="仿宋" w:cs="Times New Roman"/>
          <w:sz w:val="32"/>
          <w:szCs w:val="32"/>
        </w:rPr>
        <w:t>0</w:t>
      </w:r>
      <w:r>
        <w:rPr>
          <w:rFonts w:ascii="仿宋" w:hAnsi="仿宋" w:eastAsia="仿宋" w:cs="Times New Roman"/>
          <w:sz w:val="32"/>
          <w:szCs w:val="32"/>
        </w:rPr>
        <w:t>万元。具体情况如下</w:t>
      </w:r>
      <w:r>
        <w:rPr>
          <w:rFonts w:hint="eastAsia" w:ascii="仿宋" w:hAnsi="仿宋" w:eastAsia="仿宋" w:cs="Times New Roman"/>
          <w:sz w:val="32"/>
          <w:szCs w:val="32"/>
        </w:rPr>
        <w:t>：</w:t>
      </w:r>
    </w:p>
    <w:p w14:paraId="3B6ABAC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2024年度本单位无</w:t>
      </w:r>
      <w:r>
        <w:rPr>
          <w:rFonts w:hint="eastAsia" w:ascii="仿宋" w:hAnsi="仿宋" w:eastAsia="仿宋" w:cs="仿宋"/>
          <w:bCs/>
          <w:sz w:val="32"/>
          <w:szCs w:val="32"/>
        </w:rPr>
        <w:t>政府性基金预算收</w:t>
      </w:r>
      <w:r>
        <w:rPr>
          <w:rFonts w:hint="eastAsia" w:ascii="仿宋" w:hAnsi="仿宋" w:eastAsia="仿宋" w:cs="仿宋"/>
          <w:sz w:val="32"/>
          <w:szCs w:val="32"/>
        </w:rPr>
        <w:t>支。</w:t>
      </w:r>
    </w:p>
    <w:p w14:paraId="1ADCE45B">
      <w:pPr>
        <w:spacing w:line="600" w:lineRule="exact"/>
        <w:ind w:firstLine="640" w:firstLineChars="200"/>
        <w:rPr>
          <w:rFonts w:ascii="宋体" w:hAnsi="宋体" w:eastAsia="宋体"/>
          <w:sz w:val="32"/>
          <w:szCs w:val="32"/>
        </w:rPr>
      </w:pPr>
      <w:r>
        <w:rPr>
          <w:rFonts w:hint="eastAsia" w:ascii="黑体" w:hAnsi="黑体" w:eastAsia="黑体" w:cs="黑体"/>
          <w:color w:val="000000"/>
          <w:kern w:val="0"/>
          <w:sz w:val="32"/>
          <w:szCs w:val="32"/>
        </w:rPr>
        <w:t>九、国有资本经营预算收入支出决算说明</w:t>
      </w:r>
    </w:p>
    <w:p w14:paraId="373CC32D">
      <w:pPr>
        <w:spacing w:line="600" w:lineRule="exact"/>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年度国有资本经营预算财政拨款收入0万元；年初结转和结余0万元；支出0万元，其中基本支出0万元，项目支出0万元；年末结转和结余0万元。</w:t>
      </w:r>
    </w:p>
    <w:p w14:paraId="3EB37E3A">
      <w:pPr>
        <w:spacing w:line="600" w:lineRule="exact"/>
        <w:ind w:firstLine="640" w:firstLineChars="200"/>
        <w:rPr>
          <w:rFonts w:ascii="仿宋" w:hAnsi="仿宋" w:eastAsia="仿宋" w:cs="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年度本单位无</w:t>
      </w:r>
      <w:r>
        <w:rPr>
          <w:rFonts w:hint="eastAsia" w:ascii="仿宋" w:hAnsi="仿宋" w:eastAsia="仿宋" w:cs="黑体"/>
          <w:color w:val="000000"/>
          <w:kern w:val="0"/>
          <w:sz w:val="32"/>
          <w:szCs w:val="32"/>
        </w:rPr>
        <w:t>国有资本经营预算收</w:t>
      </w:r>
      <w:r>
        <w:rPr>
          <w:rFonts w:hint="eastAsia" w:ascii="仿宋" w:hAnsi="仿宋" w:eastAsia="仿宋"/>
          <w:sz w:val="32"/>
          <w:szCs w:val="32"/>
        </w:rPr>
        <w:t>支</w:t>
      </w:r>
      <w:r>
        <w:rPr>
          <w:rFonts w:hint="eastAsia" w:ascii="仿宋" w:hAnsi="仿宋" w:eastAsia="仿宋"/>
          <w:b/>
          <w:sz w:val="32"/>
          <w:szCs w:val="32"/>
        </w:rPr>
        <w:t>。</w:t>
      </w:r>
    </w:p>
    <w:p w14:paraId="6C16717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十</w:t>
      </w:r>
      <w:r>
        <w:rPr>
          <w:rFonts w:ascii="Times New Roman" w:hAnsi="Times New Roman" w:cs="Times New Roman"/>
          <w:bCs/>
          <w:sz w:val="32"/>
          <w:szCs w:val="32"/>
        </w:rPr>
        <w:t>、关于机关运行经费支出说明</w:t>
      </w:r>
    </w:p>
    <w:p w14:paraId="45C3C3BD">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本部门2024年度机关运行经费支出</w:t>
      </w:r>
      <w:r>
        <w:rPr>
          <w:rFonts w:hint="eastAsia" w:ascii="仿宋" w:hAnsi="仿宋" w:eastAsia="仿宋" w:cs="Times New Roman"/>
          <w:sz w:val="32"/>
          <w:szCs w:val="32"/>
        </w:rPr>
        <w:t>29.97</w:t>
      </w:r>
      <w:r>
        <w:rPr>
          <w:rFonts w:ascii="仿宋" w:hAnsi="仿宋" w:eastAsia="仿宋" w:cs="Times New Roman"/>
          <w:sz w:val="32"/>
          <w:szCs w:val="32"/>
        </w:rPr>
        <w:t>万</w:t>
      </w:r>
      <w:r>
        <w:rPr>
          <w:rFonts w:hint="eastAsia" w:ascii="仿宋" w:hAnsi="仿宋" w:eastAsia="仿宋" w:cs="Times New Roman"/>
          <w:sz w:val="32"/>
          <w:szCs w:val="32"/>
        </w:rPr>
        <w:t>元，</w:t>
      </w:r>
      <w:r>
        <w:rPr>
          <w:rFonts w:ascii="仿宋" w:hAnsi="仿宋" w:eastAsia="仿宋" w:cs="Times New Roman"/>
          <w:sz w:val="32"/>
          <w:szCs w:val="32"/>
        </w:rPr>
        <w:t>比年初预算数</w:t>
      </w:r>
      <w:r>
        <w:rPr>
          <w:rFonts w:hint="eastAsia" w:ascii="仿宋" w:hAnsi="仿宋" w:eastAsia="仿宋" w:cs="Times New Roman"/>
          <w:sz w:val="32"/>
          <w:szCs w:val="32"/>
        </w:rPr>
        <w:t>减少5.44</w:t>
      </w:r>
      <w:r>
        <w:rPr>
          <w:rFonts w:ascii="仿宋" w:hAnsi="仿宋" w:eastAsia="仿宋" w:cs="Times New Roman"/>
          <w:sz w:val="32"/>
          <w:szCs w:val="32"/>
        </w:rPr>
        <w:t xml:space="preserve"> 万元，降低</w:t>
      </w:r>
      <w:r>
        <w:rPr>
          <w:rFonts w:hint="eastAsia" w:ascii="仿宋" w:hAnsi="仿宋" w:eastAsia="仿宋" w:cs="Times New Roman"/>
          <w:sz w:val="32"/>
          <w:szCs w:val="32"/>
        </w:rPr>
        <w:t>15.36</w:t>
      </w:r>
      <w:r>
        <w:rPr>
          <w:rFonts w:ascii="仿宋" w:hAnsi="仿宋" w:eastAsia="仿宋" w:cs="Times New Roman"/>
          <w:sz w:val="32"/>
          <w:szCs w:val="32"/>
        </w:rPr>
        <w:t>%。主要原因是</w:t>
      </w:r>
      <w:r>
        <w:rPr>
          <w:rFonts w:hint="eastAsia" w:ascii="仿宋" w:hAnsi="仿宋" w:eastAsia="仿宋" w:cs="仿宋"/>
          <w:sz w:val="32"/>
          <w:szCs w:val="32"/>
        </w:rPr>
        <w:t>：严格执行开支范围和标准，压缩开支，厉行节约，继续减少机关运行经费支出。</w:t>
      </w:r>
    </w:p>
    <w:p w14:paraId="1DE18EE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rPr>
        <w:t>一</w:t>
      </w:r>
      <w:r>
        <w:rPr>
          <w:rFonts w:ascii="Times New Roman" w:hAnsi="Times New Roman" w:cs="Times New Roman"/>
          <w:bCs/>
          <w:sz w:val="32"/>
          <w:szCs w:val="32"/>
        </w:rPr>
        <w:t>、一般性支出情况说明</w:t>
      </w:r>
    </w:p>
    <w:p w14:paraId="6621427A">
      <w:pPr>
        <w:pStyle w:val="15"/>
        <w:overflowPunct w:val="0"/>
        <w:autoSpaceDE/>
        <w:autoSpaceDN/>
        <w:spacing w:line="60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2024年本部门开支会议费</w:t>
      </w:r>
      <w:r>
        <w:rPr>
          <w:rFonts w:hint="eastAsia" w:ascii="仿宋" w:hAnsi="仿宋" w:eastAsia="仿宋" w:cs="Times New Roman"/>
          <w:sz w:val="32"/>
          <w:szCs w:val="32"/>
        </w:rPr>
        <w:t>0</w:t>
      </w:r>
      <w:r>
        <w:rPr>
          <w:rFonts w:ascii="仿宋" w:hAnsi="仿宋" w:eastAsia="仿宋" w:cs="Times New Roman"/>
          <w:sz w:val="32"/>
          <w:szCs w:val="32"/>
        </w:rPr>
        <w:t>万元，；开支培训费</w:t>
      </w:r>
      <w:r>
        <w:rPr>
          <w:rFonts w:hint="eastAsia" w:ascii="仿宋" w:hAnsi="仿宋" w:eastAsia="仿宋" w:cs="Times New Roman"/>
          <w:sz w:val="32"/>
          <w:szCs w:val="32"/>
        </w:rPr>
        <w:t>0.98</w:t>
      </w:r>
      <w:r>
        <w:rPr>
          <w:rFonts w:ascii="仿宋" w:hAnsi="仿宋" w:eastAsia="仿宋" w:cs="Times New Roman"/>
          <w:sz w:val="32"/>
          <w:szCs w:val="32"/>
        </w:rPr>
        <w:t>万元，</w:t>
      </w:r>
      <w:r>
        <w:rPr>
          <w:rFonts w:hint="eastAsia" w:ascii="仿宋" w:hAnsi="仿宋" w:eastAsia="仿宋" w:cs="Times New Roman"/>
          <w:sz w:val="32"/>
          <w:szCs w:val="32"/>
        </w:rPr>
        <w:t>其中：0.39万元</w:t>
      </w:r>
      <w:r>
        <w:rPr>
          <w:rFonts w:ascii="仿宋" w:hAnsi="仿宋" w:eastAsia="仿宋" w:cs="Times New Roman"/>
          <w:sz w:val="32"/>
          <w:szCs w:val="32"/>
        </w:rPr>
        <w:t>用于</w:t>
      </w:r>
      <w:r>
        <w:rPr>
          <w:rFonts w:hint="eastAsia" w:ascii="仿宋" w:hAnsi="仿宋" w:eastAsia="仿宋" w:cs="Times New Roman"/>
          <w:sz w:val="32"/>
          <w:szCs w:val="32"/>
        </w:rPr>
        <w:t>2024年行政执法考试报名费</w:t>
      </w:r>
      <w:r>
        <w:rPr>
          <w:rFonts w:ascii="仿宋" w:hAnsi="仿宋" w:eastAsia="仿宋" w:cs="Times New Roman"/>
          <w:sz w:val="32"/>
          <w:szCs w:val="32"/>
        </w:rPr>
        <w:t>，人数</w:t>
      </w:r>
      <w:r>
        <w:rPr>
          <w:rFonts w:hint="eastAsia" w:ascii="仿宋" w:hAnsi="仿宋" w:eastAsia="仿宋" w:cs="Times New Roman"/>
          <w:sz w:val="32"/>
          <w:szCs w:val="32"/>
        </w:rPr>
        <w:t>18</w:t>
      </w:r>
      <w:r>
        <w:rPr>
          <w:rFonts w:ascii="仿宋" w:hAnsi="仿宋" w:eastAsia="仿宋" w:cs="Times New Roman"/>
          <w:sz w:val="32"/>
          <w:szCs w:val="32"/>
        </w:rPr>
        <w:t>人，</w:t>
      </w:r>
      <w:r>
        <w:rPr>
          <w:rFonts w:hint="eastAsia" w:ascii="仿宋" w:hAnsi="仿宋" w:eastAsia="仿宋" w:cs="Times New Roman"/>
          <w:sz w:val="32"/>
          <w:szCs w:val="32"/>
        </w:rPr>
        <w:t>0.59万元</w:t>
      </w:r>
      <w:r>
        <w:rPr>
          <w:rFonts w:hint="eastAsia" w:ascii="仿宋" w:hAnsi="仿宋" w:eastAsia="仿宋" w:cs="仿宋"/>
          <w:sz w:val="32"/>
          <w:szCs w:val="32"/>
        </w:rPr>
        <w:t>用于事业人员网上继续教育培训费，人数15人</w:t>
      </w:r>
      <w:r>
        <w:rPr>
          <w:rFonts w:ascii="仿宋" w:hAnsi="仿宋" w:eastAsia="仿宋" w:cs="Times New Roman"/>
          <w:sz w:val="32"/>
          <w:szCs w:val="32"/>
        </w:rPr>
        <w:t>；</w:t>
      </w:r>
      <w:r>
        <w:rPr>
          <w:rFonts w:hint="eastAsia" w:ascii="仿宋" w:hAnsi="仿宋" w:eastAsia="仿宋" w:cs="仿宋"/>
          <w:bCs/>
          <w:sz w:val="32"/>
          <w:szCs w:val="32"/>
        </w:rPr>
        <w:t>本年未举</w:t>
      </w:r>
      <w:r>
        <w:rPr>
          <w:rFonts w:ascii="仿宋" w:hAnsi="仿宋" w:eastAsia="仿宋" w:cs="Times New Roman"/>
          <w:sz w:val="32"/>
          <w:szCs w:val="32"/>
        </w:rPr>
        <w:t>节庆、晚会、论坛、赛事活动，开支</w:t>
      </w:r>
      <w:r>
        <w:rPr>
          <w:rFonts w:hint="eastAsia" w:ascii="仿宋" w:hAnsi="仿宋" w:eastAsia="仿宋" w:cs="Times New Roman"/>
          <w:sz w:val="32"/>
          <w:szCs w:val="32"/>
        </w:rPr>
        <w:t>0</w:t>
      </w:r>
      <w:r>
        <w:rPr>
          <w:rFonts w:ascii="仿宋" w:hAnsi="仿宋" w:eastAsia="仿宋" w:cs="Times New Roman"/>
          <w:sz w:val="32"/>
          <w:szCs w:val="32"/>
        </w:rPr>
        <w:t>万元</w:t>
      </w:r>
      <w:r>
        <w:rPr>
          <w:rFonts w:hint="eastAsia" w:ascii="仿宋" w:hAnsi="仿宋" w:eastAsia="仿宋" w:cs="Times New Roman"/>
          <w:sz w:val="32"/>
          <w:szCs w:val="32"/>
        </w:rPr>
        <w:t>。</w:t>
      </w:r>
    </w:p>
    <w:p w14:paraId="4EB67E8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rPr>
        <w:t>二</w:t>
      </w:r>
      <w:r>
        <w:rPr>
          <w:rFonts w:ascii="Times New Roman" w:hAnsi="Times New Roman" w:cs="Times New Roman"/>
          <w:bCs/>
          <w:sz w:val="32"/>
          <w:szCs w:val="32"/>
        </w:rPr>
        <w:t>、关于政府采购支出说明</w:t>
      </w:r>
    </w:p>
    <w:p w14:paraId="7F83B313">
      <w:pPr>
        <w:pStyle w:val="15"/>
        <w:overflowPunct w:val="0"/>
        <w:autoSpaceDE/>
        <w:autoSpaceDN/>
        <w:spacing w:line="600" w:lineRule="exact"/>
        <w:ind w:firstLine="640" w:firstLineChars="200"/>
        <w:jc w:val="both"/>
        <w:rPr>
          <w:rFonts w:ascii="仿宋" w:hAnsi="仿宋" w:eastAsia="仿宋" w:cs="Times New Roman"/>
          <w:b/>
          <w:bCs/>
          <w:i/>
          <w:color w:val="auto"/>
          <w:sz w:val="32"/>
          <w:szCs w:val="32"/>
        </w:rPr>
      </w:pPr>
      <w:r>
        <w:rPr>
          <w:rFonts w:ascii="仿宋" w:hAnsi="仿宋" w:eastAsia="仿宋" w:cs="Times New Roman"/>
          <w:sz w:val="32"/>
          <w:szCs w:val="32"/>
        </w:rPr>
        <w:t>本部门2024年度政府采购支出总额</w:t>
      </w:r>
      <w:r>
        <w:rPr>
          <w:rFonts w:hint="eastAsia" w:ascii="仿宋" w:hAnsi="仿宋" w:eastAsia="仿宋" w:cs="Times New Roman"/>
          <w:sz w:val="32"/>
          <w:szCs w:val="32"/>
        </w:rPr>
        <w:t>497.15</w:t>
      </w:r>
      <w:r>
        <w:rPr>
          <w:rFonts w:ascii="仿宋" w:hAnsi="仿宋" w:eastAsia="仿宋" w:cs="Times New Roman"/>
          <w:sz w:val="32"/>
          <w:szCs w:val="32"/>
        </w:rPr>
        <w:t>万元，其中：政府采购货物支出</w:t>
      </w:r>
      <w:r>
        <w:rPr>
          <w:rFonts w:hint="eastAsia" w:ascii="仿宋" w:hAnsi="仿宋" w:eastAsia="仿宋" w:cs="Times New Roman"/>
          <w:sz w:val="32"/>
          <w:szCs w:val="32"/>
        </w:rPr>
        <w:t>224.53</w:t>
      </w:r>
      <w:r>
        <w:rPr>
          <w:rFonts w:ascii="仿宋" w:hAnsi="仿宋" w:eastAsia="仿宋" w:cs="Times New Roman"/>
          <w:sz w:val="32"/>
          <w:szCs w:val="32"/>
        </w:rPr>
        <w:t>万元、政府采购工程支出</w:t>
      </w:r>
      <w:r>
        <w:rPr>
          <w:rFonts w:hint="eastAsia" w:ascii="仿宋" w:hAnsi="仿宋" w:eastAsia="仿宋" w:cs="Times New Roman"/>
          <w:sz w:val="32"/>
          <w:szCs w:val="32"/>
        </w:rPr>
        <w:t>80</w:t>
      </w:r>
      <w:r>
        <w:rPr>
          <w:rFonts w:ascii="仿宋" w:hAnsi="仿宋" w:eastAsia="仿宋" w:cs="Times New Roman"/>
          <w:sz w:val="32"/>
          <w:szCs w:val="32"/>
        </w:rPr>
        <w:t>万元、政府采购服务支出</w:t>
      </w:r>
      <w:r>
        <w:rPr>
          <w:rFonts w:hint="eastAsia" w:ascii="仿宋" w:hAnsi="仿宋" w:eastAsia="仿宋" w:cs="Times New Roman"/>
          <w:sz w:val="32"/>
          <w:szCs w:val="32"/>
        </w:rPr>
        <w:t>192.62</w:t>
      </w:r>
      <w:r>
        <w:rPr>
          <w:rFonts w:ascii="仿宋" w:hAnsi="仿宋" w:eastAsia="仿宋" w:cs="Times New Roman"/>
          <w:sz w:val="32"/>
          <w:szCs w:val="32"/>
        </w:rPr>
        <w:t>万元。授予中小企业合同金额</w:t>
      </w:r>
      <w:r>
        <w:rPr>
          <w:rFonts w:hint="eastAsia" w:ascii="仿宋" w:hAnsi="仿宋" w:eastAsia="仿宋" w:cs="Times New Roman"/>
          <w:sz w:val="32"/>
          <w:szCs w:val="32"/>
        </w:rPr>
        <w:t>497.15</w:t>
      </w:r>
      <w:r>
        <w:rPr>
          <w:rFonts w:ascii="仿宋" w:hAnsi="仿宋" w:eastAsia="仿宋" w:cs="Times New Roman"/>
          <w:sz w:val="32"/>
          <w:szCs w:val="32"/>
        </w:rPr>
        <w:t>万元，占政府采购支出总额的</w:t>
      </w:r>
      <w:r>
        <w:rPr>
          <w:rFonts w:hint="eastAsia" w:ascii="仿宋" w:hAnsi="仿宋" w:eastAsia="仿宋" w:cs="Times New Roman"/>
          <w:sz w:val="32"/>
          <w:szCs w:val="32"/>
        </w:rPr>
        <w:t>100</w:t>
      </w:r>
      <w:r>
        <w:rPr>
          <w:rFonts w:ascii="仿宋" w:hAnsi="仿宋" w:eastAsia="仿宋" w:cs="Times New Roman"/>
          <w:sz w:val="32"/>
          <w:szCs w:val="32"/>
        </w:rPr>
        <w:t>%，其中：授予小微企业合同金额</w:t>
      </w:r>
      <w:r>
        <w:rPr>
          <w:rFonts w:hint="eastAsia" w:ascii="仿宋" w:hAnsi="仿宋" w:eastAsia="仿宋" w:cs="Times New Roman"/>
          <w:sz w:val="32"/>
          <w:szCs w:val="32"/>
        </w:rPr>
        <w:t>497.15</w:t>
      </w:r>
      <w:r>
        <w:rPr>
          <w:rFonts w:ascii="仿宋" w:hAnsi="仿宋" w:eastAsia="仿宋" w:cs="Times New Roman"/>
          <w:sz w:val="32"/>
          <w:szCs w:val="32"/>
        </w:rPr>
        <w:t>万元，</w:t>
      </w:r>
      <w:r>
        <w:rPr>
          <w:rFonts w:ascii="仿宋" w:hAnsi="仿宋" w:eastAsia="仿宋" w:cs="Times New Roman"/>
          <w:color w:val="auto"/>
          <w:sz w:val="32"/>
          <w:szCs w:val="32"/>
        </w:rPr>
        <w:t>占授予中小企业合同金额的</w:t>
      </w:r>
      <w:r>
        <w:rPr>
          <w:rFonts w:hint="eastAsia" w:ascii="仿宋" w:hAnsi="仿宋" w:eastAsia="仿宋" w:cs="Times New Roman"/>
          <w:color w:val="auto"/>
          <w:sz w:val="32"/>
          <w:szCs w:val="32"/>
        </w:rPr>
        <w:t>100</w:t>
      </w:r>
      <w:r>
        <w:rPr>
          <w:rFonts w:ascii="仿宋" w:hAnsi="仿宋" w:eastAsia="仿宋" w:cs="Times New Roman"/>
          <w:color w:val="auto"/>
          <w:sz w:val="32"/>
          <w:szCs w:val="32"/>
        </w:rPr>
        <w:t>%。货物采购授予中小企业合同金额占货物支出金额的</w:t>
      </w:r>
      <w:r>
        <w:rPr>
          <w:rFonts w:hint="eastAsia" w:ascii="仿宋" w:hAnsi="仿宋" w:eastAsia="仿宋" w:cs="Times New Roman"/>
          <w:color w:val="auto"/>
          <w:sz w:val="32"/>
          <w:szCs w:val="32"/>
        </w:rPr>
        <w:t>45.16</w:t>
      </w:r>
      <w:r>
        <w:rPr>
          <w:rFonts w:ascii="仿宋" w:hAnsi="仿宋" w:eastAsia="仿宋" w:cs="Times New Roman"/>
          <w:color w:val="auto"/>
          <w:sz w:val="32"/>
          <w:szCs w:val="32"/>
        </w:rPr>
        <w:t>%，工程采购授予中小企业合同金额占工程支出金额的</w:t>
      </w:r>
      <w:r>
        <w:rPr>
          <w:rFonts w:hint="eastAsia" w:ascii="仿宋" w:hAnsi="仿宋" w:eastAsia="仿宋" w:cs="Times New Roman"/>
          <w:color w:val="auto"/>
          <w:sz w:val="32"/>
          <w:szCs w:val="32"/>
        </w:rPr>
        <w:t>16.09</w:t>
      </w:r>
      <w:r>
        <w:rPr>
          <w:rFonts w:ascii="仿宋" w:hAnsi="仿宋" w:eastAsia="仿宋" w:cs="Times New Roman"/>
          <w:color w:val="auto"/>
          <w:sz w:val="32"/>
          <w:szCs w:val="32"/>
        </w:rPr>
        <w:t>%，服务采购授予中小企业合同金额占服务支出金额的</w:t>
      </w:r>
      <w:r>
        <w:rPr>
          <w:rFonts w:hint="eastAsia" w:ascii="仿宋" w:hAnsi="仿宋" w:eastAsia="仿宋" w:cs="Times New Roman"/>
          <w:color w:val="auto"/>
          <w:sz w:val="32"/>
          <w:szCs w:val="32"/>
        </w:rPr>
        <w:t>38.75</w:t>
      </w:r>
      <w:r>
        <w:rPr>
          <w:rFonts w:ascii="仿宋" w:hAnsi="仿宋" w:eastAsia="仿宋" w:cs="Times New Roman"/>
          <w:color w:val="auto"/>
          <w:sz w:val="32"/>
          <w:szCs w:val="32"/>
        </w:rPr>
        <w:t>%。</w:t>
      </w:r>
    </w:p>
    <w:p w14:paraId="7DE3A07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rPr>
        <w:t>三</w:t>
      </w:r>
      <w:r>
        <w:rPr>
          <w:rFonts w:ascii="Times New Roman" w:hAnsi="Times New Roman" w:cs="Times New Roman"/>
          <w:bCs/>
          <w:color w:val="auto"/>
          <w:sz w:val="32"/>
          <w:szCs w:val="32"/>
        </w:rPr>
        <w:t>、关于国有资产占用情况说明</w:t>
      </w:r>
    </w:p>
    <w:p w14:paraId="39ABBC0D">
      <w:pPr>
        <w:pStyle w:val="15"/>
        <w:overflowPunct w:val="0"/>
        <w:autoSpaceDE/>
        <w:autoSpaceDN/>
        <w:spacing w:line="600" w:lineRule="exact"/>
        <w:ind w:firstLine="640" w:firstLineChars="200"/>
        <w:jc w:val="both"/>
        <w:rPr>
          <w:rFonts w:ascii="仿宋" w:hAnsi="仿宋" w:eastAsia="仿宋" w:cs="Times New Roman"/>
          <w:color w:val="auto"/>
          <w:sz w:val="32"/>
          <w:szCs w:val="32"/>
        </w:rPr>
      </w:pPr>
      <w:r>
        <w:rPr>
          <w:rFonts w:ascii="仿宋" w:hAnsi="仿宋" w:eastAsia="仿宋" w:cs="Times New Roman"/>
          <w:color w:val="auto"/>
          <w:sz w:val="32"/>
          <w:szCs w:val="32"/>
        </w:rPr>
        <w:t>截至2024年12月31日，部门（单位）共有车辆</w:t>
      </w:r>
      <w:r>
        <w:rPr>
          <w:rFonts w:hint="eastAsia" w:ascii="仿宋" w:hAnsi="仿宋" w:eastAsia="仿宋" w:cs="Times New Roman"/>
          <w:color w:val="auto"/>
          <w:sz w:val="32"/>
          <w:szCs w:val="32"/>
        </w:rPr>
        <w:t>2</w:t>
      </w:r>
      <w:r>
        <w:rPr>
          <w:rFonts w:ascii="仿宋" w:hAnsi="仿宋" w:eastAsia="仿宋" w:cs="Times New Roman"/>
          <w:color w:val="auto"/>
          <w:sz w:val="32"/>
          <w:szCs w:val="32"/>
        </w:rPr>
        <w:t>辆，其中，副部（省）级及以上领导用车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辆、主要负责人用车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辆、机要通信用车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辆、应急保障用车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辆、执法执勤用车</w:t>
      </w:r>
      <w:r>
        <w:rPr>
          <w:rFonts w:hint="eastAsia" w:ascii="仿宋" w:hAnsi="仿宋" w:eastAsia="仿宋" w:cs="Times New Roman"/>
          <w:color w:val="auto"/>
          <w:sz w:val="32"/>
          <w:szCs w:val="32"/>
        </w:rPr>
        <w:t>1</w:t>
      </w:r>
      <w:r>
        <w:rPr>
          <w:rFonts w:ascii="仿宋" w:hAnsi="仿宋" w:eastAsia="仿宋" w:cs="Times New Roman"/>
          <w:color w:val="auto"/>
          <w:sz w:val="32"/>
          <w:szCs w:val="32"/>
        </w:rPr>
        <w:t>辆、特种专业技术用车</w:t>
      </w:r>
      <w:r>
        <w:rPr>
          <w:rFonts w:hint="eastAsia" w:ascii="仿宋" w:hAnsi="仿宋" w:eastAsia="仿宋" w:cs="Times New Roman"/>
          <w:color w:val="auto"/>
          <w:sz w:val="32"/>
          <w:szCs w:val="32"/>
        </w:rPr>
        <w:t>0</w:t>
      </w:r>
      <w:r>
        <w:rPr>
          <w:rFonts w:ascii="仿宋" w:hAnsi="仿宋" w:eastAsia="仿宋" w:cs="Times New Roman"/>
          <w:color w:val="auto"/>
          <w:sz w:val="32"/>
          <w:szCs w:val="32"/>
        </w:rPr>
        <w:t>辆、离退休干部服务用</w:t>
      </w:r>
      <w:r>
        <w:rPr>
          <w:rFonts w:hint="eastAsia" w:ascii="仿宋" w:hAnsi="仿宋" w:eastAsia="仿宋" w:cs="Times New Roman"/>
          <w:color w:val="auto"/>
          <w:sz w:val="32"/>
          <w:szCs w:val="32"/>
        </w:rPr>
        <w:t>0</w:t>
      </w:r>
      <w:r>
        <w:rPr>
          <w:rFonts w:ascii="仿宋" w:hAnsi="仿宋" w:eastAsia="仿宋" w:cs="Times New Roman"/>
          <w:color w:val="auto"/>
          <w:sz w:val="32"/>
          <w:szCs w:val="32"/>
        </w:rPr>
        <w:t>辆、其他用车</w:t>
      </w:r>
      <w:r>
        <w:rPr>
          <w:rFonts w:hint="eastAsia" w:ascii="仿宋" w:hAnsi="仿宋" w:eastAsia="仿宋" w:cs="Times New Roman"/>
          <w:color w:val="auto"/>
          <w:sz w:val="32"/>
          <w:szCs w:val="32"/>
        </w:rPr>
        <w:t>1</w:t>
      </w:r>
      <w:r>
        <w:rPr>
          <w:rFonts w:ascii="仿宋" w:hAnsi="仿宋" w:eastAsia="仿宋" w:cs="Times New Roman"/>
          <w:color w:val="auto"/>
          <w:sz w:val="32"/>
          <w:szCs w:val="32"/>
        </w:rPr>
        <w:t>辆，其他用车主要是</w:t>
      </w:r>
      <w:r>
        <w:rPr>
          <w:rFonts w:hint="eastAsia" w:ascii="仿宋" w:hAnsi="仿宋" w:eastAsia="仿宋" w:cs="Times New Roman"/>
          <w:color w:val="auto"/>
          <w:sz w:val="32"/>
          <w:szCs w:val="32"/>
        </w:rPr>
        <w:t>监测用车</w:t>
      </w:r>
      <w:r>
        <w:rPr>
          <w:rFonts w:ascii="仿宋" w:hAnsi="仿宋" w:eastAsia="仿宋" w:cs="Times New Roman"/>
          <w:color w:val="auto"/>
          <w:sz w:val="32"/>
          <w:szCs w:val="32"/>
        </w:rPr>
        <w:t>；单位价值100万元以上设备（不含车辆）</w:t>
      </w:r>
      <w:r>
        <w:rPr>
          <w:rFonts w:hint="eastAsia" w:ascii="仿宋" w:hAnsi="仿宋" w:eastAsia="仿宋" w:cs="Times New Roman"/>
          <w:color w:val="auto"/>
          <w:sz w:val="32"/>
          <w:szCs w:val="32"/>
        </w:rPr>
        <w:t>1</w:t>
      </w:r>
      <w:r>
        <w:rPr>
          <w:rFonts w:ascii="仿宋" w:hAnsi="仿宋" w:eastAsia="仿宋" w:cs="Times New Roman"/>
          <w:color w:val="auto"/>
          <w:sz w:val="32"/>
          <w:szCs w:val="32"/>
        </w:rPr>
        <w:t>台（套）。</w:t>
      </w:r>
    </w:p>
    <w:p w14:paraId="12A22F3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71255C4">
      <w:pPr>
        <w:overflowPunct w:val="0"/>
        <w:spacing w:line="600" w:lineRule="exact"/>
        <w:ind w:firstLine="640" w:firstLineChars="200"/>
        <w:rPr>
          <w:rFonts w:hint="eastAsia"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仿宋" w:hAnsi="仿宋" w:eastAsia="仿宋" w:cs="Times New Roman"/>
          <w:b/>
          <w:bCs/>
          <w:kern w:val="0"/>
          <w:sz w:val="32"/>
          <w:szCs w:val="32"/>
        </w:rPr>
        <w:t>一是绩效自评开展情况。</w:t>
      </w:r>
      <w:r>
        <w:rPr>
          <w:rFonts w:ascii="仿宋" w:hAnsi="仿宋" w:eastAsia="仿宋" w:cs="Times New Roman"/>
          <w:kern w:val="0"/>
          <w:sz w:val="32"/>
          <w:szCs w:val="32"/>
        </w:rPr>
        <w:t>组织对2024年度本部门（单位）整体支出开展绩效自评，涉及项目</w:t>
      </w:r>
      <w:r>
        <w:rPr>
          <w:rFonts w:hint="eastAsia" w:ascii="仿宋" w:hAnsi="仿宋" w:eastAsia="仿宋" w:cs="Times New Roman"/>
          <w:kern w:val="0"/>
          <w:sz w:val="32"/>
          <w:szCs w:val="32"/>
        </w:rPr>
        <w:t>13</w:t>
      </w:r>
      <w:r>
        <w:rPr>
          <w:rFonts w:ascii="仿宋" w:hAnsi="仿宋" w:eastAsia="仿宋" w:cs="Times New Roman"/>
          <w:kern w:val="0"/>
          <w:sz w:val="32"/>
          <w:szCs w:val="32"/>
        </w:rPr>
        <w:t>个，共涉及资金</w:t>
      </w:r>
      <w:r>
        <w:rPr>
          <w:rFonts w:hint="eastAsia" w:ascii="仿宋" w:hAnsi="仿宋" w:eastAsia="仿宋" w:cs="Times New Roman"/>
          <w:kern w:val="0"/>
          <w:sz w:val="32"/>
          <w:szCs w:val="32"/>
        </w:rPr>
        <w:t>569.15</w:t>
      </w:r>
      <w:r>
        <w:rPr>
          <w:rFonts w:ascii="仿宋" w:hAnsi="仿宋" w:eastAsia="仿宋" w:cs="Times New Roman"/>
          <w:kern w:val="0"/>
          <w:sz w:val="32"/>
          <w:szCs w:val="32"/>
        </w:rPr>
        <w:t>万元。其中，一般公共预算项目</w:t>
      </w:r>
      <w:r>
        <w:rPr>
          <w:rFonts w:hint="eastAsia" w:ascii="仿宋" w:hAnsi="仿宋" w:eastAsia="仿宋" w:cs="Times New Roman"/>
          <w:kern w:val="0"/>
          <w:sz w:val="32"/>
          <w:szCs w:val="32"/>
        </w:rPr>
        <w:t>2</w:t>
      </w:r>
      <w:r>
        <w:rPr>
          <w:rFonts w:ascii="仿宋" w:hAnsi="仿宋" w:eastAsia="仿宋" w:cs="Times New Roman"/>
          <w:kern w:val="0"/>
          <w:sz w:val="32"/>
          <w:szCs w:val="32"/>
        </w:rPr>
        <w:t>个</w:t>
      </w:r>
      <w:r>
        <w:rPr>
          <w:rFonts w:hint="eastAsia" w:ascii="仿宋" w:hAnsi="仿宋" w:eastAsia="仿宋" w:cs="Times New Roman"/>
          <w:kern w:val="0"/>
          <w:sz w:val="32"/>
          <w:szCs w:val="32"/>
        </w:rPr>
        <w:t>39</w:t>
      </w:r>
      <w:r>
        <w:rPr>
          <w:rFonts w:ascii="仿宋" w:hAnsi="仿宋" w:eastAsia="仿宋" w:cs="Times New Roman"/>
          <w:kern w:val="0"/>
          <w:sz w:val="32"/>
          <w:szCs w:val="32"/>
        </w:rPr>
        <w:t>万元，占一般公共预算支出总额的</w:t>
      </w:r>
      <w:r>
        <w:rPr>
          <w:rFonts w:hint="eastAsia" w:ascii="仿宋" w:hAnsi="仿宋" w:eastAsia="仿宋" w:cs="Times New Roman"/>
          <w:kern w:val="0"/>
          <w:sz w:val="32"/>
          <w:szCs w:val="32"/>
        </w:rPr>
        <w:t>6.85</w:t>
      </w:r>
      <w:r>
        <w:rPr>
          <w:rFonts w:ascii="仿宋" w:hAnsi="仿宋" w:eastAsia="仿宋" w:cs="Times New Roman"/>
          <w:kern w:val="0"/>
          <w:sz w:val="32"/>
          <w:szCs w:val="32"/>
        </w:rPr>
        <w:t>%</w:t>
      </w:r>
      <w:r>
        <w:rPr>
          <w:rFonts w:hint="eastAsia" w:ascii="仿宋" w:hAnsi="仿宋" w:eastAsia="仿宋" w:cs="Times New Roman"/>
          <w:kern w:val="0"/>
          <w:sz w:val="32"/>
          <w:szCs w:val="32"/>
        </w:rPr>
        <w:t>.</w:t>
      </w:r>
      <w:r>
        <w:rPr>
          <w:rFonts w:hint="eastAsia" w:ascii="仿宋" w:hAnsi="仿宋" w:eastAsia="仿宋" w:cs="Times New Roman"/>
          <w:b/>
          <w:bCs/>
          <w:sz w:val="32"/>
          <w:szCs w:val="32"/>
        </w:rPr>
        <w:t>。</w:t>
      </w:r>
    </w:p>
    <w:p w14:paraId="57D9C425">
      <w:pPr>
        <w:overflowPunct w:val="0"/>
        <w:spacing w:line="600" w:lineRule="exact"/>
        <w:ind w:firstLine="640" w:firstLineChars="200"/>
        <w:rPr>
          <w:rFonts w:hint="eastAsia" w:ascii="仿宋" w:hAnsi="仿宋" w:eastAsia="仿宋" w:cs="仿宋"/>
          <w:color w:val="000000"/>
          <w:kern w:val="0"/>
          <w:sz w:val="32"/>
          <w:szCs w:val="32"/>
        </w:rPr>
      </w:pPr>
      <w:r>
        <w:rPr>
          <w:rFonts w:ascii="Times New Roman" w:hAnsi="Times New Roman" w:eastAsia="楷体_GB2312" w:cs="Times New Roman"/>
          <w:b/>
          <w:bCs/>
          <w:sz w:val="32"/>
          <w:szCs w:val="32"/>
        </w:rPr>
        <w:t>（二）绩效评价结果。</w:t>
      </w:r>
      <w:r>
        <w:rPr>
          <w:rFonts w:ascii="仿宋" w:hAnsi="仿宋" w:eastAsia="仿宋" w:cs="Times New Roman"/>
          <w:b/>
          <w:bCs/>
          <w:kern w:val="0"/>
          <w:sz w:val="32"/>
          <w:szCs w:val="32"/>
        </w:rPr>
        <w:t>一是绩效自评结果。</w:t>
      </w:r>
      <w:r>
        <w:rPr>
          <w:rFonts w:ascii="仿宋" w:hAnsi="仿宋" w:eastAsia="仿宋" w:cs="Times New Roman"/>
          <w:kern w:val="0"/>
          <w:sz w:val="32"/>
          <w:szCs w:val="32"/>
        </w:rPr>
        <w:t>2024年度本部门（单位）整体支出</w:t>
      </w:r>
      <w:r>
        <w:rPr>
          <w:rFonts w:ascii="仿宋" w:hAnsi="仿宋" w:eastAsia="仿宋" w:cs="Times New Roman"/>
          <w:sz w:val="32"/>
          <w:szCs w:val="32"/>
        </w:rPr>
        <w:t>全年预算数</w:t>
      </w:r>
      <w:r>
        <w:rPr>
          <w:rFonts w:hint="eastAsia" w:ascii="仿宋" w:hAnsi="仿宋" w:eastAsia="仿宋" w:cs="Times New Roman"/>
          <w:sz w:val="32"/>
          <w:szCs w:val="32"/>
        </w:rPr>
        <w:t>1143.03</w:t>
      </w:r>
      <w:r>
        <w:rPr>
          <w:rFonts w:ascii="仿宋" w:hAnsi="仿宋" w:eastAsia="仿宋" w:cs="Times New Roman"/>
          <w:sz w:val="32"/>
          <w:szCs w:val="32"/>
        </w:rPr>
        <w:t>万元，执行数</w:t>
      </w:r>
      <w:r>
        <w:rPr>
          <w:rFonts w:hint="eastAsia" w:ascii="仿宋" w:hAnsi="仿宋" w:eastAsia="仿宋" w:cs="Times New Roman"/>
          <w:sz w:val="32"/>
          <w:szCs w:val="32"/>
        </w:rPr>
        <w:t>1116.83</w:t>
      </w:r>
      <w:r>
        <w:rPr>
          <w:rFonts w:ascii="仿宋" w:hAnsi="仿宋" w:eastAsia="仿宋" w:cs="Times New Roman"/>
          <w:sz w:val="32"/>
          <w:szCs w:val="32"/>
        </w:rPr>
        <w:t>万元，完成预算的</w:t>
      </w:r>
      <w:r>
        <w:rPr>
          <w:rFonts w:hint="eastAsia" w:ascii="仿宋" w:hAnsi="仿宋" w:eastAsia="仿宋" w:cs="Times New Roman"/>
          <w:sz w:val="32"/>
          <w:szCs w:val="32"/>
        </w:rPr>
        <w:t>97.71</w:t>
      </w:r>
      <w:r>
        <w:rPr>
          <w:rFonts w:ascii="仿宋" w:hAnsi="仿宋" w:eastAsia="仿宋" w:cs="Times New Roman"/>
          <w:sz w:val="32"/>
          <w:szCs w:val="32"/>
        </w:rPr>
        <w:t>%</w:t>
      </w:r>
      <w:r>
        <w:rPr>
          <w:rFonts w:ascii="仿宋" w:hAnsi="仿宋" w:eastAsia="仿宋" w:cs="Times New Roman"/>
          <w:kern w:val="0"/>
          <w:sz w:val="32"/>
          <w:szCs w:val="32"/>
        </w:rPr>
        <w:t>，绩效自评得分</w:t>
      </w:r>
      <w:r>
        <w:rPr>
          <w:rFonts w:hint="eastAsia" w:ascii="仿宋" w:hAnsi="仿宋" w:eastAsia="仿宋" w:cs="Times New Roman"/>
          <w:sz w:val="32"/>
          <w:szCs w:val="32"/>
        </w:rPr>
        <w:t>92</w:t>
      </w:r>
      <w:r>
        <w:rPr>
          <w:rFonts w:ascii="仿宋" w:hAnsi="仿宋" w:eastAsia="仿宋" w:cs="Times New Roman"/>
          <w:sz w:val="32"/>
          <w:szCs w:val="32"/>
        </w:rPr>
        <w:t>分</w:t>
      </w:r>
      <w:r>
        <w:rPr>
          <w:rFonts w:ascii="仿宋" w:hAnsi="仿宋" w:eastAsia="仿宋" w:cs="Times New Roman"/>
          <w:kern w:val="0"/>
          <w:sz w:val="32"/>
          <w:szCs w:val="32"/>
        </w:rPr>
        <w:t>，评价等级为</w:t>
      </w:r>
      <w:r>
        <w:rPr>
          <w:rFonts w:ascii="仿宋" w:hAnsi="仿宋" w:eastAsia="仿宋" w:cs="Times New Roman"/>
          <w:sz w:val="32"/>
          <w:szCs w:val="32"/>
        </w:rPr>
        <w:t>“</w:t>
      </w:r>
      <w:r>
        <w:rPr>
          <w:rFonts w:hint="eastAsia" w:ascii="仿宋" w:hAnsi="仿宋" w:eastAsia="仿宋" w:cs="Times New Roman"/>
          <w:sz w:val="32"/>
          <w:szCs w:val="32"/>
        </w:rPr>
        <w:t>优</w:t>
      </w:r>
      <w:r>
        <w:rPr>
          <w:rFonts w:ascii="仿宋" w:hAnsi="仿宋" w:eastAsia="仿宋" w:cs="Times New Roman"/>
          <w:sz w:val="32"/>
          <w:szCs w:val="32"/>
        </w:rPr>
        <w:t>”。绩效目标完成情况：</w:t>
      </w:r>
      <w:r>
        <w:rPr>
          <w:rFonts w:hint="eastAsia" w:ascii="仿宋" w:hAnsi="仿宋" w:eastAsia="仿宋" w:cs="仿宋"/>
          <w:color w:val="333333"/>
          <w:sz w:val="32"/>
          <w:szCs w:val="32"/>
        </w:rPr>
        <w:t>一是在生态环境质量主要指标保持优良；严把项目审批，推进绿色低碳发展；二是深入推进污染防治攻坚战，取得明显成效。深入推进污染防治攻坚战，蓝天、碧水、净土保卫战取得明显成效；三是聚焦解决重点区域重点领域的生态保护问题发现与化解机制改革，积极推动机制建设和问题整改落实；四是严肃推进生态环境监管执法和生态环境领域的安全生产工作，实现了全县生态环境安全总体平稳可控；五是坚持以开展好生态环境法制宣传教育和法规普及工作为抓手，全面推动生态环境系统法治工作落实等。</w:t>
      </w:r>
      <w:r>
        <w:rPr>
          <w:rFonts w:ascii="仿宋" w:hAnsi="仿宋" w:eastAsia="仿宋" w:cs="Times New Roman"/>
          <w:sz w:val="32"/>
          <w:szCs w:val="32"/>
        </w:rPr>
        <w:t>发现的主要问题及原因：</w:t>
      </w:r>
      <w:r>
        <w:rPr>
          <w:rFonts w:hint="eastAsia" w:ascii="仿宋" w:hAnsi="仿宋" w:eastAsia="仿宋" w:cs="仿宋"/>
          <w:color w:val="000000"/>
          <w:kern w:val="0"/>
          <w:sz w:val="32"/>
          <w:szCs w:val="32"/>
        </w:rPr>
        <w:t>一是年初项目资金未能纳入预算，使预算执行率变高；二是对绩效目标设定不够科学。</w:t>
      </w:r>
      <w:r>
        <w:rPr>
          <w:rFonts w:ascii="仿宋" w:hAnsi="仿宋" w:eastAsia="仿宋" w:cs="Times New Roman"/>
          <w:sz w:val="32"/>
          <w:szCs w:val="32"/>
        </w:rPr>
        <w:t>下一步改进措施：</w:t>
      </w:r>
      <w:r>
        <w:rPr>
          <w:rFonts w:hint="eastAsia" w:ascii="仿宋" w:hAnsi="仿宋" w:eastAsia="仿宋" w:cs="仿宋"/>
          <w:color w:val="000000"/>
          <w:kern w:val="0"/>
          <w:sz w:val="32"/>
          <w:szCs w:val="32"/>
        </w:rPr>
        <w:t>今后结合绩效目标和年度目标，加强预算绩效管理，完善年度指标值设定，加强资金使用统筹。</w:t>
      </w:r>
    </w:p>
    <w:p w14:paraId="7A27287B">
      <w:pPr>
        <w:pStyle w:val="2"/>
      </w:pPr>
    </w:p>
    <w:p w14:paraId="2DBC73BD">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Times New Roman"/>
          <w:color w:val="auto"/>
          <w:sz w:val="32"/>
          <w:szCs w:val="32"/>
        </w:rPr>
        <w:t>此次基于2024年度评价结果对于2025年度预算相关工作的调整与完善，2025年度本部门将进一步提升预算编制的科学性，支出结构的合理性与资金管理的规范性，确保财政资金发挥最大效益，推动部门各项工作高质量发展。</w:t>
      </w:r>
    </w:p>
    <w:p w14:paraId="4EFEA387">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42FD32BB">
      <w:pPr>
        <w:widowControl/>
        <w:jc w:val="left"/>
        <w:rPr>
          <w:rFonts w:ascii="Times New Roman" w:hAnsi="Times New Roman" w:eastAsia="黑体" w:cs="Times New Roman"/>
          <w:color w:val="000000"/>
          <w:kern w:val="0"/>
          <w:sz w:val="72"/>
          <w:szCs w:val="72"/>
        </w:rPr>
      </w:pPr>
      <w:r>
        <w:rPr>
          <w:rFonts w:ascii="Times New Roman" w:hAnsi="Times New Roman" w:cs="Times New Roman"/>
          <w:sz w:val="72"/>
          <w:szCs w:val="72"/>
        </w:rPr>
        <w:br w:type="page"/>
      </w:r>
    </w:p>
    <w:p w14:paraId="7DE24952">
      <w:pPr>
        <w:pStyle w:val="15"/>
        <w:jc w:val="center"/>
        <w:rPr>
          <w:rFonts w:ascii="Times New Roman" w:hAnsi="Times New Roman" w:cs="Times New Roman"/>
          <w:sz w:val="72"/>
          <w:szCs w:val="72"/>
        </w:rPr>
      </w:pPr>
    </w:p>
    <w:p w14:paraId="314F17DA">
      <w:pPr>
        <w:pStyle w:val="15"/>
        <w:jc w:val="center"/>
        <w:rPr>
          <w:rFonts w:ascii="Times New Roman" w:hAnsi="Times New Roman" w:cs="Times New Roman"/>
          <w:sz w:val="72"/>
          <w:szCs w:val="72"/>
        </w:rPr>
      </w:pPr>
    </w:p>
    <w:p w14:paraId="398882AF">
      <w:pPr>
        <w:pStyle w:val="15"/>
        <w:jc w:val="center"/>
        <w:rPr>
          <w:rFonts w:ascii="Times New Roman" w:hAnsi="Times New Roman" w:cs="Times New Roman"/>
          <w:sz w:val="72"/>
          <w:szCs w:val="72"/>
        </w:rPr>
      </w:pPr>
    </w:p>
    <w:p w14:paraId="53ACA099">
      <w:pPr>
        <w:pStyle w:val="15"/>
        <w:jc w:val="center"/>
        <w:rPr>
          <w:rFonts w:ascii="Times New Roman" w:hAnsi="Times New Roman" w:cs="Times New Roman"/>
          <w:sz w:val="72"/>
          <w:szCs w:val="72"/>
        </w:rPr>
      </w:pPr>
    </w:p>
    <w:p w14:paraId="238FF255">
      <w:pPr>
        <w:pStyle w:val="15"/>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第四部分</w:t>
      </w:r>
    </w:p>
    <w:p w14:paraId="6D4B66F5">
      <w:pPr>
        <w:pStyle w:val="15"/>
        <w:spacing w:line="360" w:lineRule="auto"/>
        <w:jc w:val="center"/>
        <w:rPr>
          <w:rFonts w:ascii="Times New Roman" w:hAnsi="Times New Roman" w:eastAsia="方正小标宋_GBK" w:cs="Times New Roman"/>
          <w:sz w:val="84"/>
          <w:szCs w:val="84"/>
        </w:rPr>
      </w:pPr>
    </w:p>
    <w:p w14:paraId="2BBA1A93">
      <w:pPr>
        <w:pStyle w:val="15"/>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名词解释</w:t>
      </w:r>
    </w:p>
    <w:p w14:paraId="08DDD8F9">
      <w:pPr>
        <w:widowControl/>
        <w:jc w:val="left"/>
        <w:rPr>
          <w:rFonts w:ascii="Times New Roman" w:hAnsi="Times New Roman" w:cs="Times New Roman"/>
          <w:color w:val="000000"/>
          <w:kern w:val="0"/>
          <w:sz w:val="32"/>
          <w:szCs w:val="32"/>
        </w:rPr>
      </w:pPr>
    </w:p>
    <w:p w14:paraId="5A68AF71">
      <w:pPr>
        <w:widowControl/>
        <w:jc w:val="left"/>
        <w:rPr>
          <w:rFonts w:ascii="宋体" w:hAns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br w:type="page"/>
      </w:r>
    </w:p>
    <w:p w14:paraId="75A5DB20">
      <w:pPr>
        <w:widowControl/>
        <w:shd w:val="clear" w:color="auto" w:fill="FFFFFF"/>
        <w:spacing w:line="560" w:lineRule="exact"/>
        <w:ind w:firstLine="640" w:firstLineChars="200"/>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1.</w:t>
      </w:r>
      <w:r>
        <w:rPr>
          <w:rFonts w:hint="eastAsia" w:ascii="宋体" w:hAnsi="宋体" w:eastAsia="仿宋"/>
          <w:color w:val="333333"/>
          <w:kern w:val="0"/>
          <w:sz w:val="32"/>
          <w:szCs w:val="32"/>
          <w:shd w:val="clear" w:color="auto" w:fill="FFFFFF"/>
        </w:rPr>
        <w:t>财政拨款收入：指市级财政当年拨付的资金。</w:t>
      </w:r>
    </w:p>
    <w:p w14:paraId="3FA57560">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2.</w:t>
      </w:r>
      <w:r>
        <w:rPr>
          <w:rFonts w:hint="eastAsia" w:ascii="宋体" w:hAnsi="宋体" w:eastAsia="仿宋"/>
          <w:color w:val="333333"/>
          <w:kern w:val="0"/>
          <w:sz w:val="32"/>
          <w:szCs w:val="32"/>
          <w:shd w:val="clear" w:color="auto" w:fill="FFFFFF"/>
        </w:rPr>
        <w:t>上级补助收入：指单位从主管部门和上级单位取得的非财政性补助收入。</w:t>
      </w:r>
    </w:p>
    <w:p w14:paraId="0ACF1FF3">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3.</w:t>
      </w:r>
      <w:r>
        <w:rPr>
          <w:rFonts w:hint="eastAsia" w:ascii="宋体" w:hAnsi="宋体" w:eastAsia="仿宋"/>
          <w:color w:val="333333"/>
          <w:kern w:val="0"/>
          <w:sz w:val="32"/>
          <w:szCs w:val="32"/>
          <w:shd w:val="clear" w:color="auto" w:fill="FFFFFF"/>
        </w:rPr>
        <w:t>事业收入：指事业单位开展专业业务活动及辅助活动所取得的收入。</w:t>
      </w:r>
    </w:p>
    <w:p w14:paraId="37DFF71A">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4.</w:t>
      </w:r>
      <w:r>
        <w:rPr>
          <w:rFonts w:hint="eastAsia" w:ascii="宋体" w:hAnsi="宋体" w:eastAsia="仿宋"/>
          <w:color w:val="333333"/>
          <w:kern w:val="0"/>
          <w:sz w:val="32"/>
          <w:szCs w:val="32"/>
          <w:shd w:val="clear" w:color="auto" w:fill="FFFFFF"/>
        </w:rPr>
        <w:t>经营收入：指事业单位在专业业务活动及辅助活动之外开展非独立核算经营活动取得的收入。</w:t>
      </w:r>
    </w:p>
    <w:p w14:paraId="496E79D0">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5.</w:t>
      </w:r>
      <w:r>
        <w:rPr>
          <w:rFonts w:hint="eastAsia" w:ascii="宋体" w:hAnsi="宋体" w:eastAsia="仿宋"/>
          <w:color w:val="333333"/>
          <w:kern w:val="0"/>
          <w:sz w:val="32"/>
          <w:szCs w:val="32"/>
          <w:shd w:val="clear" w:color="auto" w:fill="FFFFFF"/>
        </w:rPr>
        <w:t>附属单位上缴收入：指单位附属的独立核算单位按照上缴的收入。</w:t>
      </w:r>
    </w:p>
    <w:p w14:paraId="47C9F207">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6.</w:t>
      </w:r>
      <w:r>
        <w:rPr>
          <w:rFonts w:hint="eastAsia" w:ascii="宋体" w:hAnsi="宋体" w:eastAsia="仿宋"/>
          <w:color w:val="333333"/>
          <w:kern w:val="0"/>
          <w:sz w:val="32"/>
          <w:szCs w:val="32"/>
          <w:shd w:val="clear" w:color="auto" w:fill="FFFFFF"/>
        </w:rPr>
        <w:t>其他收入：指除上述“财政拨款收入”、“上级补助收入”、“事业收入”、“经营收入”、“附属单位上缴收入”等以外的收入。</w:t>
      </w:r>
    </w:p>
    <w:p w14:paraId="4EDA5F7B">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7.</w:t>
      </w:r>
      <w:r>
        <w:rPr>
          <w:rFonts w:hint="eastAsia" w:ascii="宋体" w:hAnsi="宋体" w:eastAsia="仿宋"/>
          <w:color w:val="333333"/>
          <w:kern w:val="0"/>
          <w:sz w:val="32"/>
          <w:szCs w:val="32"/>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1C94992C">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8.</w:t>
      </w:r>
      <w:r>
        <w:rPr>
          <w:rFonts w:hint="eastAsia" w:ascii="宋体" w:hAnsi="宋体" w:eastAsia="仿宋"/>
          <w:color w:val="333333"/>
          <w:kern w:val="0"/>
          <w:sz w:val="32"/>
          <w:szCs w:val="32"/>
          <w:shd w:val="clear" w:color="auto" w:fill="FFFFFF"/>
        </w:rPr>
        <w:t>上年结转和结余：指以前年度尚未完成、结转到本年按有关规定继续使用的资金。</w:t>
      </w:r>
    </w:p>
    <w:p w14:paraId="2466FE1A">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9.</w:t>
      </w:r>
      <w:r>
        <w:rPr>
          <w:rFonts w:hint="eastAsia" w:ascii="宋体" w:hAnsi="宋体" w:eastAsia="仿宋"/>
          <w:color w:val="333333"/>
          <w:kern w:val="0"/>
          <w:sz w:val="32"/>
          <w:szCs w:val="32"/>
          <w:shd w:val="clear" w:color="auto" w:fill="FFFFFF"/>
        </w:rPr>
        <w:t>结余分配：指事业单位按规定对非财政补助结余资金提取的职工福利基金、事业基金和缴纳的所得税，以及减少单位按规定应缴回的基本建设竣工项目结余资金。</w:t>
      </w:r>
    </w:p>
    <w:p w14:paraId="63BD9C61">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10.</w:t>
      </w:r>
      <w:r>
        <w:rPr>
          <w:rFonts w:hint="eastAsia" w:ascii="宋体" w:hAnsi="宋体" w:eastAsia="仿宋"/>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14:paraId="7C832D1E">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11.</w:t>
      </w:r>
      <w:r>
        <w:rPr>
          <w:rFonts w:hint="eastAsia" w:ascii="宋体" w:hAnsi="宋体" w:eastAsia="仿宋"/>
          <w:color w:val="333333"/>
          <w:kern w:val="0"/>
          <w:sz w:val="32"/>
          <w:szCs w:val="32"/>
          <w:shd w:val="clear" w:color="auto" w:fill="FFFFFF"/>
        </w:rPr>
        <w:t>基本支出：指保障机构正常运转、完成支日常工作任务而发生的人员支出和公用支出。</w:t>
      </w:r>
    </w:p>
    <w:p w14:paraId="49BF4DA2">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12.</w:t>
      </w:r>
      <w:r>
        <w:rPr>
          <w:rFonts w:hint="eastAsia" w:ascii="宋体" w:hAnsi="宋体" w:eastAsia="仿宋"/>
          <w:color w:val="333333"/>
          <w:kern w:val="0"/>
          <w:sz w:val="32"/>
          <w:szCs w:val="32"/>
          <w:shd w:val="clear" w:color="auto" w:fill="FFFFFF"/>
        </w:rPr>
        <w:t>项目支出：指在基本支出之外为完成特定行政任务和事业发展目标所发生的支出。</w:t>
      </w:r>
    </w:p>
    <w:p w14:paraId="13967CEB">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13.</w:t>
      </w:r>
      <w:r>
        <w:rPr>
          <w:rFonts w:hint="eastAsia" w:ascii="宋体" w:hAnsi="宋体" w:eastAsia="仿宋"/>
          <w:color w:val="333333"/>
          <w:kern w:val="0"/>
          <w:sz w:val="32"/>
          <w:szCs w:val="32"/>
          <w:shd w:val="clear" w:color="auto" w:fill="FFFFFF"/>
        </w:rPr>
        <w:t>经营支出：指事业单位在专业业务活动及其辅助活动之外开展非独立核算经营活动发生的支出。</w:t>
      </w:r>
    </w:p>
    <w:p w14:paraId="2B59E118">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14</w:t>
      </w:r>
      <w:r>
        <w:rPr>
          <w:rFonts w:hint="eastAsia" w:ascii="宋体" w:hAnsi="宋体" w:eastAsia="仿宋"/>
          <w:color w:val="333333"/>
          <w:kern w:val="0"/>
          <w:sz w:val="32"/>
          <w:szCs w:val="32"/>
          <w:shd w:val="clear" w:color="auto" w:fill="FFFFFF"/>
        </w:rPr>
        <w:t>、上缴上级支出：指事业单位按照财政部门和主管部门的规定上缴上级单位的支出。（可结合部门实际支出情况举例说明）</w:t>
      </w:r>
    </w:p>
    <w:p w14:paraId="100E043B">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15</w:t>
      </w:r>
      <w:r>
        <w:rPr>
          <w:rFonts w:hint="eastAsia" w:ascii="宋体" w:hAnsi="宋体" w:eastAsia="仿宋"/>
          <w:color w:val="333333"/>
          <w:kern w:val="0"/>
          <w:sz w:val="32"/>
          <w:szCs w:val="32"/>
          <w:shd w:val="clear" w:color="auto" w:fill="FFFFFF"/>
        </w:rPr>
        <w:t>、对附属单位补助支出：指事业单位用财政补助收入之外的收入对附属单位补助发生的支出</w:t>
      </w:r>
    </w:p>
    <w:p w14:paraId="109375D3">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16.</w:t>
      </w:r>
      <w:r>
        <w:rPr>
          <w:rFonts w:hint="eastAsia" w:ascii="宋体" w:hAnsi="宋体" w:eastAsia="仿宋"/>
          <w:color w:val="333333"/>
          <w:kern w:val="0"/>
          <w:sz w:val="32"/>
          <w:szCs w:val="32"/>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C8977F5">
      <w:pPr>
        <w:widowControl/>
        <w:shd w:val="clear" w:color="auto" w:fill="FFFFFF"/>
        <w:spacing w:line="560" w:lineRule="exact"/>
        <w:ind w:firstLine="703"/>
        <w:jc w:val="left"/>
        <w:rPr>
          <w:rFonts w:ascii="宋体" w:eastAsia="仿宋"/>
          <w:color w:val="333333"/>
          <w:kern w:val="0"/>
          <w:sz w:val="32"/>
          <w:szCs w:val="32"/>
          <w:shd w:val="clear" w:color="auto" w:fill="FFFFFF"/>
        </w:rPr>
      </w:pPr>
      <w:r>
        <w:rPr>
          <w:rFonts w:ascii="宋体" w:hAnsi="宋体" w:eastAsia="仿宋"/>
          <w:color w:val="333333"/>
          <w:kern w:val="0"/>
          <w:sz w:val="32"/>
          <w:szCs w:val="32"/>
          <w:shd w:val="clear" w:color="auto" w:fill="FFFFFF"/>
        </w:rPr>
        <w:t>17.</w:t>
      </w:r>
      <w:r>
        <w:rPr>
          <w:rFonts w:hint="eastAsia" w:ascii="宋体" w:hAnsi="宋体" w:eastAsia="仿宋"/>
          <w:color w:val="333333"/>
          <w:kern w:val="0"/>
          <w:sz w:val="32"/>
          <w:szCs w:val="32"/>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01472806">
      <w:pPr>
        <w:spacing w:line="560" w:lineRule="exact"/>
        <w:ind w:firstLine="640" w:firstLineChars="200"/>
        <w:rPr>
          <w:rFonts w:ascii="宋体" w:eastAsia="仿宋"/>
          <w:sz w:val="32"/>
          <w:szCs w:val="32"/>
        </w:rPr>
      </w:pPr>
      <w:r>
        <w:rPr>
          <w:rFonts w:ascii="宋体" w:hAnsi="宋体" w:eastAsia="仿宋"/>
          <w:sz w:val="32"/>
          <w:szCs w:val="32"/>
        </w:rPr>
        <w:t>18.</w:t>
      </w:r>
      <w:r>
        <w:rPr>
          <w:rFonts w:hint="eastAsia" w:ascii="宋体" w:hAnsi="宋体" w:eastAsia="仿宋"/>
          <w:sz w:val="32"/>
          <w:szCs w:val="32"/>
        </w:rPr>
        <w:t>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0A1FE6A9">
      <w:pPr>
        <w:pStyle w:val="15"/>
        <w:jc w:val="center"/>
        <w:rPr>
          <w:rFonts w:ascii="Times New Roman" w:hAnsi="Times New Roman" w:cs="Times New Roman"/>
          <w:sz w:val="72"/>
          <w:szCs w:val="72"/>
        </w:rPr>
      </w:pPr>
    </w:p>
    <w:p w14:paraId="69B6115F">
      <w:pPr>
        <w:pStyle w:val="15"/>
        <w:jc w:val="center"/>
        <w:rPr>
          <w:rFonts w:ascii="Times New Roman" w:hAnsi="Times New Roman" w:cs="Times New Roman"/>
          <w:sz w:val="72"/>
          <w:szCs w:val="72"/>
        </w:rPr>
      </w:pPr>
    </w:p>
    <w:p w14:paraId="783F842C">
      <w:pPr>
        <w:pStyle w:val="15"/>
        <w:jc w:val="center"/>
        <w:rPr>
          <w:rFonts w:ascii="Times New Roman" w:hAnsi="Times New Roman" w:cs="Times New Roman"/>
          <w:sz w:val="72"/>
          <w:szCs w:val="72"/>
        </w:rPr>
      </w:pPr>
    </w:p>
    <w:p w14:paraId="4B503108">
      <w:pPr>
        <w:pStyle w:val="15"/>
        <w:jc w:val="center"/>
        <w:rPr>
          <w:rFonts w:ascii="Times New Roman" w:hAnsi="Times New Roman" w:cs="Times New Roman"/>
          <w:sz w:val="72"/>
          <w:szCs w:val="72"/>
        </w:rPr>
      </w:pPr>
    </w:p>
    <w:p w14:paraId="7722CB7F">
      <w:pPr>
        <w:pStyle w:val="15"/>
        <w:jc w:val="center"/>
        <w:rPr>
          <w:rFonts w:ascii="Times New Roman" w:hAnsi="Times New Roman" w:cs="Times New Roman"/>
          <w:sz w:val="72"/>
          <w:szCs w:val="72"/>
        </w:rPr>
      </w:pPr>
    </w:p>
    <w:p w14:paraId="27DB0003">
      <w:pPr>
        <w:pStyle w:val="15"/>
        <w:jc w:val="center"/>
        <w:rPr>
          <w:rFonts w:ascii="Times New Roman" w:hAnsi="Times New Roman" w:cs="Times New Roman"/>
          <w:sz w:val="72"/>
          <w:szCs w:val="72"/>
        </w:rPr>
      </w:pPr>
    </w:p>
    <w:p w14:paraId="6EC94E3B">
      <w:pPr>
        <w:pStyle w:val="15"/>
        <w:jc w:val="center"/>
        <w:rPr>
          <w:rFonts w:ascii="Times New Roman" w:hAnsi="Times New Roman" w:cs="Times New Roman"/>
          <w:sz w:val="72"/>
          <w:szCs w:val="72"/>
        </w:rPr>
      </w:pPr>
    </w:p>
    <w:p w14:paraId="488BA398">
      <w:pPr>
        <w:pStyle w:val="15"/>
        <w:jc w:val="both"/>
        <w:rPr>
          <w:rFonts w:ascii="Times New Roman" w:hAnsi="Times New Roman" w:cs="Times New Roman"/>
          <w:sz w:val="72"/>
          <w:szCs w:val="72"/>
        </w:rPr>
      </w:pPr>
    </w:p>
    <w:p w14:paraId="1233EECE">
      <w:pPr>
        <w:widowControl/>
        <w:jc w:val="left"/>
        <w:rPr>
          <w:rFonts w:ascii="Times New Roman" w:hAnsi="Times New Roman" w:eastAsia="方正小标宋_GBK" w:cs="Times New Roman"/>
          <w:color w:val="000000"/>
          <w:kern w:val="0"/>
          <w:sz w:val="52"/>
          <w:szCs w:val="52"/>
        </w:rPr>
      </w:pPr>
      <w:r>
        <w:rPr>
          <w:rFonts w:ascii="Times New Roman" w:hAnsi="Times New Roman" w:eastAsia="方正小标宋_GBK" w:cs="Times New Roman"/>
          <w:sz w:val="52"/>
          <w:szCs w:val="52"/>
        </w:rPr>
        <w:br w:type="page"/>
      </w:r>
    </w:p>
    <w:p w14:paraId="72B8E537">
      <w:pPr>
        <w:pStyle w:val="15"/>
        <w:spacing w:line="360" w:lineRule="auto"/>
        <w:jc w:val="center"/>
        <w:rPr>
          <w:rFonts w:ascii="Times New Roman" w:hAnsi="Times New Roman" w:eastAsia="方正小标宋_GBK" w:cs="Times New Roman"/>
          <w:sz w:val="52"/>
          <w:szCs w:val="52"/>
        </w:rPr>
      </w:pPr>
    </w:p>
    <w:p w14:paraId="4A82E588">
      <w:pPr>
        <w:pStyle w:val="15"/>
        <w:spacing w:line="360" w:lineRule="auto"/>
        <w:jc w:val="center"/>
        <w:rPr>
          <w:rFonts w:ascii="Times New Roman" w:hAnsi="Times New Roman" w:eastAsia="方正小标宋_GBK" w:cs="Times New Roman"/>
          <w:sz w:val="52"/>
          <w:szCs w:val="52"/>
        </w:rPr>
      </w:pPr>
    </w:p>
    <w:p w14:paraId="42AB8AA4">
      <w:pPr>
        <w:pStyle w:val="15"/>
        <w:spacing w:line="360" w:lineRule="auto"/>
        <w:jc w:val="center"/>
        <w:rPr>
          <w:rFonts w:ascii="Times New Roman" w:hAnsi="Times New Roman" w:eastAsia="方正小标宋_GBK" w:cs="Times New Roman"/>
          <w:sz w:val="52"/>
          <w:szCs w:val="52"/>
        </w:rPr>
      </w:pPr>
    </w:p>
    <w:p w14:paraId="095AEFFD">
      <w:pPr>
        <w:pStyle w:val="15"/>
        <w:spacing w:line="360" w:lineRule="auto"/>
        <w:jc w:val="center"/>
        <w:rPr>
          <w:rFonts w:ascii="Times New Roman" w:hAnsi="Times New Roman" w:eastAsia="方正小标宋_GBK" w:cs="Times New Roman"/>
          <w:sz w:val="52"/>
          <w:szCs w:val="52"/>
        </w:rPr>
      </w:pPr>
    </w:p>
    <w:p w14:paraId="2C7836AE">
      <w:pPr>
        <w:pStyle w:val="15"/>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第五部分</w:t>
      </w:r>
    </w:p>
    <w:p w14:paraId="60125EAF">
      <w:pPr>
        <w:pStyle w:val="15"/>
        <w:spacing w:line="360" w:lineRule="auto"/>
        <w:jc w:val="center"/>
        <w:rPr>
          <w:rFonts w:ascii="Times New Roman" w:hAnsi="Times New Roman" w:eastAsia="方正小标宋_GBK" w:cs="Times New Roman"/>
          <w:sz w:val="84"/>
          <w:szCs w:val="84"/>
        </w:rPr>
      </w:pPr>
    </w:p>
    <w:p w14:paraId="50B545DB">
      <w:pPr>
        <w:pStyle w:val="15"/>
        <w:spacing w:line="360" w:lineRule="auto"/>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附件</w:t>
      </w:r>
    </w:p>
    <w:p w14:paraId="0CC9334C">
      <w:pPr>
        <w:widowControl/>
        <w:ind w:firstLine="720" w:firstLineChars="100"/>
        <w:jc w:val="left"/>
        <w:rPr>
          <w:rFonts w:ascii="Times New Roman" w:hAnsi="Times New Roman" w:cs="Times New Roman"/>
          <w:sz w:val="72"/>
          <w:szCs w:val="72"/>
        </w:rPr>
      </w:pPr>
      <w:r>
        <w:rPr>
          <w:rFonts w:ascii="Times New Roman" w:hAnsi="Times New Roman" w:cs="Times New Roman"/>
          <w:sz w:val="72"/>
          <w:szCs w:val="72"/>
        </w:rPr>
        <w:br w:type="page"/>
      </w:r>
    </w:p>
    <w:p w14:paraId="42539502">
      <w:pPr>
        <w:pStyle w:val="6"/>
        <w:rPr>
          <w:rFonts w:ascii="黑体" w:hAnsi="黑体" w:eastAsia="黑体"/>
        </w:rPr>
      </w:pPr>
      <w:r>
        <w:rPr>
          <w:rFonts w:hint="eastAsia" w:ascii="黑体" w:hAnsi="黑体" w:eastAsia="黑体"/>
        </w:rPr>
        <w:t>2024年度怀化市生态环境局会同分局</w:t>
      </w:r>
    </w:p>
    <w:p w14:paraId="639DC94A">
      <w:pPr>
        <w:pStyle w:val="6"/>
        <w:rPr>
          <w:rFonts w:ascii="黑体" w:hAnsi="黑体" w:eastAsia="黑体"/>
        </w:rPr>
      </w:pPr>
      <w:r>
        <w:rPr>
          <w:rFonts w:ascii="黑体" w:hAnsi="黑体" w:eastAsia="黑体"/>
        </w:rPr>
        <w:t>整体支出绩效自评报告</w:t>
      </w:r>
    </w:p>
    <w:p w14:paraId="2235CBA7">
      <w:pPr>
        <w:widowControl/>
        <w:ind w:firstLine="720" w:firstLineChars="100"/>
        <w:jc w:val="left"/>
        <w:rPr>
          <w:rFonts w:ascii="Times New Roman" w:hAnsi="Times New Roman" w:cs="Times New Roman"/>
          <w:sz w:val="72"/>
          <w:szCs w:val="72"/>
        </w:rPr>
      </w:pPr>
    </w:p>
    <w:p w14:paraId="27544B08">
      <w:pPr>
        <w:widowControl/>
        <w:ind w:firstLine="320" w:firstLineChars="100"/>
        <w:jc w:val="left"/>
        <w:rPr>
          <w:rFonts w:ascii="黑体" w:hAnsi="黑体" w:eastAsia="黑体" w:cs="Times New Roman"/>
          <w:sz w:val="32"/>
          <w:szCs w:val="32"/>
        </w:rPr>
      </w:pPr>
      <w:r>
        <w:rPr>
          <w:rFonts w:hint="eastAsia" w:ascii="黑体" w:hAnsi="黑体" w:eastAsia="黑体"/>
          <w:sz w:val="32"/>
          <w:szCs w:val="32"/>
        </w:rPr>
        <w:t>一、部门概况</w:t>
      </w:r>
    </w:p>
    <w:p w14:paraId="6C4D41F3">
      <w:pPr>
        <w:pStyle w:val="10"/>
      </w:pPr>
      <w:r>
        <w:rPr>
          <w:rFonts w:hint="eastAsia"/>
        </w:rPr>
        <w:t>（一）部门基本情况</w:t>
      </w:r>
    </w:p>
    <w:p w14:paraId="265FB0CF">
      <w:pPr>
        <w:pStyle w:val="10"/>
      </w:pPr>
      <w:r>
        <w:rPr>
          <w:rFonts w:hint="eastAsia"/>
        </w:rPr>
        <w:t>1.机构设置情况</w:t>
      </w:r>
    </w:p>
    <w:p w14:paraId="16ADE09B">
      <w:pPr>
        <w:pStyle w:val="10"/>
      </w:pPr>
      <w:r>
        <w:rPr>
          <w:rFonts w:hint="eastAsia"/>
        </w:rPr>
        <w:t>怀化市生态环境局会同分局为怀化市生态环境局派出机构，有内设机构4个，为：办公室、环保督察协调股、行政审批股（法制宣传股）、污染防治股。下设生态环境综合行政执法大队，实行“局队合一”体制（事业编制8个）；下设生态环境监测站，为我局所属正股级公益一类事业单位（事业编制16个）。年末有车辆2台，其中：公务执法用车1台，监测车1台。</w:t>
      </w:r>
    </w:p>
    <w:p w14:paraId="3842618B">
      <w:pPr>
        <w:pStyle w:val="10"/>
      </w:pPr>
      <w:r>
        <w:rPr>
          <w:rFonts w:hint="eastAsia"/>
        </w:rPr>
        <w:t>2.人员编制情况</w:t>
      </w:r>
    </w:p>
    <w:p w14:paraId="67D38DB3">
      <w:pPr>
        <w:pStyle w:val="10"/>
      </w:pPr>
      <w:r>
        <w:rPr>
          <w:rFonts w:hint="eastAsia"/>
        </w:rPr>
        <w:t>现有编制数31个(其中行政编7个，全额事业编24个），实有在职人数26人，退休人员15人，实有人数与编制数相差5人。</w:t>
      </w:r>
    </w:p>
    <w:p w14:paraId="0BF3507B">
      <w:pPr>
        <w:pStyle w:val="10"/>
      </w:pPr>
      <w:r>
        <w:rPr>
          <w:rFonts w:hint="eastAsia"/>
          <w:kern w:val="0"/>
        </w:rPr>
        <w:t>3.</w:t>
      </w:r>
      <w:r>
        <w:rPr>
          <w:rFonts w:hint="eastAsia"/>
        </w:rPr>
        <w:t>主要职能职责</w:t>
      </w:r>
    </w:p>
    <w:p w14:paraId="589E33AE">
      <w:pPr>
        <w:pStyle w:val="10"/>
      </w:pPr>
      <w:r>
        <w:rPr>
          <w:rFonts w:hint="eastAsia"/>
          <w:kern w:val="0"/>
        </w:rPr>
        <w:t>（1）行国家生态环境基本制度。会同同级有关部门拟订生态环境保护规划、规范、制度，经批准的组织实施；会同同级有关部门编制并监督实施重点区域、流域、饮用水水源地生态环境规划和水功能区划。</w:t>
      </w:r>
    </w:p>
    <w:p w14:paraId="2B3E08CE">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（2）责统筹协调和监督管理生态环境保护局工作。组织协调环境污染事故和生态破坏事件的调查处理，指导协调突发生态环境事件的应急、预警工作，参与实施生态环境损害赔偿制度。</w:t>
      </w:r>
    </w:p>
    <w:p w14:paraId="7A61A578">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（3）监督管理减排目标的落实。组织制度并监督实施本辖区污染物排放总量控制计划及相关措施。</w:t>
      </w:r>
    </w:p>
    <w:p w14:paraId="4459A238">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（4）责环境污染防治的监督管理。组织拟订本辖区大气、水、土壤、噪声、光、恶臭、固体废物、废弃化学品、危险废物、机动车等的污染防治管理制度并监督实施。</w:t>
      </w:r>
    </w:p>
    <w:p w14:paraId="73B121C4">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（5）导协调和监督生态保护修复工作。监督管理对生态环境有影响的自然资源开发利用活动、重要生态环境建设和生态破坏恢复工作；指导协调和监督各类自然保护地的生态环境保护工作。</w:t>
      </w:r>
    </w:p>
    <w:p w14:paraId="4B35E7D0">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（6）责核与辐射安全的监督管理。牵头核安全工作协调机制有关工作，参与核事故应急处理，监督管理核设施、核技术应用、电磁辐射、伴有放射性矿产资源开发利用活动中的污染防治。</w:t>
      </w:r>
    </w:p>
    <w:p w14:paraId="6E76AD13">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（7）责生态环境准入的监督管理。组织实施生态环境准入清单；按规定审批或审查开发建设区域、规划、项目环境影响评价文件。</w:t>
      </w:r>
    </w:p>
    <w:p w14:paraId="4B98097E">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（8）责协调配合做好中央和省生态环境保护督察相关工作。组织实施生态环境执法监测、应急监测、环境质量监测、污染源监测。</w:t>
      </w:r>
    </w:p>
    <w:p w14:paraId="50CE8AB3">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9）调配合做好中央和省生态环境保护督察相关工作。指导、协调、督促生态环境保护督察反馈问题整改工作室；对同级有关部门贯彻落实生态环境保护决策部署情况、对生态环境保护督察反馈问题整改扁平中、对“党政同责”“一岗双责”落实落实情况进行督查督办，对贯彻落实不到位、整改不力的提请问责。</w:t>
      </w:r>
    </w:p>
    <w:p w14:paraId="2D5B4E44">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 xml:space="preserve">（10）负责生态环境保护综合行政执法。组织开展生态环境保护执法检查活动，查处生态环境违法问题。                      </w:t>
      </w:r>
    </w:p>
    <w:p w14:paraId="2D6DEB88">
      <w:pPr>
        <w:autoSpaceDE w:val="0"/>
        <w:spacing w:line="520" w:lineRule="exact"/>
        <w:ind w:firstLine="640" w:firstLineChars="200"/>
        <w:rPr>
          <w:rFonts w:ascii="仿宋" w:hAnsi="仿宋" w:eastAsia="仿宋" w:cs="仿宋_GB2312"/>
          <w:bCs/>
          <w:sz w:val="32"/>
          <w:szCs w:val="32"/>
        </w:rPr>
      </w:pPr>
      <w:r>
        <w:rPr>
          <w:rFonts w:hint="eastAsia" w:ascii="仿宋" w:hAnsi="仿宋" w:eastAsia="仿宋" w:cs="仿宋_GB2312"/>
          <w:bCs/>
          <w:kern w:val="0"/>
          <w:sz w:val="32"/>
          <w:szCs w:val="32"/>
        </w:rPr>
        <w:t>（11）指导和协调生态环境宣传教育工作。推动社会组织和公众参与生态环境保护；开展生态环境科技工作，组织生态环境重大科学研究和技术工程示范。</w:t>
      </w:r>
    </w:p>
    <w:p w14:paraId="6D931617">
      <w:pPr>
        <w:autoSpaceDE w:val="0"/>
        <w:spacing w:line="52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shd w:val="clear" w:color="auto" w:fill="FFFFFF"/>
        </w:rPr>
        <w:t>（12）</w:t>
      </w:r>
      <w:r>
        <w:rPr>
          <w:rFonts w:hint="eastAsia" w:ascii="仿宋" w:hAnsi="仿宋" w:eastAsia="仿宋" w:cs="仿宋_GB2312"/>
          <w:bCs/>
          <w:kern w:val="0"/>
          <w:sz w:val="32"/>
          <w:szCs w:val="32"/>
        </w:rPr>
        <w:t>完成市生态环境局和县市区委、政府交办的其他工作。</w:t>
      </w:r>
    </w:p>
    <w:p w14:paraId="774D1C15">
      <w:pPr>
        <w:snapToGrid w:val="0"/>
        <w:spacing w:line="520" w:lineRule="exact"/>
        <w:ind w:firstLine="640" w:firstLineChars="200"/>
        <w:rPr>
          <w:rFonts w:ascii="仿宋" w:hAnsi="仿宋" w:eastAsia="仿宋" w:cs="仿宋_GB2312"/>
          <w:sz w:val="32"/>
          <w:szCs w:val="32"/>
          <w:shd w:val="clear" w:color="auto" w:fill="FFFFFF"/>
        </w:rPr>
      </w:pPr>
      <w:r>
        <w:rPr>
          <w:rFonts w:hint="eastAsia" w:ascii="仿宋" w:hAnsi="仿宋" w:eastAsia="仿宋" w:cs="仿宋_GB2312"/>
          <w:kern w:val="0"/>
          <w:sz w:val="32"/>
          <w:szCs w:val="32"/>
          <w:shd w:val="clear" w:color="auto" w:fill="FFFFFF"/>
        </w:rPr>
        <w:t>（二）部门整体支出规模、使用方向和主要内容</w:t>
      </w:r>
    </w:p>
    <w:p w14:paraId="72364351">
      <w:pPr>
        <w:snapToGrid w:val="0"/>
        <w:spacing w:line="52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2024年总收支为1116.83万元，其中一般公共预算财政拨款收入为296.10万元，一般公共预算财政拨款支出296.10万元，（基本支出257.10万元，项目支出39万元），比年初预算252.75万元增加43.35万元，增长17.15%，比上年支出增加30.57万元，支出增长11.51%，主要是增加项目资金；其他收入（县级财政拨入资金）为820.73万元（基本支出220.76万元，项目支出599.97万元）主要是单位业务工作经费、干部职工绩效工资、年终考核，环保项目资金</w:t>
      </w:r>
      <w:r>
        <w:rPr>
          <w:rFonts w:hint="eastAsia" w:ascii="仿宋_GB2312" w:hAnsi="仿宋_GB2312" w:eastAsia="仿宋_GB2312" w:cs="仿宋_GB2312"/>
          <w:sz w:val="32"/>
          <w:szCs w:val="32"/>
        </w:rPr>
        <w:t>等。</w:t>
      </w:r>
    </w:p>
    <w:p w14:paraId="593671E8">
      <w:pPr>
        <w:pStyle w:val="10"/>
        <w:rPr>
          <w:rFonts w:ascii="黑体" w:hAnsi="黑体" w:eastAsia="黑体"/>
        </w:rPr>
      </w:pPr>
      <w:r>
        <w:rPr>
          <w:rFonts w:hint="eastAsia" w:ascii="黑体" w:hAnsi="黑体" w:eastAsia="黑体"/>
        </w:rPr>
        <w:t>二、一般公共预算支出情况</w:t>
      </w:r>
    </w:p>
    <w:p w14:paraId="5C087C7C">
      <w:pPr>
        <w:pStyle w:val="10"/>
      </w:pPr>
      <w:r>
        <w:rPr>
          <w:rFonts w:hint="eastAsia"/>
        </w:rPr>
        <w:t>（一）基本支出</w:t>
      </w:r>
    </w:p>
    <w:p w14:paraId="4E417D96">
      <w:pPr>
        <w:snapToGrid w:val="0"/>
        <w:spacing w:line="520" w:lineRule="exact"/>
        <w:ind w:firstLine="640" w:firstLineChars="200"/>
        <w:rPr>
          <w:rFonts w:ascii="仿宋" w:hAnsi="仿宋" w:eastAsia="仿宋" w:cs="仿宋_GB2312"/>
          <w:sz w:val="32"/>
          <w:szCs w:val="32"/>
          <w:shd w:val="clear" w:color="auto" w:fill="FFFFFF"/>
        </w:rPr>
      </w:pPr>
      <w:r>
        <w:rPr>
          <w:rFonts w:hint="eastAsia" w:ascii="仿宋" w:hAnsi="仿宋" w:eastAsia="仿宋" w:cs="仿宋_GB2312"/>
          <w:sz w:val="32"/>
          <w:szCs w:val="32"/>
        </w:rPr>
        <w:t>2024年财政拨款收入为296.10万元，其中基本支出257.10万元，主要是基本工资88.94万元、津贴补贴72.96万元、奖金6.48万元、基本养老保险缴费23.19万元、职工基本医疗保险缴费11.58万元、住房公积金18.54万元，其他工资福利支出2.34万元、商品和服务支出29.51万元、对个人和家庭的补助3.1万元、办公设备购置0.46万元。</w:t>
      </w:r>
    </w:p>
    <w:p w14:paraId="61A8C5C2">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2024年其他收入（县财政拨入资金）820.73万元，其中基本支出220.76万元，主要为：工资福利支出67.14万元（包括津贴补贴、奖金、其他社会保障缴费、职业年金缴费、住房公积金和其他工资福利支出），商品服务支出119.33万元（包括办公费、印刷费、差旅费、专用材料费、委托业务费、公务用车运行维护费、工会经费、劳务费、其他商品服务等），对个人和家庭的补助支出为11.86万元（包括退休人员独生子女费和节日慰问金、遗属生活补助费、嘉奖和记功人员奖金等，资本性支出22.43万元（包括办公设备购置和专用设备购置）。</w:t>
      </w:r>
    </w:p>
    <w:p w14:paraId="5AD43A06">
      <w:pPr>
        <w:pStyle w:val="15"/>
        <w:spacing w:line="52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“三公”经费支出情况：2024年度“三公”经费总支出5.83万元，其中</w:t>
      </w:r>
      <w:r>
        <w:rPr>
          <w:rFonts w:hint="eastAsia" w:ascii="仿宋" w:hAnsi="仿宋" w:eastAsia="仿宋" w:cs="仿宋_GB2312"/>
          <w:bCs/>
          <w:color w:val="auto"/>
          <w:sz w:val="32"/>
          <w:szCs w:val="32"/>
        </w:rPr>
        <w:t>公务接待费支出1.82万元，公务用车购置费及运行维护费支出4.01万元</w:t>
      </w:r>
      <w:r>
        <w:rPr>
          <w:rFonts w:hint="eastAsia" w:ascii="仿宋" w:hAnsi="仿宋" w:eastAsia="仿宋" w:cs="仿宋_GB2312"/>
          <w:color w:val="auto"/>
          <w:sz w:val="32"/>
          <w:szCs w:val="32"/>
        </w:rPr>
        <w:t>，公出国（境）费无。</w:t>
      </w:r>
    </w:p>
    <w:p w14:paraId="0AB0F614">
      <w:pPr>
        <w:pStyle w:val="10"/>
      </w:pPr>
      <w:r>
        <w:rPr>
          <w:rFonts w:hint="eastAsia"/>
        </w:rPr>
        <w:t>“三公”经费管理情况：我局严格“三公”支出管理。严格执行车辆和处置有关管理，公务用车使用管理按照《党政机关公务用车管理办法》执行有关规定，对公车运行费用实行定点维修、定点加油、统一保险和统一报废更新制度，如实登记上报公务车辆情况，节假日严格执行公务车辆统一停放在单位院内的规定；公务接待坚持必需、节俭原则，严禁奢侈浪费，不存在公款大吃大喝及高消费娱乐等情况。</w:t>
      </w:r>
    </w:p>
    <w:p w14:paraId="09EE38DA">
      <w:pPr>
        <w:pStyle w:val="10"/>
      </w:pPr>
      <w:r>
        <w:rPr>
          <w:rFonts w:hint="eastAsia"/>
        </w:rPr>
        <w:t>项目支出</w:t>
      </w:r>
    </w:p>
    <w:p w14:paraId="0AB8A4A2">
      <w:pPr>
        <w:pStyle w:val="10"/>
      </w:pPr>
      <w:r>
        <w:rPr>
          <w:rFonts w:hint="eastAsia"/>
        </w:rPr>
        <w:t>2024年项目总支出638.97万元。其中一般公共预算财政拨款项目支出39万元，是非税返还执法办案经费。</w:t>
      </w:r>
    </w:p>
    <w:p w14:paraId="4653459D">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其他收入（县级财政拨入资金）项目支出599.97万元，主要为：县域生态环境和农村环境质量监测服务费 79.32万元，省级生态文明示范县规划编制费26.27万元，国家生态文明示范县规划编制费49.03万元，突发环境事件预案编制费24万元，精准治污编制规划费17万元，乡镇环境空气网络化监测系统98.98万元，空气自动监测站点设备更新125.55万元，天晟锰业遗留锰渣风险第三方监测服务费30万元，东鑫锰业渣库历史遗留风险管控工程项目费114.85万元，农村环境保护34.97万元。</w:t>
      </w:r>
    </w:p>
    <w:p w14:paraId="2C9C0A40">
      <w:pPr>
        <w:pStyle w:val="5"/>
        <w:widowControl w:val="0"/>
        <w:wordWrap w:val="0"/>
        <w:spacing w:before="0" w:beforeAutospacing="0" w:after="0" w:afterAutospacing="0" w:line="520" w:lineRule="exact"/>
        <w:ind w:firstLine="640" w:firstLineChars="200"/>
        <w:jc w:val="both"/>
        <w:rPr>
          <w:rFonts w:ascii="仿宋" w:hAnsi="仿宋" w:eastAsia="仿宋" w:cs="仿宋_GB2312"/>
          <w:sz w:val="32"/>
          <w:szCs w:val="32"/>
        </w:rPr>
      </w:pPr>
      <w:r>
        <w:rPr>
          <w:rFonts w:hint="eastAsia" w:ascii="仿宋" w:hAnsi="仿宋" w:eastAsia="仿宋" w:cs="仿宋_GB2312"/>
          <w:b w:val="0"/>
          <w:bCs w:val="0"/>
          <w:sz w:val="32"/>
          <w:szCs w:val="32"/>
        </w:rPr>
        <w:t>项目资金管理情况：</w:t>
      </w:r>
      <w:r>
        <w:rPr>
          <w:rFonts w:hint="eastAsia" w:ascii="仿宋" w:hAnsi="仿宋" w:eastAsia="仿宋" w:cs="仿宋_GB2312"/>
          <w:b w:val="0"/>
          <w:bCs w:val="0"/>
          <w:color w:val="3D3D3D"/>
          <w:kern w:val="2"/>
          <w:sz w:val="32"/>
          <w:szCs w:val="32"/>
          <w:shd w:val="clear" w:color="auto" w:fill="FFFFFF"/>
        </w:rPr>
        <w:t>根据我局专项资金管理办法</w:t>
      </w:r>
      <w:r>
        <w:rPr>
          <w:rFonts w:hint="eastAsia" w:ascii="仿宋" w:hAnsi="仿宋" w:eastAsia="仿宋" w:cs="仿宋_GB2312"/>
          <w:b w:val="0"/>
          <w:bCs w:val="0"/>
          <w:sz w:val="32"/>
          <w:szCs w:val="32"/>
        </w:rPr>
        <w:t>对实施项目进行规范管理，制定了《怀化市生态环境局会同分局专项资金管理规定》，项目资金实行专账管理，</w:t>
      </w:r>
      <w:r>
        <w:rPr>
          <w:rFonts w:hint="eastAsia" w:ascii="仿宋" w:hAnsi="仿宋" w:eastAsia="仿宋" w:cs="仿宋_GB2312"/>
          <w:b w:val="0"/>
          <w:bCs w:val="0"/>
          <w:spacing w:val="-6"/>
          <w:sz w:val="32"/>
          <w:szCs w:val="32"/>
        </w:rPr>
        <w:t>做到专款专用，无挤占、挪用、串用的现象。</w:t>
      </w:r>
      <w:r>
        <w:rPr>
          <w:rFonts w:hint="eastAsia" w:ascii="仿宋" w:hAnsi="仿宋" w:eastAsia="仿宋" w:cs="仿宋_GB2312"/>
          <w:b w:val="0"/>
          <w:bCs w:val="0"/>
          <w:color w:val="000000"/>
          <w:kern w:val="0"/>
          <w:sz w:val="32"/>
          <w:szCs w:val="32"/>
        </w:rPr>
        <w:t>财务部门按照财政部门规定程序报批资金计划，由相关部门组织材料审核、调查、领导审查和财务支付审批程序拨付款项。</w:t>
      </w:r>
    </w:p>
    <w:p w14:paraId="7F41BE06">
      <w:pPr>
        <w:pStyle w:val="23"/>
        <w:numPr>
          <w:ilvl w:val="0"/>
          <w:numId w:val="1"/>
        </w:numPr>
        <w:spacing w:after="0" w:line="520" w:lineRule="exact"/>
        <w:ind w:left="0" w:leftChars="0" w:firstLine="640"/>
        <w:rPr>
          <w:rFonts w:ascii="黑体" w:hAnsi="黑体" w:eastAsia="黑体" w:cs="黑体"/>
          <w:bCs/>
          <w:sz w:val="32"/>
          <w:szCs w:val="32"/>
        </w:rPr>
      </w:pPr>
      <w:r>
        <w:rPr>
          <w:rFonts w:hint="eastAsia" w:ascii="黑体" w:hAnsi="黑体" w:eastAsia="黑体" w:cs="黑体"/>
          <w:bCs/>
          <w:sz w:val="32"/>
          <w:szCs w:val="32"/>
        </w:rPr>
        <w:t>项目组织实施情况</w:t>
      </w:r>
    </w:p>
    <w:p w14:paraId="45E94A5E">
      <w:pPr>
        <w:spacing w:line="520" w:lineRule="exact"/>
        <w:ind w:firstLine="640" w:firstLineChars="200"/>
        <w:rPr>
          <w:rFonts w:ascii="仿宋" w:hAnsi="仿宋" w:eastAsia="仿宋" w:cs="仿宋_GB2312"/>
          <w:sz w:val="32"/>
          <w:szCs w:val="32"/>
        </w:rPr>
      </w:pPr>
      <w:r>
        <w:rPr>
          <w:rFonts w:hint="eastAsia" w:ascii="仿宋" w:hAnsi="仿宋" w:eastAsia="仿宋" w:cs="仿宋_GB2312"/>
          <w:color w:val="3D3D3D"/>
          <w:sz w:val="32"/>
          <w:szCs w:val="32"/>
          <w:shd w:val="clear" w:color="auto" w:fill="FFFFFF"/>
        </w:rPr>
        <w:t>根据我局实际制定项目具体实施方案。一是</w:t>
      </w:r>
      <w:r>
        <w:rPr>
          <w:rFonts w:hint="eastAsia" w:ascii="仿宋" w:hAnsi="仿宋" w:eastAsia="仿宋" w:cs="仿宋_GB2312"/>
          <w:sz w:val="32"/>
          <w:szCs w:val="32"/>
        </w:rPr>
        <w:t>加强组织领导，成立项目实施领导小组，由县长任组长，分管副县长任副组长，相关单位主要负责人为成员的考核工作领导，定期召开专题会议，研讨国家重点生态功能区县域生态环境质量考核工作，分析存在的问题，促进项目顺利实施；二是明确职责，建立奖惩机制，健全资金使用管理办法，确定资金使用方向，积极争取资金，加强生态环境监测能力建设等工作；三是做好部门分工，在县委、县政府的统一部署下，认真搞好分工和合作，在规定时间内高标准质量完善资料，确保我县考核工作顺利完成。</w:t>
      </w:r>
    </w:p>
    <w:p w14:paraId="0C8A8C9F">
      <w:pPr>
        <w:spacing w:line="520" w:lineRule="exact"/>
        <w:ind w:firstLine="960" w:firstLineChars="300"/>
        <w:rPr>
          <w:rFonts w:ascii="黑体" w:hAnsi="黑体" w:eastAsia="黑体" w:cs="黑体"/>
          <w:sz w:val="32"/>
          <w:szCs w:val="32"/>
        </w:rPr>
      </w:pPr>
      <w:r>
        <w:rPr>
          <w:rFonts w:hint="eastAsia" w:ascii="黑体" w:hAnsi="黑体" w:eastAsia="黑体" w:cs="黑体"/>
          <w:sz w:val="32"/>
          <w:szCs w:val="32"/>
        </w:rPr>
        <w:t>四、资产管理情况</w:t>
      </w:r>
    </w:p>
    <w:p w14:paraId="69F3B422">
      <w:pPr>
        <w:snapToGrid w:val="0"/>
        <w:spacing w:line="520" w:lineRule="exact"/>
        <w:ind w:firstLine="640" w:firstLineChars="200"/>
        <w:rPr>
          <w:rFonts w:ascii="仿宋" w:hAnsi="仿宋" w:eastAsia="仿宋" w:cs="仿宋_GB2312"/>
          <w:sz w:val="32"/>
          <w:szCs w:val="32"/>
        </w:rPr>
      </w:pPr>
      <w:r>
        <w:rPr>
          <w:rFonts w:hint="eastAsia" w:ascii="仿宋" w:hAnsi="仿宋" w:eastAsia="仿宋" w:cs="仿宋_GB2312"/>
          <w:bCs/>
          <w:sz w:val="32"/>
          <w:szCs w:val="32"/>
        </w:rPr>
        <w:t>资金管理情况：本单位认真履行部门“三定”方案确定的职责。没有存在截留、挤占、挪用、虚列支出等情况；基础数据信息和会计信息资料真实、完整、准确。并按规定内容公开预、决算信息。根据我局专项资金管理办法对实施项目进行规范管理，制定了《怀化市生态环境局会同分局专项资金管理规定》，项目资金做到专款专用，无挤占、挪用、串用的现象。财务部门按照财政部门规定程序报批资金计划，由相关部门组织材料审核、调查、领导审查和财务支付审批程序拨付款项。按照程序追加（调整）预算。严格预算执行，规范支出预算，结合单位年度工作任务，科学合理支出，严格按照财政部门在一体化系统批复的科目、项目、金额执行预算。确保资金支出不突破预算。加强会计核算与监督，规范财务支出管理。</w:t>
      </w:r>
    </w:p>
    <w:p w14:paraId="4C3AB7C5">
      <w:pPr>
        <w:pStyle w:val="10"/>
        <w:rPr>
          <w:rFonts w:ascii="黑体" w:hAnsi="黑体" w:eastAsia="黑体"/>
        </w:rPr>
      </w:pPr>
      <w:r>
        <w:rPr>
          <w:rFonts w:hint="eastAsia" w:ascii="黑体" w:hAnsi="黑体" w:eastAsia="黑体"/>
        </w:rPr>
        <w:t>五、性基金预算支出情况</w:t>
      </w:r>
    </w:p>
    <w:p w14:paraId="7C73707D">
      <w:pPr>
        <w:pStyle w:val="10"/>
      </w:pPr>
      <w:r>
        <w:rPr>
          <w:rFonts w:hint="eastAsia"/>
        </w:rPr>
        <w:t>无</w:t>
      </w:r>
    </w:p>
    <w:p w14:paraId="6EA4E3B4">
      <w:pPr>
        <w:pStyle w:val="10"/>
        <w:rPr>
          <w:rFonts w:ascii="黑体" w:hAnsi="黑体" w:eastAsia="黑体"/>
        </w:rPr>
      </w:pPr>
      <w:r>
        <w:rPr>
          <w:rFonts w:hint="eastAsia" w:ascii="黑体" w:hAnsi="黑体" w:eastAsia="黑体"/>
          <w:kern w:val="0"/>
        </w:rPr>
        <w:t>六、</w:t>
      </w:r>
      <w:r>
        <w:rPr>
          <w:rFonts w:hint="eastAsia" w:ascii="黑体" w:hAnsi="黑体" w:eastAsia="黑体"/>
        </w:rPr>
        <w:t>国有资本经营预算支出情况</w:t>
      </w:r>
    </w:p>
    <w:p w14:paraId="3FFAE626">
      <w:pPr>
        <w:pStyle w:val="10"/>
      </w:pPr>
      <w:r>
        <w:rPr>
          <w:rFonts w:hint="eastAsia"/>
        </w:rPr>
        <w:t>无</w:t>
      </w:r>
    </w:p>
    <w:p w14:paraId="2E7EF340">
      <w:pPr>
        <w:pStyle w:val="10"/>
        <w:rPr>
          <w:rFonts w:ascii="黑体" w:hAnsi="黑体" w:eastAsia="黑体"/>
        </w:rPr>
      </w:pPr>
      <w:r>
        <w:rPr>
          <w:rFonts w:hint="eastAsia" w:ascii="黑体" w:hAnsi="黑体" w:eastAsia="黑体"/>
          <w:kern w:val="0"/>
        </w:rPr>
        <w:t>七、</w:t>
      </w:r>
      <w:r>
        <w:rPr>
          <w:rFonts w:hint="eastAsia" w:ascii="黑体" w:hAnsi="黑体" w:eastAsia="黑体"/>
        </w:rPr>
        <w:t>社会保险基金预算支出情况</w:t>
      </w:r>
    </w:p>
    <w:p w14:paraId="11F6A86E">
      <w:pPr>
        <w:pStyle w:val="10"/>
      </w:pPr>
      <w:r>
        <w:rPr>
          <w:rFonts w:hint="eastAsia"/>
        </w:rPr>
        <w:t>无</w:t>
      </w:r>
    </w:p>
    <w:p w14:paraId="4F4CAF16">
      <w:pPr>
        <w:pStyle w:val="10"/>
        <w:rPr>
          <w:rFonts w:ascii="黑体" w:hAnsi="黑体" w:eastAsia="黑体"/>
        </w:rPr>
      </w:pPr>
      <w:r>
        <w:rPr>
          <w:rFonts w:hint="eastAsia" w:ascii="黑体" w:hAnsi="黑体" w:eastAsia="黑体"/>
        </w:rPr>
        <w:t>八、部门整体支出绩效情况</w:t>
      </w:r>
    </w:p>
    <w:p w14:paraId="14969B52">
      <w:pPr>
        <w:spacing w:line="520" w:lineRule="exact"/>
        <w:ind w:firstLine="320" w:firstLineChars="100"/>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（一）综合评价结论。</w:t>
      </w:r>
    </w:p>
    <w:p w14:paraId="76A165FE">
      <w:pPr>
        <w:spacing w:line="52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shd w:val="clear" w:color="auto" w:fill="FFFFFF"/>
        </w:rPr>
        <w:t>结合本单位的实际情况，本着客观、公正、实事求是的原则，分析细化并赋予各类评价指标科学合理的权重分值，明确具体的评价标准，设定本部门整体支出绩效评价表（详见附件1－2）。</w:t>
      </w:r>
    </w:p>
    <w:p w14:paraId="1F8F3B6C">
      <w:pPr>
        <w:pStyle w:val="10"/>
      </w:pPr>
      <w:r>
        <w:rPr>
          <w:rFonts w:hint="eastAsia"/>
          <w:kern w:val="0"/>
        </w:rPr>
        <w:t>（二）</w:t>
      </w:r>
      <w:r>
        <w:rPr>
          <w:rFonts w:hint="eastAsia"/>
        </w:rPr>
        <w:t>评价指标分析（或综合评价情况）。</w:t>
      </w:r>
    </w:p>
    <w:p w14:paraId="188C26D0">
      <w:pPr>
        <w:pStyle w:val="10"/>
      </w:pPr>
      <w:r>
        <w:rPr>
          <w:rFonts w:hint="eastAsia"/>
        </w:rPr>
        <w:t xml:space="preserve">  2024年我局整体绩效目标设定部门年度履职目标一致，年度履职目标与部门职责、工作规划和重点工作相关；预算有明确的绩效目标，预算绩效指标清晰、细化、可评价、可衡，部门所有收入全部纳入部门预算，部门支出预算统筹各类资金来源，全部纳入部门预算管理；预算执行严格按照财政部门批复的本年度部门的预算数和有关规定审核办理；规范支出预算，遵循先有预算、后有支出原则，特别是“三公”经费一律不能超出年初预算数；</w:t>
      </w:r>
      <w:r>
        <w:rPr>
          <w:rFonts w:hint="eastAsia"/>
          <w:bCs/>
        </w:rPr>
        <w:t>进一步完善资产管理制度，年初做好固定资产购置预算，对固定资产做到事前、事中、事后的全方位管理，定期核实资产是否及时正确入账，账务是否与信息系统数据一致、是否做到帐实、帐帐相符；圆满完成年初定的目标任务，水环境质量达标率100%、空气环境质量完成上级下达的细颗粒物（PM</w:t>
      </w:r>
      <w:r>
        <w:rPr>
          <w:rFonts w:hint="eastAsia"/>
          <w:bCs/>
          <w:vertAlign w:val="subscript"/>
        </w:rPr>
        <w:t>2.5</w:t>
      </w:r>
      <w:r>
        <w:rPr>
          <w:rFonts w:hint="eastAsia"/>
          <w:bCs/>
        </w:rPr>
        <w:t>）20.7微克/立方米、空气质量优良天数比例99.7%的考核任务、全县</w:t>
      </w:r>
      <w:r>
        <w:rPr>
          <w:rFonts w:hint="eastAsia"/>
        </w:rPr>
        <w:t>土壤质量状况稳定；</w:t>
      </w:r>
      <w:r>
        <w:rPr>
          <w:rFonts w:hint="eastAsia"/>
          <w:kern w:val="0"/>
        </w:rPr>
        <w:t>促进全县经济良好发展，社会效益、生态效益、可持续影响效果明显。</w:t>
      </w:r>
    </w:p>
    <w:p w14:paraId="615CD197">
      <w:pPr>
        <w:pStyle w:val="10"/>
        <w:rPr>
          <w:rFonts w:ascii="黑体" w:hAnsi="黑体" w:eastAsia="黑体"/>
        </w:rPr>
      </w:pPr>
      <w:r>
        <w:rPr>
          <w:rFonts w:hint="eastAsia" w:ascii="黑体" w:hAnsi="黑体" w:eastAsia="黑体"/>
        </w:rPr>
        <w:t>九、存在的问题及原因分析</w:t>
      </w:r>
    </w:p>
    <w:p w14:paraId="59F33DCE">
      <w:pPr>
        <w:pStyle w:val="10"/>
      </w:pPr>
      <w:r>
        <w:rPr>
          <w:rFonts w:hint="eastAsia"/>
        </w:rPr>
        <w:t>一是不可预计的专项资金年初未能纳入预算，工作开展急需使用资金时，因没有纳入预算难以及时到位，致使项目实施受阻。二是项目管理制度建设、日常检查监管管理还有待加强完善。</w:t>
      </w:r>
    </w:p>
    <w:p w14:paraId="3D163A78">
      <w:pPr>
        <w:pStyle w:val="10"/>
        <w:rPr>
          <w:rFonts w:ascii="黑体" w:hAnsi="黑体" w:eastAsia="黑体"/>
        </w:rPr>
      </w:pPr>
      <w:r>
        <w:rPr>
          <w:rFonts w:hint="eastAsia" w:ascii="黑体" w:hAnsi="黑体" w:eastAsia="黑体"/>
          <w:kern w:val="0"/>
        </w:rPr>
        <w:t>十、</w:t>
      </w:r>
      <w:r>
        <w:rPr>
          <w:rFonts w:hint="eastAsia" w:ascii="黑体" w:hAnsi="黑体" w:eastAsia="黑体"/>
        </w:rPr>
        <w:t>下一步改进措施</w:t>
      </w:r>
    </w:p>
    <w:p w14:paraId="03A8FF38">
      <w:pPr>
        <w:pStyle w:val="10"/>
      </w:pPr>
      <w:r>
        <w:rPr>
          <w:rFonts w:hint="eastAsia"/>
        </w:rPr>
        <w:t>一是加强培训学习，建议财政部门多开展部门整体绩效评价工作的业务工作培训，组织开展部门之间、单位之间的经验交流。二是加强组织保障。三是提高预算资金效率。</w:t>
      </w:r>
    </w:p>
    <w:p w14:paraId="6A6874BD">
      <w:pPr>
        <w:pStyle w:val="10"/>
        <w:rPr>
          <w:rFonts w:ascii="黑体" w:hAnsi="黑体" w:eastAsia="黑体"/>
        </w:rPr>
      </w:pPr>
      <w:r>
        <w:rPr>
          <w:rFonts w:hint="eastAsia" w:ascii="黑体" w:hAnsi="黑体" w:eastAsia="黑体"/>
        </w:rPr>
        <w:t>十一、其他需要说明的情况</w:t>
      </w:r>
    </w:p>
    <w:p w14:paraId="54790D86">
      <w:pPr>
        <w:pStyle w:val="10"/>
      </w:pPr>
      <w:r>
        <w:rPr>
          <w:rFonts w:hint="eastAsia"/>
        </w:rPr>
        <w:t>无</w:t>
      </w:r>
    </w:p>
    <w:p w14:paraId="29C12D4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6EEC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88F3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8476">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AB88C">
    <w:pPr>
      <w:pStyle w:val="8"/>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6E725405">
                <w:pPr>
                  <w:pStyle w:val="8"/>
                </w:pPr>
                <w:r>
                  <w:fldChar w:fldCharType="begin"/>
                </w:r>
                <w:r>
                  <w:instrText xml:space="preserve"> PAGE  \* MERGEFORMAT </w:instrText>
                </w:r>
                <w:r>
                  <w:fldChar w:fldCharType="separate"/>
                </w:r>
                <w:r>
                  <w:t>26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75814"/>
    <w:multiLevelType w:val="singleLevel"/>
    <w:tmpl w:val="6BD758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128E3"/>
    <w:rsid w:val="0011367A"/>
    <w:rsid w:val="0011480A"/>
    <w:rsid w:val="00152C6D"/>
    <w:rsid w:val="00162D39"/>
    <w:rsid w:val="001678BD"/>
    <w:rsid w:val="00182373"/>
    <w:rsid w:val="001A298C"/>
    <w:rsid w:val="001A67DB"/>
    <w:rsid w:val="001B15B4"/>
    <w:rsid w:val="001B67D1"/>
    <w:rsid w:val="001C3C29"/>
    <w:rsid w:val="001C4353"/>
    <w:rsid w:val="001D2B79"/>
    <w:rsid w:val="001D51E5"/>
    <w:rsid w:val="001E080D"/>
    <w:rsid w:val="001E53D0"/>
    <w:rsid w:val="001F0C3B"/>
    <w:rsid w:val="001F1AE7"/>
    <w:rsid w:val="00202C82"/>
    <w:rsid w:val="00214427"/>
    <w:rsid w:val="00220689"/>
    <w:rsid w:val="00221AFD"/>
    <w:rsid w:val="00223CBF"/>
    <w:rsid w:val="00224B06"/>
    <w:rsid w:val="00226CB7"/>
    <w:rsid w:val="00231AEB"/>
    <w:rsid w:val="00252450"/>
    <w:rsid w:val="00264552"/>
    <w:rsid w:val="00264EF9"/>
    <w:rsid w:val="00265724"/>
    <w:rsid w:val="0027426B"/>
    <w:rsid w:val="002812C7"/>
    <w:rsid w:val="0029365F"/>
    <w:rsid w:val="00296D60"/>
    <w:rsid w:val="002B10A1"/>
    <w:rsid w:val="002E0A30"/>
    <w:rsid w:val="002F1ECD"/>
    <w:rsid w:val="0030077D"/>
    <w:rsid w:val="00304D83"/>
    <w:rsid w:val="003130C4"/>
    <w:rsid w:val="00316C4B"/>
    <w:rsid w:val="0032192B"/>
    <w:rsid w:val="0033283E"/>
    <w:rsid w:val="003479BD"/>
    <w:rsid w:val="00361D70"/>
    <w:rsid w:val="003658A6"/>
    <w:rsid w:val="0037197D"/>
    <w:rsid w:val="003768D5"/>
    <w:rsid w:val="003926B9"/>
    <w:rsid w:val="003C2E17"/>
    <w:rsid w:val="003C47E6"/>
    <w:rsid w:val="003C4FC2"/>
    <w:rsid w:val="003D53CA"/>
    <w:rsid w:val="003E0C8E"/>
    <w:rsid w:val="003E4A15"/>
    <w:rsid w:val="00401F9A"/>
    <w:rsid w:val="00416E61"/>
    <w:rsid w:val="0042790C"/>
    <w:rsid w:val="00443DF1"/>
    <w:rsid w:val="004506F9"/>
    <w:rsid w:val="00451219"/>
    <w:rsid w:val="00462315"/>
    <w:rsid w:val="004717A2"/>
    <w:rsid w:val="00473DF3"/>
    <w:rsid w:val="00487911"/>
    <w:rsid w:val="00490F48"/>
    <w:rsid w:val="00491741"/>
    <w:rsid w:val="00492056"/>
    <w:rsid w:val="004B0CEE"/>
    <w:rsid w:val="004C2A0A"/>
    <w:rsid w:val="004C531B"/>
    <w:rsid w:val="004F5EFB"/>
    <w:rsid w:val="00500E5F"/>
    <w:rsid w:val="005122EF"/>
    <w:rsid w:val="0051441A"/>
    <w:rsid w:val="00517C33"/>
    <w:rsid w:val="00517D5F"/>
    <w:rsid w:val="00523644"/>
    <w:rsid w:val="0054038A"/>
    <w:rsid w:val="0054069E"/>
    <w:rsid w:val="00544866"/>
    <w:rsid w:val="00552A3D"/>
    <w:rsid w:val="00574CC8"/>
    <w:rsid w:val="005767CC"/>
    <w:rsid w:val="00590D9F"/>
    <w:rsid w:val="005931B1"/>
    <w:rsid w:val="00595D26"/>
    <w:rsid w:val="005A74E6"/>
    <w:rsid w:val="005B404E"/>
    <w:rsid w:val="005C7EDA"/>
    <w:rsid w:val="005D4D55"/>
    <w:rsid w:val="005E0E6C"/>
    <w:rsid w:val="005E2CFB"/>
    <w:rsid w:val="005F2103"/>
    <w:rsid w:val="005F3D1C"/>
    <w:rsid w:val="005F4189"/>
    <w:rsid w:val="006017D9"/>
    <w:rsid w:val="00601E86"/>
    <w:rsid w:val="00614031"/>
    <w:rsid w:val="006171EE"/>
    <w:rsid w:val="0062378F"/>
    <w:rsid w:val="00641842"/>
    <w:rsid w:val="006516E0"/>
    <w:rsid w:val="00651EEC"/>
    <w:rsid w:val="00686673"/>
    <w:rsid w:val="00691E8C"/>
    <w:rsid w:val="006A12E3"/>
    <w:rsid w:val="006A22C4"/>
    <w:rsid w:val="006A351B"/>
    <w:rsid w:val="006B0422"/>
    <w:rsid w:val="006B182F"/>
    <w:rsid w:val="006C1B53"/>
    <w:rsid w:val="006D7730"/>
    <w:rsid w:val="006E5284"/>
    <w:rsid w:val="006F3EB5"/>
    <w:rsid w:val="006F56C8"/>
    <w:rsid w:val="006F7646"/>
    <w:rsid w:val="00702E34"/>
    <w:rsid w:val="00704395"/>
    <w:rsid w:val="00706681"/>
    <w:rsid w:val="00710FE7"/>
    <w:rsid w:val="00716D6B"/>
    <w:rsid w:val="00717621"/>
    <w:rsid w:val="00720FF1"/>
    <w:rsid w:val="00727A53"/>
    <w:rsid w:val="007502DE"/>
    <w:rsid w:val="007713F9"/>
    <w:rsid w:val="00777D50"/>
    <w:rsid w:val="00787B42"/>
    <w:rsid w:val="007A41E5"/>
    <w:rsid w:val="007C4539"/>
    <w:rsid w:val="007F3657"/>
    <w:rsid w:val="00810F0C"/>
    <w:rsid w:val="00811AA2"/>
    <w:rsid w:val="00812ED5"/>
    <w:rsid w:val="008277D9"/>
    <w:rsid w:val="0084478C"/>
    <w:rsid w:val="0086638C"/>
    <w:rsid w:val="008764FA"/>
    <w:rsid w:val="00884D75"/>
    <w:rsid w:val="008A1079"/>
    <w:rsid w:val="008A3E8D"/>
    <w:rsid w:val="008A5055"/>
    <w:rsid w:val="008B7EFB"/>
    <w:rsid w:val="008D17F4"/>
    <w:rsid w:val="008E75B0"/>
    <w:rsid w:val="00910075"/>
    <w:rsid w:val="00915BA8"/>
    <w:rsid w:val="009237C4"/>
    <w:rsid w:val="00944C48"/>
    <w:rsid w:val="00947A12"/>
    <w:rsid w:val="00950252"/>
    <w:rsid w:val="009533B1"/>
    <w:rsid w:val="00967F5D"/>
    <w:rsid w:val="009A0F95"/>
    <w:rsid w:val="009B3ADF"/>
    <w:rsid w:val="009C31C5"/>
    <w:rsid w:val="009C3B52"/>
    <w:rsid w:val="009E2B5F"/>
    <w:rsid w:val="009E6440"/>
    <w:rsid w:val="009E6817"/>
    <w:rsid w:val="009E6E9A"/>
    <w:rsid w:val="00A01D2B"/>
    <w:rsid w:val="00A1392A"/>
    <w:rsid w:val="00A42218"/>
    <w:rsid w:val="00A526A0"/>
    <w:rsid w:val="00A70249"/>
    <w:rsid w:val="00A70B02"/>
    <w:rsid w:val="00A71D9F"/>
    <w:rsid w:val="00A92E9F"/>
    <w:rsid w:val="00AB18FF"/>
    <w:rsid w:val="00AB2BB5"/>
    <w:rsid w:val="00AC1EC7"/>
    <w:rsid w:val="00AF4874"/>
    <w:rsid w:val="00B26269"/>
    <w:rsid w:val="00B33BEA"/>
    <w:rsid w:val="00B41B44"/>
    <w:rsid w:val="00B57C9F"/>
    <w:rsid w:val="00B6196E"/>
    <w:rsid w:val="00B62E78"/>
    <w:rsid w:val="00B63572"/>
    <w:rsid w:val="00B845B3"/>
    <w:rsid w:val="00B85D8B"/>
    <w:rsid w:val="00B965E4"/>
    <w:rsid w:val="00BB4A40"/>
    <w:rsid w:val="00BD6022"/>
    <w:rsid w:val="00BD6C3E"/>
    <w:rsid w:val="00BE3674"/>
    <w:rsid w:val="00BF3FD6"/>
    <w:rsid w:val="00C10681"/>
    <w:rsid w:val="00C10822"/>
    <w:rsid w:val="00C1528D"/>
    <w:rsid w:val="00C15C89"/>
    <w:rsid w:val="00C27C0D"/>
    <w:rsid w:val="00C3049A"/>
    <w:rsid w:val="00C31B1E"/>
    <w:rsid w:val="00C32F2E"/>
    <w:rsid w:val="00C73888"/>
    <w:rsid w:val="00C77645"/>
    <w:rsid w:val="00C9424E"/>
    <w:rsid w:val="00CA2A49"/>
    <w:rsid w:val="00CA32A2"/>
    <w:rsid w:val="00CB0F57"/>
    <w:rsid w:val="00CE04C3"/>
    <w:rsid w:val="00CE2393"/>
    <w:rsid w:val="00CE34BE"/>
    <w:rsid w:val="00CE76A0"/>
    <w:rsid w:val="00D148C6"/>
    <w:rsid w:val="00D17A8A"/>
    <w:rsid w:val="00D17D3E"/>
    <w:rsid w:val="00D415BA"/>
    <w:rsid w:val="00D63780"/>
    <w:rsid w:val="00D644EE"/>
    <w:rsid w:val="00D6477E"/>
    <w:rsid w:val="00D81F1B"/>
    <w:rsid w:val="00DC2C05"/>
    <w:rsid w:val="00DD06FF"/>
    <w:rsid w:val="00DD4259"/>
    <w:rsid w:val="00DD5FE9"/>
    <w:rsid w:val="00DF427F"/>
    <w:rsid w:val="00E00C7A"/>
    <w:rsid w:val="00E24579"/>
    <w:rsid w:val="00E32228"/>
    <w:rsid w:val="00E37D6C"/>
    <w:rsid w:val="00E45358"/>
    <w:rsid w:val="00E55B68"/>
    <w:rsid w:val="00E561AE"/>
    <w:rsid w:val="00E67BE6"/>
    <w:rsid w:val="00E73246"/>
    <w:rsid w:val="00E80310"/>
    <w:rsid w:val="00E8683C"/>
    <w:rsid w:val="00EA1668"/>
    <w:rsid w:val="00EA2B72"/>
    <w:rsid w:val="00F348BF"/>
    <w:rsid w:val="00F376B6"/>
    <w:rsid w:val="00F74360"/>
    <w:rsid w:val="00FB462F"/>
    <w:rsid w:val="00FE16FA"/>
    <w:rsid w:val="00FE328A"/>
    <w:rsid w:val="00FE6269"/>
    <w:rsid w:val="00FF5CD6"/>
    <w:rsid w:val="0F576042"/>
    <w:rsid w:val="1D97DEFF"/>
    <w:rsid w:val="1DFF72E5"/>
    <w:rsid w:val="1EFC6F07"/>
    <w:rsid w:val="21490A0C"/>
    <w:rsid w:val="2FDF85B8"/>
    <w:rsid w:val="2FFFEE04"/>
    <w:rsid w:val="34DF85B0"/>
    <w:rsid w:val="3B8F36BC"/>
    <w:rsid w:val="47B90744"/>
    <w:rsid w:val="491FF225"/>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6">
    <w:name w:val="heading 3"/>
    <w:basedOn w:val="1"/>
    <w:next w:val="1"/>
    <w:link w:val="22"/>
    <w:qFormat/>
    <w:uiPriority w:val="0"/>
    <w:pPr>
      <w:keepNext/>
      <w:keepLines/>
      <w:spacing w:line="520" w:lineRule="exact"/>
      <w:ind w:firstLine="640" w:firstLineChars="200"/>
      <w:jc w:val="center"/>
      <w:outlineLvl w:val="2"/>
    </w:pPr>
    <w:rPr>
      <w:rFonts w:ascii="宋体" w:hAnsi="宋体" w:eastAsia="宋体" w:cs="Times New Roman"/>
      <w:bCs/>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shd w:val="clear" w:color="auto" w:fill="FFFFFF"/>
      <w:snapToGrid w:val="0"/>
      <w:spacing w:before="100" w:after="100" w:line="520" w:lineRule="exact"/>
      <w:ind w:firstLine="640" w:firstLineChars="200"/>
    </w:pPr>
    <w:rPr>
      <w:rFonts w:ascii="仿宋" w:hAnsi="仿宋" w:eastAsia="仿宋" w:cs="仿宋_GB2312"/>
      <w:sz w:val="32"/>
      <w:szCs w:val="32"/>
      <w:shd w:val="clear" w:color="auto" w:fill="FFFFFF"/>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99"/>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标题 1 Char"/>
    <w:basedOn w:val="12"/>
    <w:link w:val="5"/>
    <w:qFormat/>
    <w:uiPriority w:val="0"/>
    <w:rPr>
      <w:rFonts w:ascii="宋体" w:hAnsi="宋体" w:cs="宋体" w:eastAsiaTheme="minorEastAsia"/>
      <w:b/>
      <w:bCs/>
      <w:kern w:val="36"/>
      <w:sz w:val="48"/>
      <w:szCs w:val="48"/>
    </w:rPr>
  </w:style>
  <w:style w:type="character" w:customStyle="1" w:styleId="22">
    <w:name w:val="标题 3 Char"/>
    <w:basedOn w:val="12"/>
    <w:link w:val="6"/>
    <w:qFormat/>
    <w:uiPriority w:val="0"/>
    <w:rPr>
      <w:rFonts w:ascii="宋体" w:hAnsi="宋体"/>
      <w:bCs/>
      <w:sz w:val="32"/>
      <w:szCs w:val="32"/>
    </w:rPr>
  </w:style>
  <w:style w:type="paragraph" w:customStyle="1" w:styleId="23">
    <w:name w:val="BodyText1I2"/>
    <w:basedOn w:val="1"/>
    <w:next w:val="1"/>
    <w:unhideWhenUsed/>
    <w:qFormat/>
    <w:uiPriority w:val="0"/>
    <w:pPr>
      <w:widowControl/>
      <w:spacing w:after="120"/>
      <w:ind w:left="420" w:leftChars="200" w:firstLine="200" w:firstLineChars="200"/>
      <w:jc w:val="left"/>
      <w:textAlignment w:val="baseline"/>
    </w:pPr>
    <w:rPr>
      <w:rFonts w:ascii="Calibri" w:hAnsi="Calibri" w:eastAsia="仿宋_GB2312" w:cs="Times New Roman"/>
      <w:kern w:val="0"/>
      <w:sz w:val="36"/>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EB47AF-4571-4D13-9F22-A82934116F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5599</Words>
  <Characters>7044</Characters>
  <Lines>114</Lines>
  <Paragraphs>32</Paragraphs>
  <TotalTime>602</TotalTime>
  <ScaleCrop>false</ScaleCrop>
  <LinksUpToDate>false</LinksUpToDate>
  <CharactersWithSpaces>7621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WPS_1687313046</cp:lastModifiedBy>
  <cp:lastPrinted>2025-09-23T03:41:00Z</cp:lastPrinted>
  <dcterms:modified xsi:type="dcterms:W3CDTF">2025-09-24T01:38:58Z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eyJoZGlkIjoiYzQ0ZDM0MGFlNWM1ODQ4N2VhMWE3YTcxZDQzODgwNmIiLCJ1c2VySWQiOiIxNTA5NjA2NjEyIn0=</vt:lpwstr>
  </property>
</Properties>
</file>