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怀化市自然资源和规划局</w:t>
      </w: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hAnsi="黑体"/>
          <w:bCs/>
          <w:sz w:val="28"/>
          <w:szCs w:val="28"/>
        </w:rPr>
      </w:pPr>
      <w:r>
        <w:rPr>
          <w:rFonts w:hint="eastAsia" w:hAnsi="黑体"/>
          <w:bCs/>
          <w:sz w:val="28"/>
          <w:szCs w:val="28"/>
        </w:rPr>
        <w:t>第一部分 怀化市自然资源和规划局概况</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Ansi="黑体"/>
          <w:bCs/>
          <w:sz w:val="28"/>
          <w:szCs w:val="28"/>
        </w:rPr>
      </w:pPr>
      <w:r>
        <w:rPr>
          <w:rFonts w:hint="eastAsia" w:hAnsi="黑体"/>
          <w:bCs/>
          <w:sz w:val="28"/>
          <w:szCs w:val="28"/>
        </w:rPr>
        <w:t>第二部分 部门决算表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Ansi="黑体"/>
          <w:bCs/>
          <w:sz w:val="28"/>
          <w:szCs w:val="28"/>
        </w:rPr>
      </w:pPr>
      <w:r>
        <w:rPr>
          <w:rFonts w:hint="eastAsia" w:hAnsi="黑体"/>
          <w:bCs/>
          <w:sz w:val="28"/>
          <w:szCs w:val="28"/>
        </w:rPr>
        <w:t>第三部分 部门决算情况说明</w:t>
      </w:r>
    </w:p>
    <w:p>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九、国有资本经营预算财政拨款收入支出决算情况说明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十二、关于政府采购支出说明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十三、关于国有资产占用情况说明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十四、关于202</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年度预算绩效情况的说明</w:t>
      </w:r>
    </w:p>
    <w:p>
      <w:pPr>
        <w:pStyle w:val="10"/>
        <w:spacing w:line="500" w:lineRule="exact"/>
        <w:rPr>
          <w:rFonts w:hint="default" w:hAnsi="黑体" w:eastAsia="黑体"/>
          <w:bCs/>
          <w:sz w:val="28"/>
          <w:szCs w:val="28"/>
          <w:lang w:val="en-US" w:eastAsia="zh-CN"/>
        </w:rPr>
      </w:pPr>
      <w:r>
        <w:rPr>
          <w:rFonts w:hint="eastAsia" w:hAnsi="黑体"/>
          <w:bCs/>
          <w:sz w:val="28"/>
          <w:szCs w:val="28"/>
        </w:rPr>
        <w:t>第四部分 名词解释</w:t>
      </w:r>
      <w:r>
        <w:rPr>
          <w:rFonts w:hint="eastAsia" w:hAnsi="黑体"/>
          <w:bCs/>
          <w:sz w:val="28"/>
          <w:szCs w:val="28"/>
          <w:lang w:val="en-US" w:eastAsia="zh-CN"/>
        </w:rPr>
        <w:t xml:space="preserve">      第五部分 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72"/>
          <w:szCs w:val="84"/>
        </w:rPr>
        <w:t>第一部分</w:t>
      </w:r>
      <w:r>
        <w:rPr>
          <w:rFonts w:hint="eastAsia" w:ascii="方正小标宋_GBK" w:hAnsi="方正小标宋_GBK" w:eastAsia="方正小标宋_GBK" w:cs="方正小标宋_GBK"/>
          <w:sz w:val="84"/>
          <w:szCs w:val="84"/>
        </w:rPr>
        <w:t xml:space="preserve"> </w:t>
      </w: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72"/>
          <w:szCs w:val="84"/>
        </w:rPr>
      </w:pPr>
      <w:r>
        <w:rPr>
          <w:rFonts w:hint="eastAsia" w:ascii="方正小标宋_GBK" w:hAnsi="方正小标宋_GBK" w:eastAsia="方正小标宋_GBK" w:cs="方正小标宋_GBK"/>
          <w:sz w:val="72"/>
          <w:szCs w:val="84"/>
        </w:rPr>
        <w:t>怀化市自然资源和规划局概况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cs="黑体"/>
          <w:sz w:val="32"/>
          <w:szCs w:val="32"/>
        </w:rPr>
      </w:pPr>
    </w:p>
    <w:p>
      <w:pPr>
        <w:pStyle w:val="11"/>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ind w:firstLine="640" w:firstLineChars="200"/>
        <w:jc w:val="left"/>
        <w:rPr>
          <w:rFonts w:eastAsia="仿宋_GB2312" w:cs="仿宋_GB2312"/>
          <w:sz w:val="32"/>
          <w:szCs w:val="32"/>
        </w:rPr>
      </w:pPr>
      <w:r>
        <w:rPr>
          <w:rFonts w:ascii="Times New Roman" w:hAnsi="Times New Roman" w:eastAsia="仿宋_GB2312" w:cs="仿宋_GB2312"/>
          <w:sz w:val="32"/>
          <w:szCs w:val="32"/>
        </w:rPr>
        <w:t>怀化市自然资源和规划局是怀化市人民政府的工作部门，为正处级，由原市国土资源局和市规划局合并组建。</w:t>
      </w:r>
      <w:r>
        <w:rPr>
          <w:rFonts w:eastAsia="仿宋_GB2312" w:cs="仿宋_GB2312"/>
          <w:sz w:val="32"/>
          <w:szCs w:val="32"/>
        </w:rPr>
        <w:t>主要职责包括：</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一）依法履行全民所有土地、矿产、森林、草原、湿地、水等自然资源资产所有者职责和所有国土空间用途管制职责。贯彻执行国家、省有关城乡规划工作的法律法规、规章制度和技术规范,拟定城乡规划管理的规范性文件。拟订土地、矿产、水等自然资源和国土空间规划等地方性法规、规章草案，制定相关政策并监督检查执行情况。</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二）负责自然资源调查监测评价。依照国家自然资源调查监测评价的指标体系和统计标准，建立统一规范的自然资源调查监测评价制度。实施自然资源基础调查、专项调查和监测。负责自然资源调查监测评价成果的监督管理和信息发布。指导县市区自然资源调查监测评价工作。</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三）负责自然资源统一确权登记工作。制定各类自然资源和不动产统一确权登记、权籍调查、不动产测绘、争议调处、成果应用的制度、标准、规范。建立健全全市自然资源和不动产登记信息管理基础平台。负责自然资源和不动产登记资料收集、整理、共享、汇交管理等。指导监督全市自然资源和不动产确权登记工作。</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四）负责自然资源资产有偿使用工作。建立全民所有自然资源资产统计制度，负责全民所有自然资源资产核算。编制全民所有自然资源资产负债表，拟订考核标准。制定全民所有自然资源资产划拨、出让、租赁、作价出资和土地储备政策，合理配置全民所有自然资源资产。负责自然资源资产价值评估管理。</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五）负责自然资源的合理开发利用。组织拟订自然资源发展规划和战略，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六）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市城乡规划管理工作，研究拟订城乡规划政策并监督实施。组织拟订并实施土地等自然资源年度利用计划。负责土地等国土空间用途转用工作。负责土地征收征用管理。</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七）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并提出市级重大备选项目。</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八）负责组织实施最严格的耕地保护制度。牵头拟订并实施耕地保护政策，负责耕地数量和生态保护，做好耕地质量保护有关工作。组织实施耕地保护责任目标考核和永久基本农田特殊保护。完善耕地占补平衡制度，监督占用耕地补偿制度执行情况。</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九）负责管理地质勘查行业和全市地质工作。编制地质勘查规划并监督检查执行情况。管理市级地质勘查项目。组织实施重大地质矿产勘查专项。监督管理地下水过量开采引发的地面沉降等地质问题。负责古生物化石的监督管理。</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负责地质灾害预防和治理。负责落实综合防灾减灾规划相关要求，组织编制地质灾害防治规划和防护标准并指导实施。组织指导协调和监督地质灾害调查评价及隐患普查、详查、排查。指导开展群测群防、专业监测和预报预警等工作，指导开展地质灾害工程治理工作。承担地质灾害应急救援的技术支撑工作。</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（十一）负责矿产资源管理工作。负责矿产资源储量管理及压覆矿产资源审批。负责矿业权管理。会同有关部门承担保护性开采的特定矿种、优势矿产的调控及相关管理工作。监督指导矿产资源合理利用和保护。</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二）负责测绘地理信息管理工作。负责基础测绘和测绘行业管理。负责测绘资质资格与信用管理，监督管理地理信息安全和市场秩序。负责指导城乡规划信息化建设和规划展示工作，负责本市规划地理信息系统建设工作。负责地图管理、地理信息公共服务工作。负责测量标志保护。承担全市地理空间数据的汇集、共享工作。负责全市航空航天遥感影像数据的统一获取、处理、提供。</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三）推动自然资源和规划领域科技发展。制定并实施自然资源和规划领域科技创新发展和人才培养规划、计划。组织制定技术标准、规程规范并监督实施。组织实施重大科技工程及创新能力建设，推进自然资源和规划信息化和信息资料的公共服务。开展自然资源国际合作与交流，拟定全市对外合作的自然资源政策并组织实施。</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四）根据市委授权，对市以下各级政府及相关部门落实市委市政府关于自然资源和国土空间规划的重大方针政策、决策部署及法律法规执行情况进行督察。查处自然资源开发利用和国土空间规划及测绘重大违法案件。指导有关行政执法工作。</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五）负责组织城市总体规划发展战略研究，提出统筹城乡规划、促进两型社会建设的政策建议，强化城乡规划在经济社会发展中的引领作用，推动城乡一体化进程；负责组织城镇体系规划、总体规划、详细规划的审查及报批工作。承担市政工程规划编制和规划管理工作；参与其他重大建设项目规划的可行性论证。承担全市历史文化名城相关审查报批和监督工作。</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六）负责城市规划区建设项目选址定点、规划设计方案和建筑工程设计方案的审查、建设用地和工程的规划管理，核发《建设项目选址意见书》《建设用地规划许可证》《建设工程规划许可证》。参与城市规划区内建设工程的可行性论证和初步设计审查。负责市本级规划批后监察管理工作。参与城乡勘察和市政工程管理工作。</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（十七）负责规划设计单位资质的管理。指导城市规划专业执业资格管理。</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（十八）负责“一体两翼”规划区内芷江镇、罗旧镇、公坪镇、中方镇、牌楼镇和桐木镇规划编制指导、规划控制和规划实施的监督。</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（十九）承担市土地管理委员会、市城乡规划委员会日常工作。</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（二十）统一领导和管理市林业局。</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（二十一）完成市委、市政府交办的其他任务。</w:t>
      </w:r>
    </w:p>
    <w:p>
      <w:pPr>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二十二）职能转变。市自然资源和规划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ascii="Times New Roman" w:hAnsi="Times New Roman" w:eastAsia="仿宋_GB2312" w:cs="仿宋_GB2312"/>
          <w:bCs/>
          <w:kern w:val="0"/>
          <w:sz w:val="32"/>
          <w:szCs w:val="32"/>
        </w:rPr>
      </w:pPr>
      <w:r>
        <w:rPr>
          <w:rFonts w:ascii="Times New Roman" w:hAnsi="Times New Roman" w:eastAsia="仿宋_GB2312" w:cs="仿宋_GB2312"/>
          <w:bCs/>
          <w:kern w:val="0"/>
          <w:sz w:val="32"/>
          <w:szCs w:val="32"/>
        </w:rPr>
        <w:t>怀化市自然资源和规划局设下列内设机构</w:t>
      </w:r>
      <w:r>
        <w:rPr>
          <w:rFonts w:hint="eastAsia" w:ascii="Times New Roman" w:hAnsi="Times New Roman" w:eastAsia="仿宋_GB2312" w:cs="仿宋_GB2312"/>
          <w:bCs/>
          <w:kern w:val="0"/>
          <w:sz w:val="32"/>
          <w:szCs w:val="32"/>
        </w:rPr>
        <w:t>包括</w:t>
      </w:r>
      <w:r>
        <w:rPr>
          <w:rFonts w:ascii="Times New Roman" w:hAnsi="Times New Roman" w:eastAsia="仿宋_GB2312" w:cs="仿宋_GB2312"/>
          <w:bCs/>
          <w:kern w:val="0"/>
          <w:sz w:val="32"/>
          <w:szCs w:val="32"/>
        </w:rPr>
        <w:t>：办公室、信访科、综合科、法规科（督察科）、自然资源调查监测确权登记科、自然资源所有者权益科、自然资源开发利用科、国土空间规划科、村镇规划科、用地规划管理科、工程规划管理科、国土空间用途管制科、征地拆迁管理科、国土空间生态修复科、耕地保护监督科、地质勘查管理科、矿产资源保护监督科、国土空间测绘科、财务科、人事科（退休人员管理服务科）、行政审批服务科、机关党委（机关纪委）、优化营商环境办公室、安全生产办公室、重点项目保障服务办公室。</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怀化市自然资源和规划局2022年部门决算公开单位构成包括：怀化市自然资源和规划局部门本级（含局机关、怀化市自然资源和规划行政执法支队、怀化市国土资源局高新区工业园分局）。</w:t>
      </w: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ascii="方正小标宋_GBK" w:hAnsi="方正小标宋_GBK" w:eastAsia="方正小标宋_GBK" w:cs="方正小标宋_GBK"/>
          <w:sz w:val="84"/>
          <w:szCs w:val="84"/>
        </w:rPr>
      </w:pPr>
    </w:p>
    <w:p>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653" w:type="dxa"/>
        <w:tblInd w:w="0" w:type="dxa"/>
        <w:tblLayout w:type="autofit"/>
        <w:tblCellMar>
          <w:top w:w="0" w:type="dxa"/>
          <w:left w:w="0" w:type="dxa"/>
          <w:bottom w:w="0" w:type="dxa"/>
          <w:right w:w="0" w:type="dxa"/>
        </w:tblCellMar>
      </w:tblPr>
      <w:tblGrid>
        <w:gridCol w:w="7223"/>
        <w:gridCol w:w="826"/>
        <w:gridCol w:w="826"/>
        <w:gridCol w:w="826"/>
        <w:gridCol w:w="826"/>
        <w:gridCol w:w="826"/>
        <w:gridCol w:w="826"/>
        <w:gridCol w:w="826"/>
        <w:gridCol w:w="826"/>
        <w:gridCol w:w="822"/>
      </w:tblGrid>
      <w:tr>
        <w:tblPrEx>
          <w:tblCellMar>
            <w:top w:w="0" w:type="dxa"/>
            <w:left w:w="0" w:type="dxa"/>
            <w:bottom w:w="0" w:type="dxa"/>
            <w:right w:w="0" w:type="dxa"/>
          </w:tblCellMar>
        </w:tblPrEx>
        <w:trPr>
          <w:trHeight w:val="435" w:hRule="atLeast"/>
        </w:trPr>
        <w:tc>
          <w:tcPr>
            <w:tcW w:w="14653"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4120" w:type="dxa"/>
              <w:tblInd w:w="0" w:type="dxa"/>
              <w:tblLayout w:type="autofit"/>
              <w:tblCellMar>
                <w:top w:w="0" w:type="dxa"/>
                <w:left w:w="108" w:type="dxa"/>
                <w:bottom w:w="0" w:type="dxa"/>
                <w:right w:w="108" w:type="dxa"/>
              </w:tblCellMar>
            </w:tblPr>
            <w:tblGrid>
              <w:gridCol w:w="4934"/>
              <w:gridCol w:w="653"/>
              <w:gridCol w:w="1265"/>
              <w:gridCol w:w="4628"/>
              <w:gridCol w:w="653"/>
              <w:gridCol w:w="1987"/>
            </w:tblGrid>
            <w:tr>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49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4934"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6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8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268"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3,249.50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97.34</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1,361.97</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2,042.36</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4,180.40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4,265.41</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85.01</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4,265.41</w:t>
                  </w:r>
                </w:p>
              </w:tc>
              <w:tc>
                <w:tcPr>
                  <w:tcW w:w="462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4,265.41</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pPr>
              <w:rPr>
                <w:rFonts w:ascii="华文中宋" w:hAnsi="华文中宋" w:eastAsia="华文中宋" w:cs="宋体"/>
                <w:color w:val="000000"/>
                <w:sz w:val="32"/>
                <w:szCs w:val="32"/>
              </w:rPr>
            </w:pPr>
          </w:p>
        </w:tc>
      </w:tr>
      <w:tr>
        <w:tblPrEx>
          <w:tblCellMar>
            <w:top w:w="0" w:type="dxa"/>
            <w:left w:w="0" w:type="dxa"/>
            <w:bottom w:w="0" w:type="dxa"/>
            <w:right w:w="0" w:type="dxa"/>
          </w:tblCellMar>
        </w:tblPrEx>
        <w:trPr>
          <w:trHeight w:val="108"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6"/>
        <w:tblW w:w="21616" w:type="dxa"/>
        <w:tblInd w:w="93" w:type="dxa"/>
        <w:tblLayout w:type="autofit"/>
        <w:tblCellMar>
          <w:top w:w="0" w:type="dxa"/>
          <w:left w:w="108" w:type="dxa"/>
          <w:bottom w:w="0" w:type="dxa"/>
          <w:right w:w="108" w:type="dxa"/>
        </w:tblCellMar>
      </w:tblPr>
      <w:tblGrid>
        <w:gridCol w:w="20910"/>
        <w:gridCol w:w="706"/>
      </w:tblGrid>
      <w:tr>
        <w:tblPrEx>
          <w:tblCellMar>
            <w:top w:w="0" w:type="dxa"/>
            <w:left w:w="108" w:type="dxa"/>
            <w:bottom w:w="0" w:type="dxa"/>
            <w:right w:w="108" w:type="dxa"/>
          </w:tblCellMar>
        </w:tblPrEx>
        <w:trPr>
          <w:trHeight w:val="807" w:hRule="atLeast"/>
        </w:trPr>
        <w:tc>
          <w:tcPr>
            <w:tcW w:w="21616" w:type="dxa"/>
            <w:gridSpan w:val="2"/>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tbl>
            <w:tblPr>
              <w:tblStyle w:val="6"/>
              <w:tblW w:w="14933" w:type="dxa"/>
              <w:tblInd w:w="0" w:type="dxa"/>
              <w:tblLayout w:type="autofit"/>
              <w:tblCellMar>
                <w:top w:w="0" w:type="dxa"/>
                <w:left w:w="108" w:type="dxa"/>
                <w:bottom w:w="0" w:type="dxa"/>
                <w:right w:w="108" w:type="dxa"/>
              </w:tblCellMar>
            </w:tblPr>
            <w:tblGrid>
              <w:gridCol w:w="404"/>
              <w:gridCol w:w="311"/>
              <w:gridCol w:w="271"/>
              <w:gridCol w:w="4813"/>
              <w:gridCol w:w="1658"/>
              <w:gridCol w:w="1568"/>
              <w:gridCol w:w="1094"/>
              <w:gridCol w:w="1094"/>
              <w:gridCol w:w="1094"/>
              <w:gridCol w:w="1094"/>
              <w:gridCol w:w="1532"/>
            </w:tblGrid>
            <w:tr>
              <w:tblPrEx>
                <w:tblCellMar>
                  <w:top w:w="0" w:type="dxa"/>
                  <w:left w:w="108" w:type="dxa"/>
                  <w:bottom w:w="0" w:type="dxa"/>
                  <w:right w:w="108" w:type="dxa"/>
                </w:tblCellMar>
              </w:tblPrEx>
              <w:trPr>
                <w:trHeight w:val="390" w:hRule="atLeast"/>
              </w:trPr>
              <w:tc>
                <w:tcPr>
                  <w:tcW w:w="14933" w:type="dxa"/>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40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81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6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32"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5799"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16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6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32"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7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65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56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09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09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09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09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53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813"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65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81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5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81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5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79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6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5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trPr>
              <w:tc>
                <w:tcPr>
                  <w:tcW w:w="579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4,180.40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4,180.40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2080502</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事业单位离退休</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149.98</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149.98</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2080599</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其他行政事业单位养老支出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160.88</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160.88</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97.34</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97.34</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1,276.96</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1,276.96</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145.69</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145.69</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145.69</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145.69</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城乡社区规划与管理</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2120201</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城乡社区规划与管理</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2120806</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土地出让业务支出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2,042.36</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2,042.36</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2,039.28</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2,039.28</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2200101</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1,357.76</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1,357.76</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2200102</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32.17</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32.17</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2200109</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自然资源调查与确权登记</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80.00</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2200114</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地质勘查与矿产资源管理</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158.43</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158.43</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410.91</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410.91</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22099</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其他自然资源海洋气象等支出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2209999</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其他自然资源海洋气象等支出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481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5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4933" w:type="dxa"/>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trHeight w:val="807" w:hRule="atLeast"/>
        </w:trPr>
        <w:tc>
          <w:tcPr>
            <w:tcW w:w="21616" w:type="dxa"/>
            <w:gridSpan w:val="2"/>
            <w:tcBorders>
              <w:top w:val="nil"/>
              <w:left w:val="nil"/>
              <w:bottom w:val="nil"/>
              <w:right w:val="nil"/>
            </w:tcBorders>
            <w:shd w:val="clear" w:color="auto" w:fill="auto"/>
            <w:noWrap/>
            <w:vAlign w:val="center"/>
          </w:tcPr>
          <w:p/>
          <w:tbl>
            <w:tblPr>
              <w:tblStyle w:val="6"/>
              <w:tblW w:w="14272" w:type="dxa"/>
              <w:tblInd w:w="0" w:type="dxa"/>
              <w:tblLayout w:type="autofit"/>
              <w:tblCellMar>
                <w:top w:w="0" w:type="dxa"/>
                <w:left w:w="108" w:type="dxa"/>
                <w:bottom w:w="0" w:type="dxa"/>
                <w:right w:w="108" w:type="dxa"/>
              </w:tblCellMar>
            </w:tblPr>
            <w:tblGrid>
              <w:gridCol w:w="401"/>
              <w:gridCol w:w="313"/>
              <w:gridCol w:w="272"/>
              <w:gridCol w:w="4712"/>
              <w:gridCol w:w="1523"/>
              <w:gridCol w:w="1523"/>
              <w:gridCol w:w="1523"/>
              <w:gridCol w:w="1109"/>
              <w:gridCol w:w="1109"/>
              <w:gridCol w:w="1787"/>
            </w:tblGrid>
            <w:tr>
              <w:trPr>
                <w:trHeight w:val="390" w:hRule="atLeast"/>
              </w:trPr>
              <w:tc>
                <w:tcPr>
                  <w:tcW w:w="14272"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1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2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2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2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8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5698"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152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2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2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8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6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2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52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2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10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10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78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712"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8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71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8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71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8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69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7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69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4,265.41</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2,480.09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1,785.32</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2080502</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事业单位离退休</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149.98</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149.98</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2080599</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其他行政事业单位养老支出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160.88</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160.88</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97.34</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1,361.97</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316.81</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1,045.16</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城乡社区规划与管理</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2120201</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城乡社区规划与管理</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1,015.91</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201.12</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814.79</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2120806</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土地出让业务支出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1,015.91</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201.12</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814.79</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2,042.36</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1,767.93</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274.43</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2,039.28</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1,767.93</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271.35</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2200101</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1,357.76</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1,357.76</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2200102</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32.17</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32.17</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2200109</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自然资源调查与确权登记</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2200114</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地质勘查与矿产资源管理</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158.43</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158.43</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410.91</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410.17</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0.74</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22099</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其他自然资源海洋气象等支出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2209999</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其他自然资源海洋气象等支出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47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4272"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bl>
            <w:tblPr>
              <w:tblStyle w:val="6"/>
              <w:tblW w:w="14828" w:type="dxa"/>
              <w:tblInd w:w="0" w:type="dxa"/>
              <w:tblLayout w:type="autofit"/>
              <w:tblCellMar>
                <w:top w:w="0" w:type="dxa"/>
                <w:left w:w="108" w:type="dxa"/>
                <w:bottom w:w="0" w:type="dxa"/>
                <w:right w:w="108" w:type="dxa"/>
              </w:tblCellMar>
            </w:tblPr>
            <w:tblGrid>
              <w:gridCol w:w="3567"/>
              <w:gridCol w:w="464"/>
              <w:gridCol w:w="1247"/>
              <w:gridCol w:w="3902"/>
              <w:gridCol w:w="464"/>
              <w:gridCol w:w="1096"/>
              <w:gridCol w:w="1269"/>
              <w:gridCol w:w="1303"/>
              <w:gridCol w:w="1596"/>
            </w:tblGrid>
            <w:tr>
              <w:tblPrEx>
                <w:tblCellMar>
                  <w:top w:w="0" w:type="dxa"/>
                  <w:left w:w="108" w:type="dxa"/>
                  <w:bottom w:w="0" w:type="dxa"/>
                  <w:right w:w="108" w:type="dxa"/>
                </w:tblCellMar>
              </w:tblPrEx>
              <w:trPr>
                <w:trHeight w:val="390" w:hRule="atLeast"/>
              </w:trPr>
              <w:tc>
                <w:tcPr>
                  <w:tcW w:w="14828"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5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4031"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12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2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550"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6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4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90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6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1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6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30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5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6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6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6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3,249.50</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97.34</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97.34</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1,361.97</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346.05</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1,015.91</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2,042.36</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2,042.36</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4,180.40</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4,265.41</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3,249.50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1,015.91</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85.01</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85.01</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4,265.41</w:t>
                  </w:r>
                </w:p>
              </w:tc>
              <w:tc>
                <w:tcPr>
                  <w:tcW w:w="390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0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4,265.41</w:t>
                  </w:r>
                </w:p>
              </w:tc>
              <w:tc>
                <w:tcPr>
                  <w:tcW w:w="12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3,249.50</w:t>
                  </w:r>
                </w:p>
              </w:tc>
              <w:tc>
                <w:tcPr>
                  <w:tcW w:w="13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1,015.91</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232" w:type="dxa"/>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596"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bl>
          <w:p>
            <w:pPr>
              <w:widowControl/>
              <w:jc w:val="center"/>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gridAfter w:val="1"/>
          <w:wAfter w:w="706" w:type="dxa"/>
          <w:trHeight w:val="976" w:hRule="atLeast"/>
        </w:trPr>
        <w:tc>
          <w:tcPr>
            <w:tcW w:w="20910"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tbl>
            <w:tblPr>
              <w:tblStyle w:val="6"/>
              <w:tblW w:w="12397" w:type="dxa"/>
              <w:tblInd w:w="0" w:type="dxa"/>
              <w:tblLayout w:type="autofit"/>
              <w:tblCellMar>
                <w:top w:w="0" w:type="dxa"/>
                <w:left w:w="108" w:type="dxa"/>
                <w:bottom w:w="0" w:type="dxa"/>
                <w:right w:w="108" w:type="dxa"/>
              </w:tblCellMar>
            </w:tblPr>
            <w:tblGrid>
              <w:gridCol w:w="400"/>
              <w:gridCol w:w="316"/>
              <w:gridCol w:w="270"/>
              <w:gridCol w:w="4973"/>
              <w:gridCol w:w="2095"/>
              <w:gridCol w:w="2095"/>
              <w:gridCol w:w="2434"/>
            </w:tblGrid>
            <w:tr>
              <w:tblPrEx>
                <w:tblCellMar>
                  <w:top w:w="0" w:type="dxa"/>
                  <w:left w:w="108" w:type="dxa"/>
                  <w:bottom w:w="0" w:type="dxa"/>
                  <w:right w:w="108" w:type="dxa"/>
                </w:tblCellMar>
              </w:tblPrEx>
              <w:trPr>
                <w:trHeight w:val="390" w:hRule="atLeast"/>
              </w:trPr>
              <w:tc>
                <w:tcPr>
                  <w:tcW w:w="12397"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7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43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5773"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20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43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7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2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973"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0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0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4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7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0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0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7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0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0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77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577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3,249.50</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2,278.97</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970.53</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320.35</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2080502</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事业单位离退休</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149.98</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149.98</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2080599</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其他行政事业单位养老支出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160.88</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160.88</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97.34</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346.05</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115.69</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230.37</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145.69</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115.69</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145.69</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115.69</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城乡社区规划与管理</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2120201</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城乡社区规划与管理</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197.67</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2,042.36</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1,767.93</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274.43</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2,039.28</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1,767.93</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271.35</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2200101</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1,357.76</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1,357.76</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2200102</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32.17</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32.17</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2200109</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自然资源调查与确权登记</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80.00</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2200114</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地质勘查与矿产资源管理</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158.43</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158.43</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410.91</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410.17</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0.74</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22099</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其他自然资源海洋气象等支出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2209999</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其他自然资源海洋气象等支出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49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c>
                <w:tcPr>
                  <w:tcW w:w="20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443.39</w:t>
                  </w:r>
                </w:p>
              </w:tc>
            </w:tr>
            <w:tr>
              <w:tblPrEx>
                <w:tblCellMar>
                  <w:top w:w="0" w:type="dxa"/>
                  <w:left w:w="108" w:type="dxa"/>
                  <w:bottom w:w="0" w:type="dxa"/>
                  <w:right w:w="108" w:type="dxa"/>
                </w:tblCellMar>
              </w:tblPrEx>
              <w:trPr>
                <w:trHeight w:val="308" w:hRule="atLeast"/>
              </w:trPr>
              <w:tc>
                <w:tcPr>
                  <w:tcW w:w="12397"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tbl>
            <w:tblPr>
              <w:tblStyle w:val="6"/>
              <w:tblW w:w="15164" w:type="dxa"/>
              <w:tblInd w:w="0" w:type="dxa"/>
              <w:tblLayout w:type="autofit"/>
              <w:tblCellMar>
                <w:top w:w="0" w:type="dxa"/>
                <w:left w:w="108" w:type="dxa"/>
                <w:bottom w:w="0" w:type="dxa"/>
                <w:right w:w="108" w:type="dxa"/>
              </w:tblCellMar>
            </w:tblPr>
            <w:tblGrid>
              <w:gridCol w:w="766"/>
              <w:gridCol w:w="3338"/>
              <w:gridCol w:w="1105"/>
              <w:gridCol w:w="766"/>
              <w:gridCol w:w="2380"/>
              <w:gridCol w:w="766"/>
              <w:gridCol w:w="766"/>
              <w:gridCol w:w="4218"/>
              <w:gridCol w:w="1298"/>
            </w:tblGrid>
            <w:tr>
              <w:tblPrEx>
                <w:tblCellMar>
                  <w:top w:w="0" w:type="dxa"/>
                  <w:left w:w="108" w:type="dxa"/>
                  <w:bottom w:w="0" w:type="dxa"/>
                  <w:right w:w="108" w:type="dxa"/>
                </w:tblCellMar>
              </w:tblPrEx>
              <w:trPr>
                <w:trHeight w:val="390" w:hRule="atLeast"/>
              </w:trPr>
              <w:tc>
                <w:tcPr>
                  <w:tcW w:w="15164"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7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8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255" w:hRule="atLeast"/>
              </w:trPr>
              <w:tc>
                <w:tcPr>
                  <w:tcW w:w="4070"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110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8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51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989"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7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3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3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68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2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9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73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3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8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1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2,082.47</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12.72</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616.68</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0.22</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417.60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823.21</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149.98</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3.22</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183.78</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经常性赠与</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39910</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资本性赠与</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183.78</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3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w:t>
                  </w:r>
                </w:p>
              </w:tc>
              <w:tc>
                <w:tcPr>
                  <w:tcW w:w="68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07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1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2,266.25</w:t>
                  </w:r>
                </w:p>
              </w:tc>
              <w:tc>
                <w:tcPr>
                  <w:tcW w:w="8691"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2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12.72</w:t>
                  </w:r>
                </w:p>
              </w:tc>
            </w:tr>
            <w:tr>
              <w:tblPrEx>
                <w:tblCellMar>
                  <w:top w:w="0" w:type="dxa"/>
                  <w:left w:w="108" w:type="dxa"/>
                  <w:bottom w:w="0" w:type="dxa"/>
                  <w:right w:w="108" w:type="dxa"/>
                </w:tblCellMar>
              </w:tblPrEx>
              <w:trPr>
                <w:trHeight w:val="308" w:hRule="atLeast"/>
              </w:trPr>
              <w:tc>
                <w:tcPr>
                  <w:tcW w:w="15164"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tbl>
            <w:tblPr>
              <w:tblStyle w:val="6"/>
              <w:tblW w:w="13266" w:type="dxa"/>
              <w:tblInd w:w="0" w:type="dxa"/>
              <w:tblLayout w:type="autofit"/>
              <w:tblCellMar>
                <w:top w:w="0" w:type="dxa"/>
                <w:left w:w="108" w:type="dxa"/>
                <w:bottom w:w="0" w:type="dxa"/>
                <w:right w:w="108" w:type="dxa"/>
              </w:tblCellMar>
            </w:tblPr>
            <w:tblGrid>
              <w:gridCol w:w="401"/>
              <w:gridCol w:w="313"/>
              <w:gridCol w:w="272"/>
              <w:gridCol w:w="4393"/>
              <w:gridCol w:w="1179"/>
              <w:gridCol w:w="1247"/>
              <w:gridCol w:w="1384"/>
              <w:gridCol w:w="1247"/>
              <w:gridCol w:w="1247"/>
              <w:gridCol w:w="1769"/>
            </w:tblGrid>
            <w:tr>
              <w:tblPrEx>
                <w:tblCellMar>
                  <w:top w:w="0" w:type="dxa"/>
                  <w:left w:w="108" w:type="dxa"/>
                  <w:bottom w:w="0" w:type="dxa"/>
                  <w:right w:w="108" w:type="dxa"/>
                </w:tblCellMar>
              </w:tblPrEx>
              <w:trPr>
                <w:trHeight w:val="390" w:hRule="atLeast"/>
              </w:trPr>
              <w:tc>
                <w:tcPr>
                  <w:tcW w:w="13266"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39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7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6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5193"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117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6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1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17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38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76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393"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8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24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24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7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9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9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19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19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85.01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930.90</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1,015.91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201.12</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814.79</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3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1,015.91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201.12</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814.79</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3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1,015.91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201.12</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814.79</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2120806</w:t>
                  </w:r>
                </w:p>
              </w:tc>
              <w:tc>
                <w:tcPr>
                  <w:tcW w:w="43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土地出让业务支出</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930.90</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1,015.91</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201.12</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814.79</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3266"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p>
          <w:tbl>
            <w:tblPr>
              <w:tblStyle w:val="6"/>
              <w:tblW w:w="12038" w:type="dxa"/>
              <w:tblInd w:w="0" w:type="dxa"/>
              <w:tblLayout w:type="autofit"/>
              <w:tblCellMar>
                <w:top w:w="0" w:type="dxa"/>
                <w:left w:w="108" w:type="dxa"/>
                <w:bottom w:w="0" w:type="dxa"/>
                <w:right w:w="108" w:type="dxa"/>
              </w:tblCellMar>
            </w:tblPr>
            <w:tblGrid>
              <w:gridCol w:w="595"/>
              <w:gridCol w:w="588"/>
              <w:gridCol w:w="588"/>
              <w:gridCol w:w="7843"/>
              <w:gridCol w:w="5482"/>
              <w:gridCol w:w="2143"/>
              <w:gridCol w:w="3453"/>
            </w:tblGrid>
            <w:tr>
              <w:tblPrEx>
                <w:tblCellMar>
                  <w:top w:w="0" w:type="dxa"/>
                  <w:left w:w="108" w:type="dxa"/>
                  <w:bottom w:w="0" w:type="dxa"/>
                  <w:right w:w="108" w:type="dxa"/>
                </w:tblCellMar>
              </w:tblPrEx>
              <w:trPr>
                <w:trHeight w:val="390" w:hRule="atLeast"/>
              </w:trPr>
              <w:tc>
                <w:tcPr>
                  <w:tcW w:w="12038"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25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3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45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4103"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233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45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93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75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34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33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14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345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75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3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75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3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10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33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1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4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410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3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21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4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75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4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5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4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2038"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r>
              <w:tblPrEx>
                <w:tblCellMar>
                  <w:top w:w="0" w:type="dxa"/>
                  <w:left w:w="108" w:type="dxa"/>
                  <w:bottom w:w="0" w:type="dxa"/>
                  <w:right w:w="108" w:type="dxa"/>
                </w:tblCellMar>
              </w:tblPrEx>
              <w:trPr>
                <w:trHeight w:val="255" w:hRule="atLeast"/>
              </w:trPr>
              <w:tc>
                <w:tcPr>
                  <w:tcW w:w="6442" w:type="dxa"/>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说明：我单位没有使用国有资本经营预算安排的支出，故本表无数据。</w:t>
                  </w:r>
                </w:p>
                <w:p>
                  <w:pPr>
                    <w:widowControl/>
                    <w:jc w:val="left"/>
                    <w:rPr>
                      <w:rFonts w:ascii="宋体" w:hAnsi="宋体" w:eastAsia="宋体" w:cs="Arial"/>
                      <w:color w:val="000000"/>
                      <w:kern w:val="0"/>
                      <w:sz w:val="20"/>
                      <w:szCs w:val="20"/>
                    </w:rPr>
                  </w:pPr>
                </w:p>
                <w:p>
                  <w:pPr>
                    <w:widowControl/>
                    <w:jc w:val="left"/>
                    <w:rPr>
                      <w:rFonts w:ascii="宋体" w:hAnsi="宋体" w:eastAsia="宋体" w:cs="Arial"/>
                      <w:color w:val="000000"/>
                      <w:kern w:val="0"/>
                      <w:sz w:val="20"/>
                      <w:szCs w:val="20"/>
                    </w:rPr>
                  </w:pPr>
                </w:p>
                <w:p>
                  <w:pPr>
                    <w:widowControl/>
                    <w:jc w:val="left"/>
                    <w:rPr>
                      <w:rFonts w:ascii="宋体" w:hAnsi="宋体" w:eastAsia="宋体" w:cs="Arial"/>
                      <w:color w:val="000000"/>
                      <w:kern w:val="0"/>
                      <w:sz w:val="20"/>
                      <w:szCs w:val="20"/>
                    </w:rPr>
                  </w:pPr>
                </w:p>
                <w:p>
                  <w:pPr>
                    <w:widowControl/>
                    <w:jc w:val="left"/>
                    <w:rPr>
                      <w:rFonts w:ascii="宋体" w:hAnsi="宋体" w:eastAsia="宋体" w:cs="Arial"/>
                      <w:color w:val="000000"/>
                      <w:kern w:val="0"/>
                      <w:sz w:val="20"/>
                      <w:szCs w:val="20"/>
                    </w:rPr>
                  </w:pPr>
                </w:p>
                <w:tbl>
                  <w:tblPr>
                    <w:tblStyle w:val="6"/>
                    <w:tblW w:w="14880" w:type="dxa"/>
                    <w:tblInd w:w="0" w:type="dxa"/>
                    <w:tblLayout w:type="autofit"/>
                    <w:tblCellMar>
                      <w:top w:w="0" w:type="dxa"/>
                      <w:left w:w="108" w:type="dxa"/>
                      <w:bottom w:w="0" w:type="dxa"/>
                      <w:right w:w="108" w:type="dxa"/>
                    </w:tblCellMar>
                  </w:tblPr>
                  <w:tblGrid>
                    <w:gridCol w:w="1240"/>
                    <w:gridCol w:w="1240"/>
                    <w:gridCol w:w="1240"/>
                    <w:gridCol w:w="1240"/>
                    <w:gridCol w:w="1240"/>
                    <w:gridCol w:w="1227"/>
                    <w:gridCol w:w="1240"/>
                    <w:gridCol w:w="1240"/>
                    <w:gridCol w:w="1240"/>
                    <w:gridCol w:w="1101"/>
                    <w:gridCol w:w="1202"/>
                    <w:gridCol w:w="1430"/>
                  </w:tblGrid>
                  <w:tr>
                    <w:tblPrEx>
                      <w:tblCellMar>
                        <w:top w:w="0" w:type="dxa"/>
                        <w:left w:w="108" w:type="dxa"/>
                        <w:bottom w:w="0" w:type="dxa"/>
                        <w:right w:w="108" w:type="dxa"/>
                      </w:tblCellMar>
                    </w:tblPrEx>
                    <w:trPr>
                      <w:trHeight w:val="540" w:hRule="atLeast"/>
                    </w:trPr>
                    <w:tc>
                      <w:tcPr>
                        <w:tcW w:w="14880"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财政拨款“三公”经费支出决算表</w:t>
                        </w:r>
                      </w:p>
                    </w:tc>
                  </w:tr>
                  <w:tr>
                    <w:tblPrEx>
                      <w:tblCellMar>
                        <w:top w:w="0" w:type="dxa"/>
                        <w:left w:w="108" w:type="dxa"/>
                        <w:bottom w:w="0" w:type="dxa"/>
                        <w:right w:w="108" w:type="dxa"/>
                      </w:tblCellMar>
                    </w:tblPrEx>
                    <w:trPr>
                      <w:trHeight w:val="255" w:hRule="atLeast"/>
                    </w:trPr>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3720"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部门：怀化市自然资源和规划局(本级)</w:t>
                        </w: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7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745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12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72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2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2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54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4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2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2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2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1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12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39.11</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38.20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38.20</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0.91</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39.11</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38.20</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38.20</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0.91</w:t>
                        </w:r>
                      </w:p>
                    </w:tc>
                  </w:tr>
                  <w:tr>
                    <w:tblPrEx>
                      <w:tblCellMar>
                        <w:top w:w="0" w:type="dxa"/>
                        <w:left w:w="108" w:type="dxa"/>
                        <w:bottom w:w="0" w:type="dxa"/>
                        <w:right w:w="108" w:type="dxa"/>
                      </w:tblCellMar>
                    </w:tblPrEx>
                    <w:trPr>
                      <w:trHeight w:val="615" w:hRule="atLeast"/>
                    </w:trPr>
                    <w:tc>
                      <w:tcPr>
                        <w:tcW w:w="14880" w:type="dxa"/>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left"/>
                    <w:rPr>
                      <w:rFonts w:ascii="宋体" w:hAnsi="宋体" w:eastAsia="宋体" w:cs="Arial"/>
                      <w:color w:val="000000"/>
                      <w:kern w:val="0"/>
                      <w:sz w:val="20"/>
                      <w:szCs w:val="20"/>
                    </w:rPr>
                  </w:pPr>
                </w:p>
              </w:tc>
              <w:tc>
                <w:tcPr>
                  <w:tcW w:w="21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4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textAlignment w:val="center"/>
              <w:rPr>
                <w:rFonts w:ascii="宋体" w:hAnsi="宋体" w:eastAsia="宋体" w:cs="宋体"/>
                <w:color w:val="000000"/>
                <w:kern w:val="0"/>
                <w:sz w:val="24"/>
                <w:szCs w:val="24"/>
              </w:rPr>
            </w:pPr>
          </w:p>
        </w:tc>
      </w:tr>
    </w:tbl>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2022年度部门决算情况说明</w:t>
      </w: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0"/>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2022年度收、支总计4265.41万元。与上年相比，减少2886.26万元，减少40.36%，主要是因为2022年度单位项目收支减少。</w:t>
      </w:r>
    </w:p>
    <w:p>
      <w:pPr>
        <w:pStyle w:val="10"/>
        <w:spacing w:line="600" w:lineRule="exact"/>
        <w:ind w:firstLine="640" w:firstLineChars="200"/>
        <w:rPr>
          <w:rFonts w:hAnsi="黑体"/>
          <w:bCs/>
          <w:sz w:val="32"/>
          <w:szCs w:val="32"/>
        </w:rPr>
      </w:pPr>
      <w:r>
        <w:rPr>
          <w:rFonts w:hint="eastAsia" w:hAnsi="黑体"/>
          <w:bCs/>
          <w:sz w:val="32"/>
          <w:szCs w:val="32"/>
        </w:rPr>
        <w:t>二、收入决算情况说明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2022年度收入合计4180.4万元，其中：财政拨款收入4180.4万元，占100%；上级补助收入0万元，占0%；事业收入0万元，占0%；经营收入0万元，占0%；附属单位上缴收入0万元，占0%；其他收入0万元，占0%。</w:t>
      </w:r>
    </w:p>
    <w:p>
      <w:pPr>
        <w:pStyle w:val="10"/>
        <w:spacing w:line="600" w:lineRule="exact"/>
        <w:ind w:firstLine="640" w:firstLineChars="200"/>
        <w:rPr>
          <w:rFonts w:hAnsi="黑体"/>
          <w:bCs/>
          <w:sz w:val="32"/>
          <w:szCs w:val="32"/>
        </w:rPr>
      </w:pPr>
      <w:r>
        <w:rPr>
          <w:rFonts w:hint="eastAsia" w:hAnsi="黑体"/>
          <w:bCs/>
          <w:sz w:val="32"/>
          <w:szCs w:val="32"/>
        </w:rPr>
        <w:t>三、支出决算情况说明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2022年度支出合计4265.41万元，其中：基本支出2480.09万元，占58.14%；项目支出1785.32万元，占41.86%；上缴上级支出0万元，占0%；经营支出0万元，占0%；对附属单位补助支出0万元，占0%。</w:t>
      </w:r>
    </w:p>
    <w:p>
      <w:pPr>
        <w:pStyle w:val="10"/>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0"/>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2022年度财政拨款收、支总计4265.41万元，与上年相比，减少2886.26万元,减少40.36%，主要是因为2022年度单位项目收支减少。</w:t>
      </w:r>
    </w:p>
    <w:p>
      <w:pPr>
        <w:pStyle w:val="10"/>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0"/>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2022年度财政拨款支出3249.5万元，占本年支出合计的76.18%，与上年相比，财政拨款支出减少22.59万元，减少0.69%，主要是因为2022年度单位财政拨款项目支出减少。</w:t>
      </w:r>
    </w:p>
    <w:p>
      <w:pPr>
        <w:pStyle w:val="10"/>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3249.5万元，主要用于以下方面：社会保障和就业（类）支出320.35万元，占9.86%；卫生健康（类）支出97.34万元，占3%；城乡社区（类）支出346.06，占10.65%；自然资源海洋气象等（类）支出2042.36万元，占62.85%；灾害防治及应急管理（类）支出443.39万元，占13.64%。</w:t>
      </w:r>
    </w:p>
    <w:p>
      <w:pPr>
        <w:pStyle w:val="10"/>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2022年度财政拨款支出年初预算数为2319.37万元，支出决算数为3249.5万元，完成年初预算的140.1%，其中：</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1、社会保障和就业支出（类）行政事业单位养老支出（款）行政单位离退休（项）（2080501）</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年初预算为24.07万元，支出决算为0万元，完成年初预算的0%，决算数小于年初预算数的主要原因是：此项年初预算为退休人员退休费，实际发生不在此项列支，故预决算存在差异。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2、社会保障和就业支出（类）行政事业单位养老支出（款）事业单位离退休（项）（2080502）。</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年初预算为11万元，支出决算为9.5万元，完成年初预算的86.36%，决算数小于年初预算数的主要原因是：此项年初预算为离退休人员公用经费，本年度财政实际下达9.5万元，故预决算存在差异。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3、社会保障和就业支出（类）行政事业单位养老支出（款）机关事业单位基本养老保险缴费支出（项）（2080505）。</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年初预算为154.53万元，支出决算为149.98万元，完成年初预算的97.06%，决算数小于年初预算数的主要原因是：部分人员退休，后期养老保险不需缴纳，故预决算存在差异。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4、社会保障和就业支出（类）行政事业单位养老支出（款）其他行政事业单位养老支出（项）（2080599）。</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年初预算为0万元，支出决算为160.88万元，无法计算完成比例，决算数大于年初预算数的主要原因是：本年度发生的退休人员春节一次性生活补助在此项列支，而年初预算未安排此项，故预决算存在差异。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5、卫生健康支出（类）公共卫生（款）突发公共卫生事件应急处理（项）（2100410）。</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年初预算为0万元，支出决算为22.34万元，无法计算完成比例，决算数大于年初预算数的主要原因是：该项为本年度抗疫补助资金，为财政年中下达追加预算，故预决算存在差异。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6、卫生健康支出（类）行政事业单位医疗（款）行政单位医疗（项）（2101101）。</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年初预算为82.1万元，支出决算为75万元，完成年初预算的91.35%，决算数小于年初预算数的主要原因是：部分人员退休，后期医疗保险不需缴纳，故预决算存在差异。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7、城乡社区支出（类）城乡社区规划与管理（款）其他城乡社区管理事务支出（项）（2120199）。</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年初预算为0万元，支出决算为145.69万元，无法计算完成比例，决算数大于年初预算数的主要原因是：本年度在此项列支2021年度绩效奖金，为财政年中下达追加预算，故预决算存在差异。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8、城乡社区支出（类）城乡社区规划与管理（款）城乡社区规划与管理（项）（2120201）。</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年初预算为0万元，支出决算为2.7万元，无法计算完成比例，决算数大于年初预算数的主要原因是：本年度在此项列支规划编制专项经费，指标为上年结转额度，年初预算未安排此项，故预决算存在差异。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9、城乡社区支出（类）其他城乡社区支出（款）其他城乡社区支出（项）（2129999）。</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年初预算为150万元，支出决算为197.67万元，完成年初预算的131.78%，决算数大于年初预算数的主要原因是：本年度在此项列支矿产资源管理专项等，年初预算未安排此项，故预决算存在差异。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10、自然资源海洋气象等支出（类）自然资源事务（款）行政运行（项）（2200101）。</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年初预算为1147.3万元，支出决算为1357.76万元，完成年初预算的118.34%，决算数大于年初预算数的主要原因是：本年度部分绩效奖金在工资中按月度发放，年初预算未将该笔支出列入此项，故预决算存在差异。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11、自然资源海洋气象等支出（类）自然资源事务（款）一般行政管理事务（项）（2200102）。</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50.37万元，支出决算为32.17万元，完成年初预算的63.87%，决算数小于年初预算数的主要原因是：年初预算在此项列支单位工会经费，实际发生由财政直接转至总工会，决算未能体现，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12、自然资源海洋气象等支出（类）自然资源事务（款）自然资源调查与确权登记（项）（2200109）。</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年初预算为0万元，支出决算为80万元，无法计算完成比例，决算数大于年初预算数的主要原因是：此项为省拨自然资源专项奖励资金，年初预算未安排此项，故预决算存在差异。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13、自然资源海洋气象等支出（类）自然资源事务（款）  地质勘查与矿产资源管理（项）（2200114）。</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年初预算为0万元，支出决算为158.43万元，无法计算完成比例，决算数大于年初预算数的主要原因是：该款项主要为矿产资源管理专项支出，指标为上年结转额度，年初预算未安排此项，故预决算存在差异。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14、自然资源海洋气象等支出（类）自然资源事务（款）  其他自然资源事务支出（项）（2200199）。</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年初预算为700万元，支出决算为410.91万元，完成年初预算的58.7%，决算数小于年初预算数的主要原因是：年初预算将部分项目款纳入此项，实际发生未在此项列支，故预决算存在差异。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15、自然资源海洋气象等支出（类）其他自然资源海洋气象等支出（款）其他自然资源海洋气象等支出（项）（2209999）。</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年初预算为0万元，支出决算为3.08万元，无法计算完成比例，决算数大于预算数的主要原因是：该款项主要为自然资源相关补助资金，指标为上年结转额度，年初预算未安排此项，故预决算存在差异。</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16、灾害防治及应急管理支出（类）自然灾害防治（款）地质灾害防治（项）（2240601）。</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443.39万元，无法计算完成比例，决算数大于预算数的主要原因是：该款项主要为地质灾害专项支出，部分指标为上年结转额度，部分指标为省拨资金，年初预算未安排此项，故预决算存在差异。</w:t>
      </w:r>
    </w:p>
    <w:p>
      <w:pPr>
        <w:pStyle w:val="10"/>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2022年度财政拨款基本支出2278.97万元，其中：</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2266.25万元，占基本支出的99.44%,主要包括基本工资616.68万元、津贴补贴417.6万元、奖金823.21万元、机关事业单位基本养老保险缴费149.98、职工基本医疗保险缴费75万元、其他对个人和家庭的补助183.78万元。</w:t>
      </w:r>
    </w:p>
    <w:p>
      <w:pPr>
        <w:pStyle w:val="10"/>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12.72万元，占基本支出的0.56%，主要包括办公费0.22万元、电费3.22万元、福利费4.56万元、其他商品和服务支出4.73万元。</w:t>
      </w:r>
    </w:p>
    <w:p>
      <w:pPr>
        <w:pStyle w:val="10"/>
        <w:spacing w:line="600" w:lineRule="exact"/>
        <w:ind w:firstLine="640" w:firstLineChars="200"/>
        <w:rPr>
          <w:rFonts w:hAnsi="黑体"/>
          <w:bCs/>
          <w:sz w:val="32"/>
          <w:szCs w:val="32"/>
        </w:rPr>
      </w:pPr>
      <w:r>
        <w:rPr>
          <w:rFonts w:hint="eastAsia" w:hAnsi="黑体"/>
          <w:bCs/>
          <w:sz w:val="32"/>
          <w:szCs w:val="32"/>
        </w:rPr>
        <w:t>七、财政拨款三公经费支出决算情况说明（注意：三公经费情况说明，往年为一般公共预算财政拨款口径，今年为财政拨款口径）</w:t>
      </w:r>
    </w:p>
    <w:p>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“三公”经费财政拨款支出预算为39.11万元，支出决算为39.11万元，完成预算的100%，其中：</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无法计算完成比例，决算数等于预算数的主要原因是预算数为“三公”经费全年预算数，反映按规定程序调整后的预算数；与上年相比减少0万元，无法计算减少比例,减少主要原因是单位本年度未发生因公出国（境）费支出。</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0.91万元，支出决算为0.91万元，完成预算的100%，决算数等于预算数的主要原因是预算数为“三公”经费全年预算数，反映按规定程序调整后的预算数；与上年相比增加0.91万元，无法计算增长比例,增长的主要原因是</w:t>
      </w:r>
      <w:r>
        <w:rPr>
          <w:rFonts w:hint="eastAsia" w:ascii="Times New Roman" w:hAnsi="Times New Roman" w:eastAsia="仿宋_GB2312"/>
          <w:bCs/>
          <w:sz w:val="32"/>
          <w:szCs w:val="32"/>
        </w:rPr>
        <w:t>往年为一般公共预算财政拨款口径（我单位公务接待费在政府性基金预算拨款中开支，未纳入一般公共预算财政拨款开支），今年为财政拨款口径</w:t>
      </w:r>
      <w:r>
        <w:rPr>
          <w:rFonts w:hint="eastAsia" w:ascii="Times New Roman" w:hAnsi="Times New Roman" w:eastAsia="仿宋_GB2312"/>
          <w:sz w:val="32"/>
          <w:szCs w:val="32"/>
        </w:rPr>
        <w:t>。</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无法计算完成比例，决算数等于预算数的主要原因是预算数为“三公”经费全年预算数，反映按规定程序调整后的预算数；与上年相比减少0万元，无法计算减少比例,减少的主要原因是单位本年度未发生公务用车购置费支出。</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38.2万元，支出决算为38.2万元，完成预算的100%，决算数等于预算数的主要原因是预算数为“三公”经费全年预算数，反映按规定程序调整后的预算数；与上年相比增加38.2万元，无法计算增长比例,增长的主要原因是</w:t>
      </w:r>
      <w:r>
        <w:rPr>
          <w:rFonts w:hint="eastAsia" w:ascii="Times New Roman" w:hAnsi="Times New Roman" w:eastAsia="仿宋_GB2312"/>
          <w:bCs/>
          <w:sz w:val="32"/>
          <w:szCs w:val="32"/>
        </w:rPr>
        <w:t>往年为一般公共预算财政拨款口径（我单位公务用车运行维护费在政府性基金中开支，未纳入一般公共预算财政拨款开支），今年为财政拨款口径</w:t>
      </w:r>
      <w:r>
        <w:rPr>
          <w:rFonts w:hint="eastAsia" w:ascii="Times New Roman" w:hAnsi="Times New Roman" w:eastAsia="仿宋_GB2312"/>
          <w:sz w:val="32"/>
          <w:szCs w:val="32"/>
        </w:rPr>
        <w:t>。。</w:t>
      </w:r>
    </w:p>
    <w:p>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2022年度“三公”经费财政拨款支出决算中，公务接待费支出决算0.91万元，占2.33%,因公出国（境）费支出决算0万元，占0%,公务用车购置费及运行维护费支出决算38.2万元，占97.67%。其中：</w:t>
      </w:r>
    </w:p>
    <w:p>
      <w:pPr>
        <w:pStyle w:val="10"/>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0.91万元，全年共接待来访团组11个、来宾63人次，陪餐29人次，主要是对麻阳县自然资源局对接信访工作、长沙市规划勘测设计研究院到我局学习地质灾害防治工作经验、省厅执法局开展生态损害赔偿工作调研、张家界市局来怀调研学习民兵训练基地项目工作经验、湖南省国土资源规划院前来洽谈规划编制工作、澧县赴我局学习借鉴住宅小区地下停车位办理不动产证相关工作先进经验、省自然资源厅开展全省“三区三线”划定调研督导工作、省自然资源厅赴怀化调研督导地质灾害防治工作、省自然资源事务中心开展湖南省1:10000地质灾害调查和风险评价野外工作检查等发生的接待支出。</w:t>
      </w:r>
    </w:p>
    <w:p>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3、公务用车购置费及运行维护费支出决算为38.2万元，其中：公务用车购置费0万元，更新公务用车0辆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公务用车运行维护费38.2万元，主要是车辆油料费、车辆维修费、车辆保险费、司机安全奖励费、车辆过路费等支出，截止2022年12月31日，我单位开支财政拨款的公务用车保有量为13辆。</w:t>
      </w:r>
    </w:p>
    <w:p>
      <w:pPr>
        <w:pStyle w:val="10"/>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0"/>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2022年度政府性基金预算财政拨款收入930.9万元；年初结转和结余85.01万元；支出1015.91万元，其中基本支出201.12万元，项目支出814.79万元；年末结转和结余0元。具体情况如下：</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1、城乡社区支出（类）国有土地使用权出让收入安排的支出（款）土地出让业务支出（项）（2120806）。</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年初预算为2986.03万元，支出决算为1015.91万元，完成年初预算的34.02%，决算数小于年初预算数的主要原因是：年初预算在此项的部分项目支出本年度实际未发生。</w:t>
      </w:r>
    </w:p>
    <w:p>
      <w:pPr>
        <w:pStyle w:val="10"/>
        <w:spacing w:line="600" w:lineRule="exact"/>
        <w:ind w:firstLine="640" w:firstLineChars="200"/>
        <w:rPr>
          <w:rFonts w:hAnsi="黑体"/>
          <w:bCs/>
          <w:sz w:val="32"/>
          <w:szCs w:val="32"/>
        </w:rPr>
      </w:pPr>
      <w:r>
        <w:rPr>
          <w:rFonts w:hint="eastAsia" w:hAnsi="黑体"/>
          <w:bCs/>
          <w:sz w:val="32"/>
          <w:szCs w:val="32"/>
        </w:rPr>
        <w:t>九、国有资本经营预算财政拨款收入支出决算情况说明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仿宋" w:hAnsi="仿宋" w:eastAsia="仿宋" w:cs="仿宋"/>
          <w:sz w:val="32"/>
          <w:szCs w:val="32"/>
        </w:rPr>
        <w:t>国有资本经营预算财政拨款</w:t>
      </w:r>
      <w:r>
        <w:rPr>
          <w:rFonts w:hint="eastAsia" w:ascii="Times New Roman" w:hAnsi="Times New Roman" w:eastAsia="仿宋_GB2312"/>
          <w:sz w:val="32"/>
          <w:szCs w:val="32"/>
        </w:rPr>
        <w:t>收入</w:t>
      </w:r>
      <w:r>
        <w:rPr>
          <w:rFonts w:hint="eastAsia" w:ascii="仿宋_GB2312" w:hAnsi="仿宋" w:eastAsia="仿宋_GB2312" w:cs="仿宋"/>
          <w:color w:val="000000"/>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仿宋_GB2312" w:hAnsi="仿宋" w:eastAsia="仿宋_GB2312" w:cs="仿宋"/>
          <w:color w:val="000000"/>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spacing w:line="600" w:lineRule="exact"/>
        <w:ind w:firstLine="640" w:firstLineChars="200"/>
        <w:rPr>
          <w:rFonts w:hAnsi="黑体"/>
          <w:bCs/>
          <w:sz w:val="32"/>
          <w:szCs w:val="32"/>
        </w:rPr>
      </w:pPr>
      <w:r>
        <w:rPr>
          <w:rFonts w:hint="eastAsia" w:hAnsi="黑体"/>
          <w:bCs/>
          <w:sz w:val="32"/>
          <w:szCs w:val="32"/>
        </w:rPr>
        <w:t>十、关于机关运行经费支出说明</w:t>
      </w:r>
    </w:p>
    <w:p>
      <w:pPr>
        <w:pStyle w:val="10"/>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本部门2022年度机关运行经费支出12.72万元</w:t>
      </w:r>
      <w:r>
        <w:rPr>
          <w:rFonts w:hint="eastAsia" w:ascii="楷体" w:hAnsi="楷体" w:eastAsia="楷体" w:cs="楷体"/>
          <w:b/>
          <w:bCs/>
          <w:i/>
          <w:color w:val="auto"/>
          <w:sz w:val="32"/>
          <w:szCs w:val="32"/>
        </w:rPr>
        <w:t>（与部门决算中行政单位和参照公务员法管理事业单位一般公共预算财政拨款基本支出中公用经费之和一致）</w:t>
      </w:r>
      <w:r>
        <w:rPr>
          <w:rFonts w:hint="eastAsia" w:ascii="Times New Roman" w:hAnsi="Times New Roman" w:eastAsia="仿宋_GB2312"/>
          <w:sz w:val="32"/>
          <w:szCs w:val="32"/>
        </w:rPr>
        <w:t>，比上年决算数减少54.76万元，降低81.45%。主要原因是：单位严格贯彻落实厉行节约、“八项”规定、规范各项支出行为；单位公用经费由政府性基金预算安排，部分支出未在一般公共预算拨款中列支。</w:t>
      </w:r>
    </w:p>
    <w:p>
      <w:pPr>
        <w:pStyle w:val="10"/>
        <w:spacing w:line="600" w:lineRule="exact"/>
        <w:ind w:firstLine="640" w:firstLineChars="200"/>
        <w:rPr>
          <w:rFonts w:hAnsi="黑体"/>
          <w:bCs/>
          <w:sz w:val="32"/>
          <w:szCs w:val="32"/>
        </w:rPr>
      </w:pPr>
      <w:r>
        <w:rPr>
          <w:rFonts w:hint="eastAsia" w:hAnsi="黑体"/>
          <w:bCs/>
          <w:sz w:val="32"/>
          <w:szCs w:val="32"/>
        </w:rPr>
        <w:t>十一、一般性支出情况说明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本部门开支会议费1.15万元，用于召开调研会议，人数28人，内容为省自然资源厅与省机关事务局来怀调研地质灾害防治、应急处突业务用车情况会议；用于召开专项行动动员大会，人数438人，内容为自然资源和规划系统党风廉政建设暨“议案促改”专项行动动员大会；用于召开工作动员会，人数46人，内容为市委第七巡察组巡察局党组工作动员会。开支培训费3.88万元，用于开展自然资源系统新时代基层干部主题培训，人数57人；用于参加省自然资源厅举办自然资源执法素质提升培训班，人数11人；用于事业单位工作人员网络培训，人数8人。未举办节庆、晚会、论坛、赛事等活动，开支</w:t>
      </w:r>
      <w:r>
        <w:rPr>
          <w:rFonts w:ascii="Times New Roman" w:hAnsi="Times New Roman" w:eastAsia="仿宋_GB2312"/>
          <w:sz w:val="32"/>
          <w:szCs w:val="32"/>
        </w:rPr>
        <w:t>0</w:t>
      </w:r>
      <w:r>
        <w:rPr>
          <w:rFonts w:hint="eastAsia" w:ascii="Times New Roman" w:hAnsi="Times New Roman" w:eastAsia="仿宋_GB2312"/>
          <w:sz w:val="32"/>
          <w:szCs w:val="32"/>
        </w:rPr>
        <w:t>万元。</w:t>
      </w:r>
    </w:p>
    <w:p>
      <w:pPr>
        <w:pStyle w:val="10"/>
        <w:spacing w:line="600" w:lineRule="exact"/>
        <w:ind w:firstLine="640" w:firstLineChars="200"/>
        <w:rPr>
          <w:rFonts w:hAnsi="黑体"/>
          <w:bCs/>
          <w:sz w:val="32"/>
          <w:szCs w:val="32"/>
        </w:rPr>
      </w:pPr>
      <w:r>
        <w:rPr>
          <w:rFonts w:hint="eastAsia" w:hAnsi="黑体"/>
          <w:bCs/>
          <w:sz w:val="32"/>
          <w:szCs w:val="32"/>
        </w:rPr>
        <w:t>十二、关于政府采购支出说明</w:t>
      </w:r>
    </w:p>
    <w:p>
      <w:pPr>
        <w:pStyle w:val="10"/>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本部门2022年度政府采购支出总额889.42万元，其中：政府采购货物支出157.56 万元、政府采购工程支出198.29万元、政府采购服务支出533.57万元。授予中小企业合同金额889.42万元，占政府采购支出总额的100%，其中：授予小微企业合同金额157.56万元，占政府采购支出总额的17.71%。货物采购授予中小企业合同金额占货物支出金额的100%，工程采购授予中小企业合同金额占工程支出金额的100%，服务采购授予中小企业合同金额占服务支出金额的100%。</w:t>
      </w:r>
    </w:p>
    <w:p>
      <w:pPr>
        <w:pStyle w:val="10"/>
        <w:spacing w:line="600" w:lineRule="exact"/>
        <w:ind w:firstLine="640" w:firstLineChars="200"/>
        <w:rPr>
          <w:rFonts w:hAnsi="黑体"/>
          <w:bCs/>
          <w:sz w:val="32"/>
          <w:szCs w:val="32"/>
        </w:rPr>
      </w:pPr>
      <w:r>
        <w:rPr>
          <w:rFonts w:hint="eastAsia" w:hAnsi="黑体"/>
          <w:bCs/>
          <w:sz w:val="32"/>
          <w:szCs w:val="32"/>
        </w:rPr>
        <w:t>十三、关于国有资产占用情况说明</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13辆，其中，主要领导干部用车0辆，机要通信用车0辆、应急保障用车0辆、执法执勤用车5辆、特种专业技术用车0辆、其他用车8辆，其他用车主要是单位业务工作及下乡扶贫工作用车；单位价值50万元以上通用设备0台（套）；单位价值100万元以上专用设备0台（套）。</w:t>
      </w:r>
    </w:p>
    <w:p>
      <w:pPr>
        <w:pStyle w:val="10"/>
        <w:spacing w:line="600" w:lineRule="exact"/>
        <w:ind w:firstLine="640" w:firstLineChars="200"/>
        <w:rPr>
          <w:rFonts w:hAnsi="黑体"/>
          <w:bCs/>
          <w:sz w:val="32"/>
          <w:szCs w:val="32"/>
        </w:rPr>
      </w:pPr>
      <w:r>
        <w:rPr>
          <w:rFonts w:hint="eastAsia" w:hAnsi="黑体"/>
          <w:bCs/>
          <w:sz w:val="32"/>
          <w:szCs w:val="32"/>
        </w:rPr>
        <w:t>十四、关于2022年度预算绩效情况的说明</w:t>
      </w:r>
    </w:p>
    <w:p>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shd w:val="clear" w:color="auto" w:fill="FFFFFF"/>
        <w:spacing w:line="600" w:lineRule="exact"/>
        <w:ind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按照市本级预算绩效管理的总体要求，我单位</w:t>
      </w:r>
      <w:r>
        <w:rPr>
          <w:rFonts w:hint="eastAsia" w:ascii="Times New Roman" w:hAnsi="Times New Roman" w:eastAsia="仿宋_GB2312" w:cs="黑体"/>
          <w:color w:val="000000"/>
          <w:kern w:val="0"/>
          <w:sz w:val="32"/>
          <w:szCs w:val="32"/>
        </w:rPr>
        <w:t>2022年</w:t>
      </w:r>
      <w:r>
        <w:rPr>
          <w:rFonts w:ascii="Times New Roman" w:hAnsi="Times New Roman" w:eastAsia="仿宋_GB2312" w:cs="黑体"/>
          <w:color w:val="000000"/>
          <w:kern w:val="0"/>
          <w:sz w:val="32"/>
          <w:szCs w:val="32"/>
        </w:rPr>
        <w:t>整体支出</w:t>
      </w:r>
      <w:r>
        <w:rPr>
          <w:rFonts w:hint="eastAsia" w:ascii="Times New Roman" w:hAnsi="Times New Roman" w:eastAsia="仿宋_GB2312" w:cs="黑体"/>
          <w:color w:val="000000"/>
          <w:kern w:val="0"/>
          <w:sz w:val="32"/>
          <w:szCs w:val="32"/>
        </w:rPr>
        <w:t>4265.41</w:t>
      </w:r>
      <w:r>
        <w:rPr>
          <w:rFonts w:ascii="Times New Roman" w:hAnsi="Times New Roman" w:eastAsia="仿宋_GB2312" w:cs="黑体"/>
          <w:color w:val="000000"/>
          <w:kern w:val="0"/>
          <w:sz w:val="32"/>
          <w:szCs w:val="32"/>
        </w:rPr>
        <w:t>万元，全部实行整体支出绩效目标管理，编报绩效目标的项目</w:t>
      </w:r>
      <w:r>
        <w:rPr>
          <w:rFonts w:hint="eastAsia" w:ascii="Times New Roman" w:hAnsi="Times New Roman" w:eastAsia="仿宋_GB2312" w:cs="黑体"/>
          <w:color w:val="000000"/>
          <w:kern w:val="0"/>
          <w:sz w:val="32"/>
          <w:szCs w:val="32"/>
        </w:rPr>
        <w:t>18</w:t>
      </w:r>
      <w:r>
        <w:rPr>
          <w:rFonts w:ascii="Times New Roman" w:hAnsi="Times New Roman" w:eastAsia="仿宋_GB2312" w:cs="黑体"/>
          <w:color w:val="000000"/>
          <w:kern w:val="0"/>
          <w:sz w:val="32"/>
          <w:szCs w:val="32"/>
        </w:rPr>
        <w:t>个，涉及项目支出</w:t>
      </w:r>
      <w:r>
        <w:rPr>
          <w:rFonts w:hint="eastAsia" w:ascii="Times New Roman" w:hAnsi="Times New Roman" w:eastAsia="仿宋_GB2312" w:cs="黑体"/>
          <w:color w:val="000000"/>
          <w:kern w:val="0"/>
          <w:sz w:val="32"/>
          <w:szCs w:val="32"/>
        </w:rPr>
        <w:t>3449.03</w:t>
      </w:r>
      <w:r>
        <w:rPr>
          <w:rFonts w:ascii="Times New Roman" w:hAnsi="Times New Roman" w:eastAsia="仿宋_GB2312" w:cs="黑体"/>
          <w:color w:val="000000"/>
          <w:kern w:val="0"/>
          <w:sz w:val="32"/>
          <w:szCs w:val="32"/>
        </w:rPr>
        <w:t>万元，其中</w:t>
      </w:r>
      <w:r>
        <w:rPr>
          <w:rFonts w:hint="eastAsia" w:ascii="Times New Roman" w:hAnsi="Times New Roman" w:eastAsia="仿宋_GB2312" w:cs="黑体"/>
          <w:color w:val="000000"/>
          <w:kern w:val="0"/>
          <w:sz w:val="32"/>
          <w:szCs w:val="32"/>
        </w:rPr>
        <w:t>一般公共预算支出850万元，政府性基金预算支出2599.03万元。全市自然资源和规划系统聚焦主责抓主业、主动担当抓落实，圆满完成了全年各项工作目标任务。耕地保护首获省政府真抓实干督查激励；全市第三次国土调查荣获国省级5个先进集体、3个先进个人；“三区三线”如期划定和成果正式启用；“签约即供地”等“四即”改革助力“五好”园区建设成效明显；联合邵阳市成功申报国家首批历史遗留废弃矿山生态修复示范项目；地灾防治“三防+三实”先进经验做法全国推介；不动产登记实现“全市通办”；“铁塔哨兵”监测走在全省前列；综合行政执法改革顺畅。</w:t>
      </w:r>
    </w:p>
    <w:p>
      <w:pPr>
        <w:shd w:val="clear" w:color="auto" w:fill="FFFFFF"/>
        <w:spacing w:line="600" w:lineRule="exact"/>
        <w:ind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一</w:t>
      </w:r>
      <w:r>
        <w:rPr>
          <w:rFonts w:ascii="Times New Roman" w:hAnsi="Times New Roman" w:eastAsia="仿宋_GB2312" w:cs="黑体"/>
          <w:color w:val="000000"/>
          <w:kern w:val="0"/>
          <w:sz w:val="32"/>
          <w:szCs w:val="32"/>
        </w:rPr>
        <w:t>）耕地保护责任压茬落实。</w:t>
      </w:r>
      <w:r>
        <w:rPr>
          <w:rFonts w:hint="eastAsia" w:ascii="Times New Roman" w:hAnsi="Times New Roman" w:eastAsia="仿宋_GB2312" w:cs="黑体"/>
          <w:color w:val="000000"/>
          <w:kern w:val="0"/>
          <w:sz w:val="32"/>
          <w:szCs w:val="32"/>
        </w:rPr>
        <w:t>“4+1”级田长制体系</w:t>
      </w:r>
      <w:r>
        <w:rPr>
          <w:rFonts w:ascii="Times New Roman" w:hAnsi="Times New Roman" w:eastAsia="仿宋_GB2312" w:cs="黑体"/>
          <w:color w:val="000000"/>
          <w:kern w:val="0"/>
          <w:sz w:val="32"/>
          <w:szCs w:val="32"/>
        </w:rPr>
        <w:t>实现</w:t>
      </w:r>
      <w:r>
        <w:rPr>
          <w:rFonts w:hint="eastAsia" w:ascii="Times New Roman" w:hAnsi="Times New Roman" w:eastAsia="仿宋_GB2312" w:cs="黑体"/>
          <w:color w:val="000000"/>
          <w:kern w:val="0"/>
          <w:sz w:val="32"/>
          <w:szCs w:val="32"/>
        </w:rPr>
        <w:t>全市域覆盖。市委书记、市长“双挂帅”聚力攻坚</w:t>
      </w:r>
      <w:r>
        <w:rPr>
          <w:rFonts w:ascii="Times New Roman" w:hAnsi="Times New Roman" w:eastAsia="仿宋_GB2312" w:cs="黑体"/>
          <w:color w:val="000000"/>
          <w:kern w:val="0"/>
          <w:sz w:val="32"/>
          <w:szCs w:val="32"/>
        </w:rPr>
        <w:t>耕地保护工作的</w:t>
      </w:r>
      <w:r>
        <w:rPr>
          <w:rFonts w:hint="eastAsia" w:ascii="Times New Roman" w:hAnsi="Times New Roman" w:eastAsia="仿宋_GB2312" w:cs="黑体"/>
          <w:color w:val="000000"/>
          <w:kern w:val="0"/>
          <w:sz w:val="32"/>
          <w:szCs w:val="32"/>
        </w:rPr>
        <w:t>做法得到省政府充分肯定。牢牢守住了全市427.97万亩耕地底线目标和376.15万亩永久基本农田保护底线目标。累计</w:t>
      </w:r>
      <w:r>
        <w:rPr>
          <w:rFonts w:ascii="Times New Roman" w:hAnsi="Times New Roman" w:eastAsia="仿宋_GB2312" w:cs="黑体"/>
          <w:color w:val="000000"/>
          <w:kern w:val="0"/>
          <w:sz w:val="32"/>
          <w:szCs w:val="32"/>
        </w:rPr>
        <w:t>恢复耕地6.</w:t>
      </w:r>
      <w:r>
        <w:rPr>
          <w:rFonts w:hint="eastAsia" w:ascii="Times New Roman" w:hAnsi="Times New Roman" w:eastAsia="仿宋_GB2312" w:cs="黑体"/>
          <w:color w:val="000000"/>
          <w:kern w:val="0"/>
          <w:sz w:val="32"/>
          <w:szCs w:val="32"/>
        </w:rPr>
        <w:t>64</w:t>
      </w:r>
      <w:r>
        <w:rPr>
          <w:rFonts w:ascii="Times New Roman" w:hAnsi="Times New Roman" w:eastAsia="仿宋_GB2312" w:cs="黑体"/>
          <w:color w:val="000000"/>
          <w:kern w:val="0"/>
          <w:sz w:val="32"/>
          <w:szCs w:val="32"/>
        </w:rPr>
        <w:t>万亩，超年度目标</w:t>
      </w:r>
      <w:r>
        <w:rPr>
          <w:rFonts w:hint="eastAsia" w:ascii="Times New Roman" w:hAnsi="Times New Roman" w:eastAsia="仿宋_GB2312" w:cs="黑体"/>
          <w:color w:val="000000"/>
          <w:kern w:val="0"/>
          <w:sz w:val="32"/>
          <w:szCs w:val="32"/>
        </w:rPr>
        <w:t>23.42%</w:t>
      </w:r>
      <w:r>
        <w:rPr>
          <w:rFonts w:ascii="Times New Roman" w:hAnsi="Times New Roman" w:eastAsia="仿宋_GB2312" w:cs="黑体"/>
          <w:color w:val="000000"/>
          <w:kern w:val="0"/>
          <w:sz w:val="32"/>
          <w:szCs w:val="32"/>
        </w:rPr>
        <w:t>。耕地保护专项规划及“一张图”</w:t>
      </w:r>
      <w:r>
        <w:rPr>
          <w:rFonts w:hint="eastAsia" w:ascii="Times New Roman" w:hAnsi="Times New Roman" w:eastAsia="仿宋_GB2312" w:cs="黑体"/>
          <w:color w:val="000000"/>
          <w:kern w:val="0"/>
          <w:sz w:val="32"/>
          <w:szCs w:val="32"/>
        </w:rPr>
        <w:t>编制基本完成</w:t>
      </w:r>
      <w:r>
        <w:rPr>
          <w:rFonts w:ascii="Times New Roman" w:hAnsi="Times New Roman" w:eastAsia="仿宋_GB2312" w:cs="黑体"/>
          <w:color w:val="000000"/>
          <w:kern w:val="0"/>
          <w:sz w:val="32"/>
          <w:szCs w:val="32"/>
        </w:rPr>
        <w:t>，耕地资源监测监管平台</w:t>
      </w:r>
      <w:r>
        <w:rPr>
          <w:rFonts w:hint="eastAsia" w:ascii="Times New Roman" w:hAnsi="Times New Roman" w:eastAsia="仿宋_GB2312" w:cs="黑体"/>
          <w:color w:val="000000"/>
          <w:kern w:val="0"/>
          <w:sz w:val="32"/>
          <w:szCs w:val="32"/>
        </w:rPr>
        <w:t>建成使用。</w:t>
      </w:r>
    </w:p>
    <w:p>
      <w:pPr>
        <w:shd w:val="clear" w:color="auto" w:fill="FFFFFF"/>
        <w:spacing w:line="600" w:lineRule="exact"/>
        <w:ind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二</w:t>
      </w:r>
      <w:r>
        <w:rPr>
          <w:rFonts w:ascii="Times New Roman" w:hAnsi="Times New Roman" w:eastAsia="仿宋_GB2312" w:cs="黑体"/>
          <w:color w:val="000000"/>
          <w:kern w:val="0"/>
          <w:sz w:val="32"/>
          <w:szCs w:val="32"/>
        </w:rPr>
        <w:t>）国土空间格局持续优化。</w:t>
      </w:r>
      <w:r>
        <w:rPr>
          <w:rFonts w:hint="eastAsia" w:ascii="Times New Roman" w:hAnsi="Times New Roman" w:eastAsia="仿宋_GB2312" w:cs="黑体"/>
          <w:color w:val="000000"/>
          <w:kern w:val="0"/>
          <w:sz w:val="32"/>
          <w:szCs w:val="32"/>
        </w:rPr>
        <w:t>全市</w:t>
      </w:r>
      <w:r>
        <w:rPr>
          <w:rFonts w:ascii="Times New Roman" w:hAnsi="Times New Roman" w:eastAsia="仿宋_GB2312" w:cs="黑体"/>
          <w:color w:val="000000"/>
          <w:kern w:val="0"/>
          <w:sz w:val="32"/>
          <w:szCs w:val="32"/>
        </w:rPr>
        <w:t>“三区三线”</w:t>
      </w:r>
      <w:r>
        <w:rPr>
          <w:rFonts w:hint="eastAsia" w:ascii="Times New Roman" w:hAnsi="Times New Roman" w:eastAsia="仿宋_GB2312" w:cs="黑体"/>
          <w:color w:val="000000"/>
          <w:kern w:val="0"/>
          <w:sz w:val="32"/>
          <w:szCs w:val="32"/>
        </w:rPr>
        <w:t>成果正式启用</w:t>
      </w:r>
      <w:r>
        <w:rPr>
          <w:rFonts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w:t>
      </w:r>
      <w:r>
        <w:rPr>
          <w:rFonts w:ascii="Times New Roman" w:hAnsi="Times New Roman" w:eastAsia="仿宋_GB2312" w:cs="黑体"/>
          <w:color w:val="000000"/>
          <w:kern w:val="0"/>
          <w:sz w:val="32"/>
          <w:szCs w:val="32"/>
        </w:rPr>
        <w:t>鹤</w:t>
      </w:r>
      <w:r>
        <w:rPr>
          <w:rFonts w:hint="eastAsia" w:ascii="Times New Roman" w:hAnsi="Times New Roman" w:eastAsia="仿宋_GB2312" w:cs="黑体"/>
          <w:color w:val="000000"/>
          <w:kern w:val="0"/>
          <w:sz w:val="32"/>
          <w:szCs w:val="32"/>
        </w:rPr>
        <w:t>—</w:t>
      </w:r>
      <w:r>
        <w:rPr>
          <w:rFonts w:ascii="Times New Roman" w:hAnsi="Times New Roman" w:eastAsia="仿宋_GB2312" w:cs="黑体"/>
          <w:color w:val="000000"/>
          <w:kern w:val="0"/>
          <w:sz w:val="32"/>
          <w:szCs w:val="32"/>
        </w:rPr>
        <w:t>中</w:t>
      </w:r>
      <w:r>
        <w:rPr>
          <w:rFonts w:hint="eastAsia" w:ascii="Times New Roman" w:hAnsi="Times New Roman" w:eastAsia="仿宋_GB2312" w:cs="黑体"/>
          <w:color w:val="000000"/>
          <w:kern w:val="0"/>
          <w:sz w:val="32"/>
          <w:szCs w:val="32"/>
        </w:rPr>
        <w:t>”城市</w:t>
      </w:r>
      <w:r>
        <w:rPr>
          <w:rFonts w:ascii="Times New Roman" w:hAnsi="Times New Roman" w:eastAsia="仿宋_GB2312" w:cs="黑体"/>
          <w:color w:val="000000"/>
          <w:kern w:val="0"/>
          <w:sz w:val="32"/>
          <w:szCs w:val="32"/>
        </w:rPr>
        <w:t>空间</w:t>
      </w:r>
      <w:r>
        <w:rPr>
          <w:rFonts w:hint="eastAsia" w:ascii="Times New Roman" w:hAnsi="Times New Roman" w:eastAsia="仿宋_GB2312" w:cs="黑体"/>
          <w:color w:val="000000"/>
          <w:kern w:val="0"/>
          <w:sz w:val="32"/>
          <w:szCs w:val="32"/>
        </w:rPr>
        <w:t>发展规模扩展到</w:t>
      </w:r>
      <w:r>
        <w:rPr>
          <w:rFonts w:ascii="Times New Roman" w:hAnsi="Times New Roman" w:eastAsia="仿宋_GB2312" w:cs="黑体"/>
          <w:color w:val="000000"/>
          <w:kern w:val="0"/>
          <w:sz w:val="32"/>
          <w:szCs w:val="32"/>
        </w:rPr>
        <w:t>142</w:t>
      </w:r>
      <w:r>
        <w:rPr>
          <w:rFonts w:hint="eastAsia" w:ascii="Times New Roman" w:hAnsi="Times New Roman" w:eastAsia="仿宋_GB2312" w:cs="黑体"/>
          <w:color w:val="000000"/>
          <w:kern w:val="0"/>
          <w:sz w:val="32"/>
          <w:szCs w:val="32"/>
        </w:rPr>
        <w:t>.1</w:t>
      </w:r>
      <w:r>
        <w:rPr>
          <w:rFonts w:ascii="Times New Roman" w:hAnsi="Times New Roman" w:eastAsia="仿宋_GB2312" w:cs="黑体"/>
          <w:color w:val="000000"/>
          <w:kern w:val="0"/>
          <w:sz w:val="32"/>
          <w:szCs w:val="32"/>
        </w:rPr>
        <w:t>平方公里，国际陆港新增建设用地15.6平方公里。</w:t>
      </w:r>
      <w:r>
        <w:rPr>
          <w:rFonts w:hint="eastAsia" w:ascii="Times New Roman" w:hAnsi="Times New Roman" w:eastAsia="仿宋_GB2312" w:cs="黑体"/>
          <w:color w:val="000000"/>
          <w:kern w:val="0"/>
          <w:sz w:val="32"/>
          <w:szCs w:val="32"/>
        </w:rPr>
        <w:t>全市</w:t>
      </w:r>
      <w:r>
        <w:rPr>
          <w:rFonts w:ascii="Times New Roman" w:hAnsi="Times New Roman" w:eastAsia="仿宋_GB2312" w:cs="黑体"/>
          <w:color w:val="000000"/>
          <w:kern w:val="0"/>
          <w:sz w:val="32"/>
          <w:szCs w:val="32"/>
        </w:rPr>
        <w:t>国土空间总体规划（2021-2035年）及12个专项规划</w:t>
      </w:r>
      <w:r>
        <w:rPr>
          <w:rFonts w:hint="eastAsia" w:ascii="Times New Roman" w:hAnsi="Times New Roman" w:eastAsia="仿宋_GB2312" w:cs="黑体"/>
          <w:color w:val="000000"/>
          <w:kern w:val="0"/>
          <w:sz w:val="32"/>
          <w:szCs w:val="32"/>
        </w:rPr>
        <w:t>定稿待批</w:t>
      </w:r>
      <w:r>
        <w:rPr>
          <w:rFonts w:ascii="Times New Roman" w:hAnsi="Times New Roman" w:eastAsia="仿宋_GB2312" w:cs="黑体"/>
          <w:color w:val="000000"/>
          <w:kern w:val="0"/>
          <w:sz w:val="32"/>
          <w:szCs w:val="32"/>
        </w:rPr>
        <w:t>，县</w:t>
      </w:r>
      <w:r>
        <w:rPr>
          <w:rFonts w:hint="eastAsia" w:ascii="Times New Roman" w:hAnsi="Times New Roman" w:eastAsia="仿宋_GB2312" w:cs="黑体"/>
          <w:color w:val="000000"/>
          <w:kern w:val="0"/>
          <w:sz w:val="32"/>
          <w:szCs w:val="32"/>
        </w:rPr>
        <w:t>、乡空间</w:t>
      </w:r>
      <w:r>
        <w:rPr>
          <w:rFonts w:ascii="Times New Roman" w:hAnsi="Times New Roman" w:eastAsia="仿宋_GB2312" w:cs="黑体"/>
          <w:color w:val="000000"/>
          <w:kern w:val="0"/>
          <w:sz w:val="32"/>
          <w:szCs w:val="32"/>
        </w:rPr>
        <w:t>规划取得阶段性成果。</w:t>
      </w:r>
    </w:p>
    <w:p>
      <w:pPr>
        <w:shd w:val="clear" w:color="auto" w:fill="FFFFFF"/>
        <w:spacing w:line="600" w:lineRule="exact"/>
        <w:ind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三</w:t>
      </w:r>
      <w:r>
        <w:rPr>
          <w:rFonts w:ascii="Times New Roman" w:hAnsi="Times New Roman" w:eastAsia="仿宋_GB2312" w:cs="黑体"/>
          <w:color w:val="000000"/>
          <w:kern w:val="0"/>
          <w:sz w:val="32"/>
          <w:szCs w:val="32"/>
        </w:rPr>
        <w:t>）要素保障</w:t>
      </w:r>
      <w:r>
        <w:rPr>
          <w:rFonts w:hint="eastAsia" w:ascii="Times New Roman" w:hAnsi="Times New Roman" w:eastAsia="仿宋_GB2312" w:cs="黑体"/>
          <w:color w:val="000000"/>
          <w:kern w:val="0"/>
          <w:sz w:val="32"/>
          <w:szCs w:val="32"/>
        </w:rPr>
        <w:t>力度</w:t>
      </w:r>
      <w:r>
        <w:rPr>
          <w:rFonts w:ascii="Times New Roman" w:hAnsi="Times New Roman" w:eastAsia="仿宋_GB2312" w:cs="黑体"/>
          <w:color w:val="000000"/>
          <w:kern w:val="0"/>
          <w:sz w:val="32"/>
          <w:szCs w:val="32"/>
        </w:rPr>
        <w:t>不断</w:t>
      </w:r>
      <w:r>
        <w:rPr>
          <w:rFonts w:hint="eastAsia" w:ascii="Times New Roman" w:hAnsi="Times New Roman" w:eastAsia="仿宋_GB2312" w:cs="黑体"/>
          <w:color w:val="000000"/>
          <w:kern w:val="0"/>
          <w:sz w:val="32"/>
          <w:szCs w:val="32"/>
        </w:rPr>
        <w:t>加大</w:t>
      </w:r>
      <w:r>
        <w:rPr>
          <w:rFonts w:ascii="Times New Roman" w:hAnsi="Times New Roman" w:eastAsia="仿宋_GB2312" w:cs="黑体"/>
          <w:color w:val="000000"/>
          <w:kern w:val="0"/>
          <w:sz w:val="32"/>
          <w:szCs w:val="32"/>
        </w:rPr>
        <w:t>。获批新增建设用地95宗326.4公顷，其中市本级39.18公顷，保障了主城区应急水源建设工程、包茂高速（怀化段）等一批</w:t>
      </w:r>
      <w:r>
        <w:rPr>
          <w:rFonts w:hint="eastAsia" w:ascii="Times New Roman" w:hAnsi="Times New Roman" w:eastAsia="仿宋_GB2312" w:cs="黑体"/>
          <w:color w:val="000000"/>
          <w:kern w:val="0"/>
          <w:sz w:val="32"/>
          <w:szCs w:val="32"/>
        </w:rPr>
        <w:t>重点</w:t>
      </w:r>
      <w:r>
        <w:rPr>
          <w:rFonts w:ascii="Times New Roman" w:hAnsi="Times New Roman" w:eastAsia="仿宋_GB2312" w:cs="黑体"/>
          <w:color w:val="000000"/>
          <w:kern w:val="0"/>
          <w:sz w:val="32"/>
          <w:szCs w:val="32"/>
        </w:rPr>
        <w:t>、民生项目落地。</w:t>
      </w:r>
      <w:r>
        <w:rPr>
          <w:rFonts w:hint="eastAsia" w:ascii="Times New Roman" w:hAnsi="Times New Roman" w:eastAsia="仿宋_GB2312" w:cs="黑体"/>
          <w:color w:val="000000"/>
          <w:kern w:val="0"/>
          <w:sz w:val="32"/>
          <w:szCs w:val="32"/>
        </w:rPr>
        <w:t>完成3个批次612.21公顷土地征收成片开发方案报审</w:t>
      </w:r>
      <w:r>
        <w:rPr>
          <w:rFonts w:ascii="Times New Roman" w:hAnsi="Times New Roman" w:eastAsia="仿宋_GB2312" w:cs="黑体"/>
          <w:color w:val="000000"/>
          <w:kern w:val="0"/>
          <w:sz w:val="32"/>
          <w:szCs w:val="32"/>
        </w:rPr>
        <w:t>。</w:t>
      </w:r>
    </w:p>
    <w:p>
      <w:pPr>
        <w:shd w:val="clear" w:color="auto" w:fill="FFFFFF"/>
        <w:spacing w:line="600" w:lineRule="exact"/>
        <w:ind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四</w:t>
      </w:r>
      <w:r>
        <w:rPr>
          <w:rFonts w:ascii="Times New Roman" w:hAnsi="Times New Roman" w:eastAsia="仿宋_GB2312" w:cs="黑体"/>
          <w:color w:val="000000"/>
          <w:kern w:val="0"/>
          <w:sz w:val="32"/>
          <w:szCs w:val="32"/>
        </w:rPr>
        <w:t>）基础支撑能力</w:t>
      </w:r>
      <w:r>
        <w:rPr>
          <w:rFonts w:hint="eastAsia" w:ascii="Times New Roman" w:hAnsi="Times New Roman" w:eastAsia="仿宋_GB2312" w:cs="黑体"/>
          <w:color w:val="000000"/>
          <w:kern w:val="0"/>
          <w:sz w:val="32"/>
          <w:szCs w:val="32"/>
        </w:rPr>
        <w:t>逐步</w:t>
      </w:r>
      <w:r>
        <w:rPr>
          <w:rFonts w:ascii="Times New Roman" w:hAnsi="Times New Roman" w:eastAsia="仿宋_GB2312" w:cs="黑体"/>
          <w:color w:val="000000"/>
          <w:kern w:val="0"/>
          <w:sz w:val="32"/>
          <w:szCs w:val="32"/>
        </w:rPr>
        <w:t>提升。第三次国土调查成果</w:t>
      </w:r>
      <w:r>
        <w:rPr>
          <w:rFonts w:hint="eastAsia" w:ascii="Times New Roman" w:hAnsi="Times New Roman" w:eastAsia="仿宋_GB2312" w:cs="黑体"/>
          <w:color w:val="000000"/>
          <w:kern w:val="0"/>
          <w:sz w:val="32"/>
          <w:szCs w:val="32"/>
        </w:rPr>
        <w:t>正式启用，全市成果</w:t>
      </w:r>
      <w:r>
        <w:rPr>
          <w:rFonts w:ascii="Times New Roman" w:hAnsi="Times New Roman" w:eastAsia="仿宋_GB2312" w:cs="黑体"/>
          <w:color w:val="000000"/>
          <w:kern w:val="0"/>
          <w:sz w:val="32"/>
          <w:szCs w:val="32"/>
        </w:rPr>
        <w:t>质量和</w:t>
      </w:r>
      <w:r>
        <w:rPr>
          <w:rFonts w:hint="eastAsia" w:ascii="Times New Roman" w:hAnsi="Times New Roman" w:eastAsia="仿宋_GB2312" w:cs="黑体"/>
          <w:color w:val="000000"/>
          <w:kern w:val="0"/>
          <w:sz w:val="32"/>
          <w:szCs w:val="32"/>
        </w:rPr>
        <w:t>更新</w:t>
      </w:r>
      <w:r>
        <w:rPr>
          <w:rFonts w:ascii="Times New Roman" w:hAnsi="Times New Roman" w:eastAsia="仿宋_GB2312" w:cs="黑体"/>
          <w:color w:val="000000"/>
          <w:kern w:val="0"/>
          <w:sz w:val="32"/>
          <w:szCs w:val="32"/>
        </w:rPr>
        <w:t>进度位居国省前列</w:t>
      </w:r>
      <w:r>
        <w:rPr>
          <w:rFonts w:hint="eastAsia" w:ascii="Times New Roman" w:hAnsi="Times New Roman" w:eastAsia="仿宋_GB2312" w:cs="黑体"/>
          <w:color w:val="000000"/>
          <w:kern w:val="0"/>
          <w:sz w:val="32"/>
          <w:szCs w:val="32"/>
        </w:rPr>
        <w:t>。</w:t>
      </w:r>
      <w:r>
        <w:rPr>
          <w:rFonts w:ascii="Times New Roman" w:hAnsi="Times New Roman" w:eastAsia="仿宋_GB2312" w:cs="黑体"/>
          <w:color w:val="000000"/>
          <w:kern w:val="0"/>
          <w:sz w:val="32"/>
          <w:szCs w:val="32"/>
        </w:rPr>
        <w:t>农村宅基地和集体建设用地房地一体确权登记顺利通过省级</w:t>
      </w:r>
      <w:r>
        <w:rPr>
          <w:rFonts w:hint="eastAsia" w:ascii="Times New Roman" w:hAnsi="Times New Roman" w:eastAsia="仿宋_GB2312" w:cs="黑体"/>
          <w:color w:val="000000"/>
          <w:kern w:val="0"/>
          <w:sz w:val="32"/>
          <w:szCs w:val="32"/>
        </w:rPr>
        <w:t>验收</w:t>
      </w:r>
      <w:r>
        <w:rPr>
          <w:rFonts w:ascii="Times New Roman" w:hAnsi="Times New Roman" w:eastAsia="仿宋_GB2312" w:cs="黑体"/>
          <w:color w:val="000000"/>
          <w:kern w:val="0"/>
          <w:sz w:val="32"/>
          <w:szCs w:val="32"/>
        </w:rPr>
        <w:t>，权籍调查率和颁证率位居全省前三，溆浦县、靖州县获得省政府奖励。</w:t>
      </w:r>
    </w:p>
    <w:p>
      <w:pPr>
        <w:shd w:val="clear" w:color="auto" w:fill="FFFFFF"/>
        <w:spacing w:line="600" w:lineRule="exact"/>
        <w:ind w:firstLine="640" w:firstLineChars="200"/>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五</w:t>
      </w:r>
      <w:r>
        <w:rPr>
          <w:rFonts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矿业</w:t>
      </w:r>
      <w:r>
        <w:rPr>
          <w:rFonts w:ascii="Times New Roman" w:hAnsi="Times New Roman" w:eastAsia="仿宋_GB2312" w:cs="黑体"/>
          <w:color w:val="000000"/>
          <w:kern w:val="0"/>
          <w:sz w:val="32"/>
          <w:szCs w:val="32"/>
        </w:rPr>
        <w:t>绿色发展加</w:t>
      </w:r>
      <w:r>
        <w:rPr>
          <w:rFonts w:hint="eastAsia" w:ascii="Times New Roman" w:hAnsi="Times New Roman" w:eastAsia="仿宋_GB2312" w:cs="黑体"/>
          <w:color w:val="000000"/>
          <w:kern w:val="0"/>
          <w:sz w:val="32"/>
          <w:szCs w:val="32"/>
        </w:rPr>
        <w:t>速</w:t>
      </w:r>
      <w:r>
        <w:rPr>
          <w:rFonts w:ascii="Times New Roman" w:hAnsi="Times New Roman" w:eastAsia="仿宋_GB2312" w:cs="黑体"/>
          <w:color w:val="000000"/>
          <w:kern w:val="0"/>
          <w:sz w:val="32"/>
          <w:szCs w:val="32"/>
        </w:rPr>
        <w:t>推进。</w:t>
      </w:r>
      <w:r>
        <w:rPr>
          <w:rFonts w:hint="eastAsia" w:ascii="Times New Roman" w:hAnsi="Times New Roman" w:eastAsia="仿宋_GB2312" w:cs="黑体"/>
          <w:color w:val="000000"/>
          <w:kern w:val="0"/>
          <w:sz w:val="32"/>
          <w:szCs w:val="32"/>
        </w:rPr>
        <w:t>完成“十四五”</w:t>
      </w:r>
      <w:r>
        <w:rPr>
          <w:rFonts w:ascii="Times New Roman" w:hAnsi="Times New Roman" w:eastAsia="仿宋_GB2312" w:cs="黑体"/>
          <w:color w:val="000000"/>
          <w:kern w:val="0"/>
          <w:sz w:val="32"/>
          <w:szCs w:val="32"/>
        </w:rPr>
        <w:t>矿产资源规划</w:t>
      </w:r>
      <w:r>
        <w:rPr>
          <w:rFonts w:hint="eastAsia" w:ascii="Times New Roman" w:hAnsi="Times New Roman" w:eastAsia="仿宋_GB2312" w:cs="黑体"/>
          <w:color w:val="000000"/>
          <w:kern w:val="0"/>
          <w:sz w:val="32"/>
          <w:szCs w:val="32"/>
        </w:rPr>
        <w:t>编制报批</w:t>
      </w:r>
      <w:r>
        <w:rPr>
          <w:rFonts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累计关闭注销</w:t>
      </w:r>
      <w:r>
        <w:rPr>
          <w:rFonts w:ascii="Times New Roman" w:hAnsi="Times New Roman" w:eastAsia="仿宋_GB2312" w:cs="黑体"/>
          <w:color w:val="000000"/>
          <w:kern w:val="0"/>
          <w:sz w:val="32"/>
          <w:szCs w:val="32"/>
        </w:rPr>
        <w:t>226</w:t>
      </w:r>
      <w:r>
        <w:rPr>
          <w:rFonts w:hint="eastAsia" w:ascii="Times New Roman" w:hAnsi="Times New Roman" w:eastAsia="仿宋_GB2312" w:cs="黑体"/>
          <w:color w:val="000000"/>
          <w:kern w:val="0"/>
          <w:sz w:val="32"/>
          <w:szCs w:val="32"/>
        </w:rPr>
        <w:t>家砂石土矿，</w:t>
      </w:r>
      <w:r>
        <w:rPr>
          <w:rFonts w:ascii="Times New Roman" w:hAnsi="Times New Roman" w:eastAsia="仿宋_GB2312" w:cs="黑体"/>
          <w:color w:val="000000"/>
          <w:kern w:val="0"/>
          <w:sz w:val="32"/>
          <w:szCs w:val="32"/>
        </w:rPr>
        <w:t>建成26家绿色矿山</w:t>
      </w:r>
      <w:r>
        <w:rPr>
          <w:rFonts w:hint="eastAsia" w:ascii="Times New Roman" w:hAnsi="Times New Roman" w:eastAsia="仿宋_GB2312" w:cs="黑体"/>
          <w:color w:val="000000"/>
          <w:kern w:val="0"/>
          <w:sz w:val="32"/>
          <w:szCs w:val="32"/>
        </w:rPr>
        <w:t>，完成5个新设砂石</w:t>
      </w:r>
      <w:r>
        <w:rPr>
          <w:rFonts w:ascii="Times New Roman" w:hAnsi="Times New Roman" w:eastAsia="仿宋_GB2312" w:cs="黑体"/>
          <w:color w:val="000000"/>
          <w:kern w:val="0"/>
          <w:sz w:val="32"/>
          <w:szCs w:val="32"/>
        </w:rPr>
        <w:t>矿权</w:t>
      </w:r>
      <w:r>
        <w:rPr>
          <w:rFonts w:hint="eastAsia" w:ascii="Times New Roman" w:hAnsi="Times New Roman" w:eastAsia="仿宋_GB2312" w:cs="黑体"/>
          <w:color w:val="000000"/>
          <w:kern w:val="0"/>
          <w:sz w:val="32"/>
          <w:szCs w:val="32"/>
        </w:rPr>
        <w:t>挂牌</w:t>
      </w:r>
      <w:r>
        <w:rPr>
          <w:rFonts w:ascii="Times New Roman" w:hAnsi="Times New Roman" w:eastAsia="仿宋_GB2312" w:cs="黑体"/>
          <w:color w:val="000000"/>
          <w:kern w:val="0"/>
          <w:sz w:val="32"/>
          <w:szCs w:val="32"/>
        </w:rPr>
        <w:t>出让。大力</w:t>
      </w:r>
      <w:r>
        <w:rPr>
          <w:rFonts w:hint="eastAsia" w:ascii="Times New Roman" w:hAnsi="Times New Roman" w:eastAsia="仿宋_GB2312" w:cs="黑体"/>
          <w:color w:val="000000"/>
          <w:kern w:val="0"/>
          <w:sz w:val="32"/>
          <w:szCs w:val="32"/>
        </w:rPr>
        <w:t>开展</w:t>
      </w:r>
      <w:r>
        <w:rPr>
          <w:rFonts w:ascii="Times New Roman" w:hAnsi="Times New Roman" w:eastAsia="仿宋_GB2312" w:cs="黑体"/>
          <w:color w:val="000000"/>
          <w:kern w:val="0"/>
          <w:sz w:val="32"/>
          <w:szCs w:val="32"/>
        </w:rPr>
        <w:t>涉矿安全隐患大排查大整治塈打击“洗洞”盗采金矿、安全生产大检查和矿产资源“打非治违”等专项整治行动，4561个废弃矿洞</w:t>
      </w:r>
      <w:r>
        <w:rPr>
          <w:rFonts w:hint="eastAsia" w:ascii="Times New Roman" w:hAnsi="Times New Roman" w:eastAsia="仿宋_GB2312" w:cs="黑体"/>
          <w:color w:val="000000"/>
          <w:kern w:val="0"/>
          <w:sz w:val="32"/>
          <w:szCs w:val="32"/>
        </w:rPr>
        <w:t>全部</w:t>
      </w:r>
      <w:r>
        <w:rPr>
          <w:rFonts w:ascii="Times New Roman" w:hAnsi="Times New Roman" w:eastAsia="仿宋_GB2312" w:cs="黑体"/>
          <w:color w:val="000000"/>
          <w:kern w:val="0"/>
          <w:sz w:val="32"/>
          <w:szCs w:val="32"/>
        </w:rPr>
        <w:t>实施</w:t>
      </w:r>
      <w:r>
        <w:rPr>
          <w:rFonts w:hint="eastAsia" w:ascii="Times New Roman" w:hAnsi="Times New Roman" w:eastAsia="仿宋_GB2312" w:cs="黑体"/>
          <w:color w:val="000000"/>
          <w:kern w:val="0"/>
          <w:sz w:val="32"/>
          <w:szCs w:val="32"/>
        </w:rPr>
        <w:t>有效</w:t>
      </w:r>
      <w:r>
        <w:rPr>
          <w:rFonts w:ascii="Times New Roman" w:hAnsi="Times New Roman" w:eastAsia="仿宋_GB2312" w:cs="黑体"/>
          <w:color w:val="000000"/>
          <w:kern w:val="0"/>
          <w:sz w:val="32"/>
          <w:szCs w:val="32"/>
        </w:rPr>
        <w:t>封</w:t>
      </w:r>
      <w:r>
        <w:rPr>
          <w:rFonts w:hint="eastAsia" w:ascii="Times New Roman" w:hAnsi="Times New Roman" w:eastAsia="仿宋_GB2312" w:cs="黑体"/>
          <w:color w:val="000000"/>
          <w:kern w:val="0"/>
          <w:sz w:val="32"/>
          <w:szCs w:val="32"/>
        </w:rPr>
        <w:t>堵</w:t>
      </w:r>
      <w:r>
        <w:rPr>
          <w:rFonts w:ascii="Times New Roman" w:hAnsi="Times New Roman" w:eastAsia="仿宋_GB2312" w:cs="黑体"/>
          <w:color w:val="000000"/>
          <w:kern w:val="0"/>
          <w:sz w:val="32"/>
          <w:szCs w:val="32"/>
        </w:rPr>
        <w:t>。</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组织对“怀化市土地储备中心”“怀化市自然资源和规划事务中心”“怀化市不动产登记中心” “怀化市地质灾害防治中心”等4个单位开展整体支出绩效评价，涉及一般公共预算支出2710.63万元，政府性基金预算支出19299.44万元。从评价情况来看，市级财政预算资金整体绩效评价良好。</w:t>
      </w:r>
    </w:p>
    <w:p>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我单位存在项目预算与实际执行数差异较大的现象，主要原因是我单位支出主要依靠单位土地出让金收入计提（按2%计提），因市级土地经济低迷，单位收入未达到年初预算指标，单位填报预算数无法执行到位。</w:t>
      </w:r>
    </w:p>
    <w:p>
      <w:pPr>
        <w:pStyle w:val="10"/>
        <w:jc w:val="center"/>
        <w:rPr>
          <w:sz w:val="72"/>
          <w:szCs w:val="72"/>
        </w:rPr>
      </w:pPr>
    </w:p>
    <w:p>
      <w:pPr>
        <w:pStyle w:val="10"/>
        <w:jc w:val="center"/>
        <w:rPr>
          <w:sz w:val="72"/>
          <w:szCs w:val="72"/>
        </w:rPr>
      </w:pPr>
    </w:p>
    <w:p>
      <w:pPr>
        <w:pStyle w:val="10"/>
        <w:jc w:val="both"/>
        <w:rPr>
          <w:rFonts w:ascii="方正小标宋_GBK" w:hAnsi="方正小标宋_GBK" w:eastAsia="方正小标宋_GBK" w:cs="方正小标宋_GBK"/>
          <w:sz w:val="72"/>
          <w:szCs w:val="72"/>
        </w:rPr>
      </w:pPr>
    </w:p>
    <w:p>
      <w:pPr>
        <w:pStyle w:val="10"/>
        <w:jc w:val="both"/>
        <w:rPr>
          <w:rFonts w:ascii="方正小标宋_GBK" w:hAnsi="方正小标宋_GBK" w:eastAsia="方正小标宋_GBK" w:cs="方正小标宋_GBK"/>
          <w:sz w:val="72"/>
          <w:szCs w:val="72"/>
        </w:rPr>
      </w:pPr>
      <w:bookmarkStart w:id="0" w:name="_GoBack"/>
      <w:bookmarkEnd w:id="0"/>
    </w:p>
    <w:p>
      <w:pPr>
        <w:pStyle w:val="10"/>
        <w:jc w:val="center"/>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rPr>
      </w:pPr>
      <w:r>
        <w:rPr>
          <w:rFonts w:hint="eastAsia" w:ascii="方正小标宋_GBK" w:hAnsi="方正小标宋_GBK" w:eastAsia="方正小标宋_GBK" w:cs="方正小标宋_GBK"/>
          <w:color w:val="000000"/>
          <w:kern w:val="0"/>
          <w:sz w:val="72"/>
          <w:szCs w:val="72"/>
        </w:rPr>
        <w:t>名词解释</w:t>
      </w:r>
    </w:p>
    <w:p>
      <w:pPr>
        <w:jc w:val="center"/>
        <w:rPr>
          <w:rFonts w:hint="eastAsia"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1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spacing w:line="600" w:lineRule="exact"/>
        <w:ind w:firstLine="640" w:firstLineChars="200"/>
        <w:rPr>
          <w:rFonts w:ascii="楷体" w:hAnsi="楷体" w:eastAsia="楷体" w:cs="楷体"/>
          <w:b/>
          <w:bCs/>
          <w:i/>
          <w:color w:val="auto"/>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pStyle w:val="10"/>
        <w:jc w:val="both"/>
        <w:rPr>
          <w:rFonts w:ascii="方正小标宋_GBK" w:hAnsi="方正小标宋_GBK" w:eastAsia="方正小标宋_GBK" w:cs="方正小标宋_GBK"/>
          <w:sz w:val="72"/>
          <w:szCs w:val="72"/>
        </w:rPr>
      </w:pPr>
    </w:p>
    <w:p>
      <w:pPr>
        <w:pStyle w:val="10"/>
        <w:jc w:val="both"/>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p>
    <w:p>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jc w:val="center"/>
        <w:rPr>
          <w:rFonts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lang w:eastAsia="zh-CN"/>
        </w:rPr>
      </w:pPr>
      <w:r>
        <w:rPr>
          <w:rFonts w:hint="eastAsia" w:ascii="方正小标宋_GBK" w:hAnsi="方正小标宋_GBK" w:eastAsia="方正小标宋_GBK" w:cs="方正小标宋_GBK"/>
          <w:color w:val="000000"/>
          <w:kern w:val="0"/>
          <w:sz w:val="72"/>
          <w:szCs w:val="72"/>
          <w:lang w:eastAsia="zh-CN"/>
        </w:rPr>
        <w:t>附件</w:t>
      </w:r>
    </w:p>
    <w:p>
      <w:pPr>
        <w:jc w:val="center"/>
        <w:rPr>
          <w:rFonts w:hint="eastAsia"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rPr>
      </w:pPr>
    </w:p>
    <w:p>
      <w:pPr>
        <w:jc w:val="center"/>
        <w:rPr>
          <w:rFonts w:hint="eastAsia" w:ascii="方正小标宋_GBK" w:hAnsi="方正小标宋_GBK" w:eastAsia="方正小标宋_GBK" w:cs="方正小标宋_GBK"/>
          <w:color w:val="000000"/>
          <w:kern w:val="0"/>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RlYjA3M2NmZTQ1MjE4YWMyMjA1YzExYjM0ZTg4NzMifQ=="/>
  </w:docVars>
  <w:rsids>
    <w:rsidRoot w:val="004506F9"/>
    <w:rsid w:val="00015512"/>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1F6C"/>
    <w:rsid w:val="00214427"/>
    <w:rsid w:val="0022274E"/>
    <w:rsid w:val="00226CB7"/>
    <w:rsid w:val="00264552"/>
    <w:rsid w:val="00264EF9"/>
    <w:rsid w:val="00265724"/>
    <w:rsid w:val="0027426B"/>
    <w:rsid w:val="00275DB2"/>
    <w:rsid w:val="002E0A30"/>
    <w:rsid w:val="002E6779"/>
    <w:rsid w:val="003130C4"/>
    <w:rsid w:val="00316C4B"/>
    <w:rsid w:val="0032192B"/>
    <w:rsid w:val="003479BD"/>
    <w:rsid w:val="0037197D"/>
    <w:rsid w:val="003768D5"/>
    <w:rsid w:val="003926B9"/>
    <w:rsid w:val="003C47E6"/>
    <w:rsid w:val="003C4FC2"/>
    <w:rsid w:val="00400675"/>
    <w:rsid w:val="00416E61"/>
    <w:rsid w:val="0042790C"/>
    <w:rsid w:val="004506F9"/>
    <w:rsid w:val="004717A2"/>
    <w:rsid w:val="00473DF3"/>
    <w:rsid w:val="00487911"/>
    <w:rsid w:val="00491741"/>
    <w:rsid w:val="004B0CEE"/>
    <w:rsid w:val="004D4F12"/>
    <w:rsid w:val="004F5CED"/>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93C"/>
    <w:rsid w:val="005F3D1C"/>
    <w:rsid w:val="0062378F"/>
    <w:rsid w:val="00641842"/>
    <w:rsid w:val="00651EEC"/>
    <w:rsid w:val="00667270"/>
    <w:rsid w:val="00686673"/>
    <w:rsid w:val="00691E8C"/>
    <w:rsid w:val="006A22C4"/>
    <w:rsid w:val="006A351B"/>
    <w:rsid w:val="006A409E"/>
    <w:rsid w:val="006B0422"/>
    <w:rsid w:val="006C1B53"/>
    <w:rsid w:val="006D7730"/>
    <w:rsid w:val="006E3919"/>
    <w:rsid w:val="006E5284"/>
    <w:rsid w:val="006F3EB5"/>
    <w:rsid w:val="00702E34"/>
    <w:rsid w:val="00704395"/>
    <w:rsid w:val="00710FE7"/>
    <w:rsid w:val="00717621"/>
    <w:rsid w:val="00720FF1"/>
    <w:rsid w:val="00727A53"/>
    <w:rsid w:val="0075537E"/>
    <w:rsid w:val="00761D79"/>
    <w:rsid w:val="00787B42"/>
    <w:rsid w:val="00796437"/>
    <w:rsid w:val="007C4539"/>
    <w:rsid w:val="007D7EB9"/>
    <w:rsid w:val="007F3657"/>
    <w:rsid w:val="00812ED5"/>
    <w:rsid w:val="008277D9"/>
    <w:rsid w:val="00827DFA"/>
    <w:rsid w:val="0084478C"/>
    <w:rsid w:val="0085406C"/>
    <w:rsid w:val="0086638C"/>
    <w:rsid w:val="008A3E8D"/>
    <w:rsid w:val="009237C4"/>
    <w:rsid w:val="00944C48"/>
    <w:rsid w:val="00950252"/>
    <w:rsid w:val="009579AD"/>
    <w:rsid w:val="00967F5D"/>
    <w:rsid w:val="009A0F95"/>
    <w:rsid w:val="009B3ADF"/>
    <w:rsid w:val="009C3B52"/>
    <w:rsid w:val="009E6817"/>
    <w:rsid w:val="009E6E9A"/>
    <w:rsid w:val="00A01D2B"/>
    <w:rsid w:val="00A278D2"/>
    <w:rsid w:val="00A42218"/>
    <w:rsid w:val="00A670AF"/>
    <w:rsid w:val="00A70249"/>
    <w:rsid w:val="00A70B02"/>
    <w:rsid w:val="00A71D9F"/>
    <w:rsid w:val="00A92E9F"/>
    <w:rsid w:val="00AB18FF"/>
    <w:rsid w:val="00B019EF"/>
    <w:rsid w:val="00B33BEA"/>
    <w:rsid w:val="00B505D8"/>
    <w:rsid w:val="00B57C9F"/>
    <w:rsid w:val="00B63572"/>
    <w:rsid w:val="00B845B3"/>
    <w:rsid w:val="00B85D8B"/>
    <w:rsid w:val="00B9660D"/>
    <w:rsid w:val="00BB4A40"/>
    <w:rsid w:val="00BD6C3E"/>
    <w:rsid w:val="00BE3674"/>
    <w:rsid w:val="00C10681"/>
    <w:rsid w:val="00C3049A"/>
    <w:rsid w:val="00C31B1E"/>
    <w:rsid w:val="00C6014D"/>
    <w:rsid w:val="00C60CB1"/>
    <w:rsid w:val="00C77645"/>
    <w:rsid w:val="00C87F39"/>
    <w:rsid w:val="00CE04C3"/>
    <w:rsid w:val="00CE76A0"/>
    <w:rsid w:val="00D148C6"/>
    <w:rsid w:val="00D17A8A"/>
    <w:rsid w:val="00D415BA"/>
    <w:rsid w:val="00D63780"/>
    <w:rsid w:val="00D644EE"/>
    <w:rsid w:val="00DA39C0"/>
    <w:rsid w:val="00DD06FF"/>
    <w:rsid w:val="00DD5FE9"/>
    <w:rsid w:val="00DD62A1"/>
    <w:rsid w:val="00E00C7A"/>
    <w:rsid w:val="00E051D6"/>
    <w:rsid w:val="00E157F5"/>
    <w:rsid w:val="00E37D6C"/>
    <w:rsid w:val="00E55B68"/>
    <w:rsid w:val="00E561AE"/>
    <w:rsid w:val="00E652B8"/>
    <w:rsid w:val="00E67BE6"/>
    <w:rsid w:val="00E855D8"/>
    <w:rsid w:val="00E8683C"/>
    <w:rsid w:val="00EA2B72"/>
    <w:rsid w:val="00EA48DE"/>
    <w:rsid w:val="00F74360"/>
    <w:rsid w:val="00FA4F7F"/>
    <w:rsid w:val="00FB462F"/>
    <w:rsid w:val="00FD0F31"/>
    <w:rsid w:val="00FE16FA"/>
    <w:rsid w:val="00FE328A"/>
    <w:rsid w:val="00FE6269"/>
    <w:rsid w:val="00FF5CD6"/>
    <w:rsid w:val="09D9693D"/>
    <w:rsid w:val="0D59173E"/>
    <w:rsid w:val="5777D4F5"/>
    <w:rsid w:val="5FC6BB1E"/>
    <w:rsid w:val="5FF720F1"/>
    <w:rsid w:val="6D495A6B"/>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3305</Words>
  <Characters>18842</Characters>
  <Lines>157</Lines>
  <Paragraphs>44</Paragraphs>
  <TotalTime>0</TotalTime>
  <ScaleCrop>false</ScaleCrop>
  <LinksUpToDate>false</LinksUpToDate>
  <CharactersWithSpaces>22103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俞</cp:lastModifiedBy>
  <cp:lastPrinted>2023-09-22T03:29:00Z</cp:lastPrinted>
  <dcterms:modified xsi:type="dcterms:W3CDTF">2023-09-27T00:48:37Z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CB94009E39D1412E88FE00545C0BFD7B_12</vt:lpwstr>
  </property>
</Properties>
</file>