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A38E">
      <w:pPr>
        <w:pStyle w:val="12"/>
        <w:jc w:val="both"/>
        <w:rPr>
          <w:rFonts w:hAnsi="黑体"/>
          <w:sz w:val="36"/>
          <w:szCs w:val="36"/>
        </w:rPr>
      </w:pPr>
      <w:r>
        <w:rPr>
          <w:rFonts w:hint="eastAsia" w:hAnsi="黑体"/>
          <w:sz w:val="36"/>
          <w:szCs w:val="36"/>
        </w:rPr>
        <w:t>附件1</w:t>
      </w:r>
    </w:p>
    <w:p w14:paraId="777FC2D6">
      <w:pPr>
        <w:pStyle w:val="12"/>
        <w:jc w:val="center"/>
        <w:rPr>
          <w:rFonts w:ascii="Times New Roman" w:hAnsi="Times New Roman" w:cs="Times New Roman"/>
          <w:sz w:val="56"/>
          <w:szCs w:val="56"/>
        </w:rPr>
      </w:pPr>
    </w:p>
    <w:p w14:paraId="09AE473A">
      <w:pPr>
        <w:pStyle w:val="12"/>
        <w:jc w:val="center"/>
        <w:rPr>
          <w:rFonts w:ascii="Times New Roman" w:hAnsi="Times New Roman" w:cs="Times New Roman"/>
          <w:sz w:val="84"/>
          <w:szCs w:val="84"/>
        </w:rPr>
      </w:pPr>
    </w:p>
    <w:p w14:paraId="25D1834D">
      <w:pPr>
        <w:pStyle w:val="12"/>
        <w:jc w:val="center"/>
        <w:rPr>
          <w:rFonts w:ascii="Times New Roman" w:hAnsi="Times New Roman" w:cs="Times New Roman"/>
          <w:sz w:val="84"/>
          <w:szCs w:val="84"/>
        </w:rPr>
      </w:pPr>
    </w:p>
    <w:p w14:paraId="30E1BB49">
      <w:pPr>
        <w:pStyle w:val="12"/>
        <w:jc w:val="center"/>
        <w:rPr>
          <w:rFonts w:ascii="Times New Roman" w:hAnsi="Times New Roman" w:eastAsia="方正小标宋简体" w:cs="Times New Roman"/>
          <w:sz w:val="72"/>
          <w:szCs w:val="72"/>
          <w:highlight w:val="none"/>
        </w:rPr>
      </w:pPr>
      <w:r>
        <w:rPr>
          <w:rFonts w:ascii="Times New Roman" w:hAnsi="Times New Roman" w:eastAsia="方正小标宋简体" w:cs="Times New Roman"/>
          <w:sz w:val="72"/>
          <w:szCs w:val="72"/>
          <w:highlight w:val="none"/>
        </w:rPr>
        <w:t>2024年度</w:t>
      </w:r>
    </w:p>
    <w:p w14:paraId="2F935E10">
      <w:pPr>
        <w:pStyle w:val="12"/>
        <w:jc w:val="center"/>
        <w:rPr>
          <w:rFonts w:ascii="Times New Roman" w:hAnsi="Times New Roman" w:eastAsia="方正小标宋简体" w:cs="Times New Roman"/>
          <w:sz w:val="72"/>
          <w:szCs w:val="72"/>
          <w:highlight w:val="none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highlight w:val="none"/>
          <w:lang w:eastAsia="zh-CN"/>
        </w:rPr>
        <w:t>怀化日报社部门</w:t>
      </w:r>
      <w:r>
        <w:rPr>
          <w:rFonts w:ascii="Times New Roman" w:hAnsi="Times New Roman" w:eastAsia="方正小标宋简体" w:cs="Times New Roman"/>
          <w:sz w:val="72"/>
          <w:szCs w:val="72"/>
          <w:highlight w:val="none"/>
        </w:rPr>
        <w:t>决算</w:t>
      </w:r>
    </w:p>
    <w:p w14:paraId="54A6AAD1">
      <w:pPr>
        <w:pStyle w:val="12"/>
        <w:jc w:val="center"/>
        <w:rPr>
          <w:rFonts w:ascii="Times New Roman" w:hAnsi="Times New Roman" w:eastAsia="方正小标宋_GBK" w:cs="Times New Roman"/>
          <w:sz w:val="56"/>
          <w:szCs w:val="56"/>
        </w:rPr>
      </w:pPr>
    </w:p>
    <w:p w14:paraId="10DEFBA3">
      <w:pPr>
        <w:pStyle w:val="12"/>
        <w:jc w:val="center"/>
        <w:rPr>
          <w:rFonts w:ascii="Times New Roman" w:hAnsi="Times New Roman" w:cs="Times New Roman"/>
          <w:sz w:val="56"/>
          <w:szCs w:val="56"/>
        </w:rPr>
      </w:pPr>
    </w:p>
    <w:p w14:paraId="06257E3D">
      <w:pPr>
        <w:pStyle w:val="12"/>
        <w:rPr>
          <w:rFonts w:ascii="Times New Roman" w:hAnsi="Times New Roman" w:cs="Times New Roman"/>
          <w:sz w:val="56"/>
          <w:szCs w:val="56"/>
        </w:rPr>
      </w:pPr>
    </w:p>
    <w:p w14:paraId="13ABF529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1628F181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4CD4D73E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65C445F1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71AAC5B0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05337F40">
      <w:pPr>
        <w:pStyle w:val="12"/>
        <w:jc w:val="center"/>
        <w:rPr>
          <w:rFonts w:ascii="Times New Roman" w:hAnsi="Times New Roman" w:cs="Times New Roman"/>
          <w:sz w:val="32"/>
          <w:szCs w:val="32"/>
        </w:rPr>
      </w:pPr>
    </w:p>
    <w:p w14:paraId="70933F55">
      <w:pPr>
        <w:pStyle w:val="12"/>
        <w:spacing w:line="540" w:lineRule="exact"/>
        <w:jc w:val="center"/>
        <w:rPr>
          <w:rFonts w:ascii="Times New Roman" w:hAnsi="Times New Roman" w:cs="Times New Roman"/>
          <w:sz w:val="56"/>
          <w:szCs w:val="56"/>
        </w:rPr>
      </w:pPr>
    </w:p>
    <w:p w14:paraId="0D06BBC9">
      <w:pPr>
        <w:rPr>
          <w:rFonts w:ascii="Times New Roman" w:hAnsi="Times New Roman" w:cs="Times New Roman"/>
          <w:b/>
          <w:sz w:val="36"/>
          <w:szCs w:val="28"/>
        </w:rPr>
        <w:sectPr>
          <w:pgSz w:w="11906" w:h="16838"/>
          <w:pgMar w:top="1417" w:right="1588" w:bottom="1417" w:left="1588" w:header="851" w:footer="992" w:gutter="0"/>
          <w:cols w:space="425" w:num="1"/>
          <w:docGrid w:type="lines" w:linePitch="312" w:charSpace="0"/>
        </w:sectPr>
      </w:pPr>
    </w:p>
    <w:p w14:paraId="7C9449E5">
      <w:pPr>
        <w:pStyle w:val="12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0AABBEB6">
      <w:pPr>
        <w:pStyle w:val="12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05AB15AB">
      <w:pPr>
        <w:pStyle w:val="12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123C5660">
      <w:pPr>
        <w:pStyle w:val="12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761912C">
      <w:pPr>
        <w:pStyle w:val="12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第一部分 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怀化日报社</w:t>
      </w:r>
      <w:r>
        <w:rPr>
          <w:rFonts w:ascii="Times New Roman" w:hAnsi="Times New Roman" w:cs="Times New Roman"/>
          <w:bCs/>
          <w:sz w:val="32"/>
          <w:szCs w:val="32"/>
        </w:rPr>
        <w:t>概况</w:t>
      </w:r>
    </w:p>
    <w:p w14:paraId="7F146F6D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1A7BF920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1733DE81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323BF72D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7DEE7E6D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18E5E559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1976C320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52168B3E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6849B8DF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481352E4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083C8BA2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710A3157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35D9ED99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6BFAF470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3506CE5C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54B38134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1E39DD2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3EDF08B2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76AA4D78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0C0EE1BF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7C9B2482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1B49101F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432D6F89">
      <w:pPr>
        <w:autoSpaceDE w:val="0"/>
        <w:autoSpaceDN w:val="0"/>
        <w:adjustRightInd w:val="0"/>
        <w:spacing w:line="600" w:lineRule="exact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九、国有资本经营预算财政拨款收入支出决算情况说明</w:t>
      </w:r>
    </w:p>
    <w:p w14:paraId="77FA2DF2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、关于机关运行经费支出说明</w:t>
      </w:r>
    </w:p>
    <w:p w14:paraId="6C3C3F47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、一般性支出情况说明</w:t>
      </w:r>
    </w:p>
    <w:p w14:paraId="5FBC17B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、关于政府采购支出说明</w:t>
      </w:r>
    </w:p>
    <w:p w14:paraId="192490FA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、关于国有资产占用情况说明</w:t>
      </w:r>
    </w:p>
    <w:p w14:paraId="20E0DB9E">
      <w:pPr>
        <w:pStyle w:val="12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、关于2024年度预算绩效管理情况的说明</w:t>
      </w:r>
    </w:p>
    <w:p w14:paraId="2167515F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57DA3DF5">
      <w:pPr>
        <w:pStyle w:val="12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5ED34514">
      <w:pPr>
        <w:pStyle w:val="12"/>
        <w:spacing w:line="60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515C9E41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A02FBF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C0103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36E92C4">
      <w:pPr>
        <w:pStyle w:val="7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7DC3AC72">
      <w:pPr>
        <w:rPr>
          <w:rFonts w:ascii="Times New Roman" w:hAnsi="Times New Roman" w:eastAsia="方正小标宋_GBK" w:cs="Times New Roman"/>
          <w:sz w:val="72"/>
          <w:szCs w:val="72"/>
        </w:rPr>
      </w:pPr>
    </w:p>
    <w:p w14:paraId="0617D5A7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第一部分</w:t>
      </w:r>
    </w:p>
    <w:p w14:paraId="37CDFF4F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怀化日报社</w:t>
      </w:r>
      <w:r>
        <w:rPr>
          <w:rFonts w:ascii="Times New Roman" w:hAnsi="Times New Roman" w:eastAsia="方正小标宋_GBK" w:cs="Times New Roman"/>
          <w:sz w:val="52"/>
          <w:szCs w:val="52"/>
        </w:rPr>
        <w:t>概况</w:t>
      </w:r>
    </w:p>
    <w:p w14:paraId="5BB56526">
      <w:pPr>
        <w:pStyle w:val="3"/>
        <w:ind w:left="0" w:leftChars="0" w:firstLine="0" w:firstLineChars="0"/>
        <w:rPr>
          <w:rFonts w:ascii="Times New Roman" w:hAnsi="Times New Roman" w:cs="Times New Roman"/>
        </w:rPr>
      </w:pPr>
    </w:p>
    <w:p w14:paraId="15924473">
      <w:pPr>
        <w:pStyle w:val="13"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46DBD808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传播湖南省怀化市新闻和其他信息，促进地方社会经济文化发展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。</w:t>
      </w:r>
    </w:p>
    <w:p w14:paraId="6D8882C6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主报出版、本报发行、广告、新闻研究、新闻培训、印刷、制版、装订、新闻业务交流及相关社会服务。</w:t>
      </w:r>
    </w:p>
    <w:p w14:paraId="54ED7B07">
      <w:pPr>
        <w:widowControl/>
        <w:spacing w:line="6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3AE1E736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（一）内设机构设置。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怀化日报社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内设机构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包括：办公室、党群工作部、人力资源部、财务部、总编室、纸媒编辑部、怀化新闻网编辑部、掌上怀化编辑部、创意产品部、时政要闻部、理论评论部、综合新闻部、视觉新闻部、专刊策划部、广告经营部、营销拓展部、印刷出版部、技术运营部。</w:t>
      </w:r>
    </w:p>
    <w:p w14:paraId="2004020A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怀化日报社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怀化日报社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本级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。</w:t>
      </w:r>
    </w:p>
    <w:p w14:paraId="0AD94B3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3E155FE">
      <w:pPr>
        <w:widowControl/>
        <w:spacing w:line="60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60652AE1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</w:p>
    <w:p w14:paraId="35B49ECC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264C3A6A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0E056D0">
      <w:pPr>
        <w:pStyle w:val="7"/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18F7BC9C">
      <w:pPr>
        <w:pStyle w:val="12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32F4E20E">
      <w:pPr>
        <w:pStyle w:val="12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0847C5D5">
      <w:pPr>
        <w:pStyle w:val="12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58D3FDB6">
      <w:pPr>
        <w:pStyle w:val="12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第二部分    部门决算表</w:t>
      </w:r>
    </w:p>
    <w:p w14:paraId="727A567C">
      <w:pPr>
        <w:pStyle w:val="12"/>
        <w:rPr>
          <w:rFonts w:ascii="Times New Roman" w:hAnsi="Times New Roman" w:cs="Times New Roman"/>
          <w:sz w:val="72"/>
          <w:szCs w:val="72"/>
        </w:rPr>
      </w:pPr>
    </w:p>
    <w:p w14:paraId="2ABBCAE3">
      <w:pPr>
        <w:pStyle w:val="12"/>
        <w:jc w:val="center"/>
        <w:rPr>
          <w:rFonts w:hint="eastAsia" w:ascii="Times New Roman" w:hAnsi="Times New Roman" w:eastAsia="黑体" w:cs="Times New Roman"/>
          <w:sz w:val="72"/>
          <w:szCs w:val="72"/>
          <w:lang w:eastAsia="zh-CN"/>
        </w:rPr>
      </w:pPr>
      <w:r>
        <w:rPr>
          <w:rFonts w:hint="eastAsia" w:ascii="Times New Roman" w:hAnsi="Times New Roman" w:cs="Times New Roman"/>
          <w:sz w:val="72"/>
          <w:szCs w:val="72"/>
          <w:lang w:eastAsia="zh-CN"/>
        </w:rPr>
        <w:t>（见附件）</w:t>
      </w:r>
    </w:p>
    <w:p w14:paraId="100EFDCE">
      <w:pPr>
        <w:pStyle w:val="12"/>
        <w:rPr>
          <w:rFonts w:ascii="Times New Roman" w:hAnsi="Times New Roman" w:cs="Times New Roman"/>
          <w:sz w:val="72"/>
          <w:szCs w:val="72"/>
        </w:rPr>
      </w:pPr>
    </w:p>
    <w:p w14:paraId="4CC7CA7A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5F4AD231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4487DE3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360C241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767A4AFC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BA961C5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62062317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20946330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4681DEF3">
      <w:pPr>
        <w:pStyle w:val="12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2DDE7530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4A070926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4EDABCCF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 w14:paraId="26E9C801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第三部分</w:t>
      </w:r>
    </w:p>
    <w:p w14:paraId="3D3557B6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2024年度部门决算情况说明</w:t>
      </w:r>
    </w:p>
    <w:p w14:paraId="07B0CEB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70"/>
          <w:szCs w:val="70"/>
        </w:rPr>
        <w:br w:type="page"/>
      </w:r>
    </w:p>
    <w:p w14:paraId="099C3C8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一、收入支出决算总体情况说明</w:t>
      </w:r>
    </w:p>
    <w:p w14:paraId="52F0B24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入总</w:t>
      </w:r>
      <w:r>
        <w:rPr>
          <w:rFonts w:ascii="Times New Roman" w:hAnsi="Times New Roman" w:eastAsia="仿宋_GB2312" w:cs="Times New Roman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万元。与上年相比，减少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1621.32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29.06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，主要是减少了报刊发行收入。</w:t>
      </w:r>
    </w:p>
    <w:p w14:paraId="72FCD31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ascii="Times New Roman" w:hAnsi="Times New Roman" w:eastAsia="仿宋_GB2312" w:cs="Times New Roman"/>
          <w:sz w:val="32"/>
          <w:szCs w:val="32"/>
        </w:rPr>
        <w:t>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万元。与上年相比，减少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1621.32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29.06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，主要是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收入下降制约，压减非刚性开支。</w:t>
      </w:r>
    </w:p>
    <w:p w14:paraId="4527912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Cs/>
          <w:sz w:val="32"/>
          <w:szCs w:val="32"/>
          <w:highlight w:val="none"/>
        </w:rPr>
        <w:t>二、收入决算情况说明</w:t>
      </w:r>
    </w:p>
    <w:p w14:paraId="712CA124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2024年度收入合计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22.7</w:t>
      </w:r>
      <w:r>
        <w:rPr>
          <w:rFonts w:ascii="Times New Roman" w:hAnsi="Times New Roman" w:eastAsia="仿宋_GB2312" w:cs="Times New Roman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%；事业收入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3058.85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77.3</w:t>
      </w:r>
      <w:r>
        <w:rPr>
          <w:rFonts w:ascii="Times New Roman" w:hAnsi="Times New Roman" w:eastAsia="仿宋_GB2312" w:cs="Times New Roman"/>
          <w:sz w:val="32"/>
          <w:szCs w:val="32"/>
        </w:rPr>
        <w:t>%；经营收入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%；其他收入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3E0C26D4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14:paraId="7D38717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3691.75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93.29</w:t>
      </w:r>
      <w:r>
        <w:rPr>
          <w:rFonts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265.45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6.71</w:t>
      </w:r>
      <w:r>
        <w:rPr>
          <w:rFonts w:ascii="Times New Roman" w:hAnsi="Times New Roman" w:eastAsia="仿宋_GB2312" w:cs="Times New Roman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298EA80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14:paraId="16AFD21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入</w:t>
      </w:r>
      <w:r>
        <w:rPr>
          <w:rFonts w:ascii="Times New Roman" w:hAnsi="Times New Roman" w:eastAsia="仿宋_GB2312" w:cs="Times New Roman"/>
          <w:sz w:val="32"/>
          <w:szCs w:val="32"/>
        </w:rPr>
        <w:t>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127.27</w:t>
      </w:r>
      <w:r>
        <w:rPr>
          <w:rFonts w:ascii="Times New Roman" w:hAnsi="Times New Roman" w:eastAsia="仿宋_GB2312" w:cs="Times New Roman"/>
          <w:sz w:val="32"/>
          <w:szCs w:val="32"/>
        </w:rPr>
        <w:t>万元,增长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16.51</w:t>
      </w:r>
      <w:r>
        <w:rPr>
          <w:rFonts w:ascii="Times New Roman" w:hAnsi="Times New Roman" w:eastAsia="仿宋_GB2312" w:cs="Times New Roman"/>
          <w:sz w:val="32"/>
          <w:szCs w:val="32"/>
        </w:rPr>
        <w:t>%，主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要是因为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增加了项目资金收入。</w:t>
      </w:r>
    </w:p>
    <w:p w14:paraId="72F0C1BB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ascii="Times New Roman" w:hAnsi="Times New Roman" w:eastAsia="仿宋_GB2312" w:cs="Times New Roman"/>
          <w:sz w:val="32"/>
          <w:szCs w:val="32"/>
        </w:rPr>
        <w:t>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127.27</w:t>
      </w:r>
      <w:r>
        <w:rPr>
          <w:rFonts w:ascii="Times New Roman" w:hAnsi="Times New Roman" w:eastAsia="仿宋_GB2312" w:cs="Times New Roman"/>
          <w:sz w:val="32"/>
          <w:szCs w:val="32"/>
        </w:rPr>
        <w:t>万元,增长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16.51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，主要是因为增加了项目资金支出。</w:t>
      </w:r>
    </w:p>
    <w:p w14:paraId="6D8F210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14:paraId="477D19A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</w:p>
    <w:p w14:paraId="516243E4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22.7</w:t>
      </w:r>
      <w:r>
        <w:rPr>
          <w:rFonts w:ascii="Times New Roman" w:hAnsi="Times New Roman" w:eastAsia="仿宋_GB2312" w:cs="Times New Roman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127.27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16.51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增加了项目资金支出。</w:t>
      </w:r>
    </w:p>
    <w:p w14:paraId="235E987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</w:p>
    <w:p w14:paraId="7A0C6CE5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0.22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文化旅游体育与传媒</w:t>
      </w:r>
      <w:r>
        <w:rPr>
          <w:rFonts w:ascii="Times New Roman" w:hAnsi="Times New Roman" w:eastAsia="仿宋_GB2312" w:cs="Times New Roman"/>
          <w:sz w:val="32"/>
          <w:szCs w:val="32"/>
        </w:rPr>
        <w:t>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817.63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91.01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；住房保障（类）支出78.73万元，占8.76%。</w:t>
      </w:r>
    </w:p>
    <w:p w14:paraId="5EC7085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</w:p>
    <w:p w14:paraId="05E2EA9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832.35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898.35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107.93</w:t>
      </w:r>
      <w:r>
        <w:rPr>
          <w:rFonts w:ascii="Times New Roman" w:hAnsi="Times New Roman" w:eastAsia="仿宋_GB2312" w:cs="Times New Roman"/>
          <w:sz w:val="32"/>
          <w:szCs w:val="32"/>
        </w:rPr>
        <w:t>%，其中：</w:t>
      </w:r>
    </w:p>
    <w:p w14:paraId="5347881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政协事务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其他政协事务支出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4A271B15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年中增加政协工作室建设和运行经费。</w:t>
      </w:r>
    </w:p>
    <w:p w14:paraId="3CE5A6B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新闻出版电影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其他新闻出版电影支出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5A57429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753.62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753.62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C4BD7E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51A70BFB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万元，决算数大</w:t>
      </w:r>
      <w:r>
        <w:rPr>
          <w:rFonts w:ascii="Times New Roman" w:hAnsi="Times New Roman" w:eastAsia="仿宋_GB2312" w:cs="Times New Roman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年中增加了掌上怀化宣传经费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2万；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新闻外宣工作经费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；对上宣传报道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30万、舆情直报点5万、学习强国平台建设15万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66D6D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住房保障支出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住房改革支出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住房公积金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5A90DDD4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78.73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78.73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EBF9C8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14:paraId="757BEDC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790.85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790.85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%,主要包括基本工资、奖金、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住房公积金、生活补助。</w:t>
      </w:r>
    </w:p>
    <w:p w14:paraId="628D94E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七、财政拨款“三公”经费支出决算情况说明</w:t>
      </w:r>
    </w:p>
    <w:p w14:paraId="560FFB6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</w:p>
    <w:p w14:paraId="5DE4DDD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95288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</w:p>
    <w:p w14:paraId="00D19BB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453A9BD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%；其中：</w:t>
      </w:r>
    </w:p>
    <w:p w14:paraId="149BB8A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%；单位本级更新公务用车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C9D741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本年度公务用车运行维护费在非财政拨款列支</w:t>
      </w:r>
      <w:r>
        <w:rPr>
          <w:rFonts w:ascii="Times New Roman" w:hAnsi="Times New Roman" w:eastAsia="仿宋_GB2312" w:cs="Times New Roman"/>
          <w:sz w:val="32"/>
          <w:szCs w:val="32"/>
        </w:rPr>
        <w:t>。截止2024年12月31日，我单位开支财政拨款的公务用车保有量为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60144D97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本年度公务接待费在非财政拨款列支。</w:t>
      </w:r>
    </w:p>
    <w:p w14:paraId="42FE6CAA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八、政府性基金预算收入支出决算情况</w:t>
      </w:r>
    </w:p>
    <w:p w14:paraId="659AF4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2024年度本单位无政府性基金收入，无政府性基金支出。</w:t>
      </w:r>
    </w:p>
    <w:p w14:paraId="7B5FF3E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九、国有资本经营预算财政拨款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收入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支出决算情况说明</w:t>
      </w:r>
    </w:p>
    <w:p w14:paraId="19ED712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2024年度本单位无国有资本经营预算财政拨款收入，无国有资本经营预算财政拨款支出。</w:t>
      </w:r>
    </w:p>
    <w:p w14:paraId="596097D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十</w:t>
      </w:r>
      <w:r>
        <w:rPr>
          <w:rFonts w:ascii="Times New Roman" w:hAnsi="Times New Roman" w:cs="Times New Roman"/>
          <w:bCs/>
          <w:sz w:val="32"/>
          <w:szCs w:val="32"/>
        </w:rPr>
        <w:t>、关于机关运行经费支出说明</w:t>
      </w:r>
    </w:p>
    <w:p w14:paraId="46EF78A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2024年度本单位无机关运行经费支出。</w:t>
      </w:r>
    </w:p>
    <w:p w14:paraId="059E0B9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一</w:t>
      </w:r>
      <w:r>
        <w:rPr>
          <w:rFonts w:ascii="Times New Roman" w:hAnsi="Times New Roman" w:cs="Times New Roman"/>
          <w:bCs/>
          <w:sz w:val="32"/>
          <w:szCs w:val="32"/>
        </w:rPr>
        <w:t>、一般性支出情况说明</w:t>
      </w:r>
    </w:p>
    <w:p w14:paraId="2304042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2024年度本单位无一般性支出</w:t>
      </w:r>
    </w:p>
    <w:p w14:paraId="1E59B41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二</w:t>
      </w:r>
      <w:r>
        <w:rPr>
          <w:rFonts w:ascii="Times New Roman" w:hAnsi="Times New Roman" w:cs="Times New Roman"/>
          <w:bCs/>
          <w:sz w:val="32"/>
          <w:szCs w:val="32"/>
        </w:rPr>
        <w:t>、关于政府采购支出说明</w:t>
      </w:r>
    </w:p>
    <w:p w14:paraId="4136B71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本部门2024年度政府采购支出总额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万元、政府采购工程支出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占授予中小企业合同金额的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、关于国有资产占用情况说明</w:t>
      </w:r>
    </w:p>
    <w:p w14:paraId="135D0BB2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截至2024年12月31日，部门（单位）共有车辆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辆，其中，副部（省）级及以上领导用车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辆、主要负责人用车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辆、离退休干部服务用车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辆，其他用车主要是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一般公务用车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；单位价值100万元以上设备（不含车辆）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台（套）。</w:t>
      </w:r>
    </w:p>
    <w:p w14:paraId="279CC98C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、关于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14:paraId="0F5987A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</w:p>
    <w:p w14:paraId="2B941A80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组织对2024年度本单位整体支出开展绩效自评，涉及项目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107.5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107.5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%；政府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%。</w:t>
      </w:r>
    </w:p>
    <w:p w14:paraId="7675867C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二是部门评价开展情况。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组织对所属单位2024年度“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新华社新闻供稿经费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新闻网运行经费”、“掌上怀化宣传经费”、“新闻外宣工作经费”、“对上宣传报道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30万、舆情直报点5万、学习强国平台建设15万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”、“委员工作室建设和运行经费”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项目开展了部门评价，涉及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一般公共预算支出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107.5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政府性基金预算支出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1371F388"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三是事前绩效评估开展情况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组织对2024年度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个重大项目开展事前绩效评估，共涉及资金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21.5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万元。</w:t>
      </w:r>
    </w:p>
    <w:p w14:paraId="1E34D705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绩效评价结果。</w:t>
      </w:r>
    </w:p>
    <w:p w14:paraId="6721F9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24年度本单位整体支出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3957.2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”。</w:t>
      </w:r>
    </w:p>
    <w:p w14:paraId="72038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目标完成情况：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一是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社会成本指标方面，社会成本节约率0%，完成全年目标100%。二是数量指标方面，向上对外报道稿件数大于490条，当年完成稿数500余条，完成全年目标100 %。三是质量指标方面，确保重点工作提质增效90%，完成全年目标100%。四是时效指标方面，及时完成情况，2024年12月31日之前全部完成，完成全年目标100%。五是社会效益指标方面，怀化日报社给社会增加的正面影响方面效果明显。六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可持续发展能力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方面，促进全媒体持续发展效果明显。七是服务对象满意度方面，使用人员满意度90%以上。</w:t>
      </w:r>
    </w:p>
    <w:p w14:paraId="39294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发现的主要问题及原因：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一是对预算绩效管理工作重视不够，缺乏制度性的约束，在执行过程中难免出现散漫、敷衍、不重内容，偏于形式等问题。二是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缺乏全面掌握预算绩效管理涉及到的项目业务、财务、效益等方面知识，特别是能对效益方面进行较好评价的专业人才。三是预算绩效管理制度体系不够完善，指标体系和评价方法不够完善。</w:t>
      </w:r>
    </w:p>
    <w:p w14:paraId="39948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下一步改进措施：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立足实际，坚持推行精细化管理，强化预算绩效目标管理、细化绩效目标，并将绩效目标细化分解为具体工作计划，同时，计划应明确规定在一定时间内完成的目标、任务和和应达到的要求，任务和要求应具体明确任务数量、质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建立健全财政各项资金管理制度，严格执行财务管理制度，做到了财务处理及时，会计核算规范，严格按照计划进度支付。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三是对</w:t>
      </w:r>
      <w:r>
        <w:rPr>
          <w:rFonts w:hint="eastAsia" w:ascii="仿宋" w:hAnsi="仿宋" w:eastAsia="仿宋" w:cs="仿宋"/>
          <w:sz w:val="32"/>
          <w:szCs w:val="32"/>
        </w:rPr>
        <w:t>各项目资金严格实行专款专用，保证更规范严要求使用资金。在下年度的预算编制工作中，我们会时刻跟踪项目的进度，更好地完成预算资金，做好绩效评价工作。</w:t>
      </w:r>
    </w:p>
    <w:p w14:paraId="4084214D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部门评价结果。</w:t>
      </w:r>
    </w:p>
    <w:p w14:paraId="3DDD5F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）新华社新闻供稿经费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21.5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</w:p>
    <w:p w14:paraId="1B2B721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5DACEE7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4CCE31B5">
      <w:pPr>
        <w:numPr>
          <w:ilvl w:val="0"/>
          <w:numId w:val="3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新闻网运行经费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7A3ACA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发现的主要问题及原因：一是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77EA311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下一步改进措施：一是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1030D79F">
      <w:pPr>
        <w:numPr>
          <w:ilvl w:val="0"/>
          <w:numId w:val="3"/>
        </w:numPr>
        <w:overflowPunct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掌上怀化宣传经费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B9EF88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461D128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2716214A">
      <w:pPr>
        <w:numPr>
          <w:ilvl w:val="0"/>
          <w:numId w:val="3"/>
        </w:numPr>
        <w:overflowPunct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新闻外宣工作经费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518F0C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4EB530F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7DF536AC">
      <w:pPr>
        <w:numPr>
          <w:ilvl w:val="0"/>
          <w:numId w:val="3"/>
        </w:numPr>
        <w:overflowPunct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对上宣传报道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30万、舆情直报点5万、学习强国平台建设15万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6BCE66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5028012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1665FC7D">
      <w:pPr>
        <w:numPr>
          <w:numId w:val="0"/>
        </w:numPr>
        <w:overflowPunct w:val="0"/>
        <w:spacing w:line="600" w:lineRule="exact"/>
        <w:ind w:leftChars="200" w:firstLine="320" w:firstLineChars="1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CBE12B8">
      <w:pPr>
        <w:numPr>
          <w:ilvl w:val="0"/>
          <w:numId w:val="3"/>
        </w:numPr>
        <w:overflowPunct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委员工作室建设和运行经费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097D87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对于绩效评价的认识不够深入，预算绩效简单等同于工作目标、工作考核和业务管理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。二是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绩效目标和指标往往根据项目实际完成情况制定，对项目执行过程有效约束不够，存在一定的偏差。</w:t>
      </w:r>
    </w:p>
    <w:p w14:paraId="4250261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进一步深化、完善绩效管理机制，促进绩效管理工作向广度和深度延伸。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进一步加强会计核算，强化预算管理意识，严格执行预算管理制度</w:t>
      </w:r>
      <w:r>
        <w:rPr>
          <w:rFonts w:hint="eastAsia" w:asci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做到不在预算内坚决不支付。</w:t>
      </w:r>
    </w:p>
    <w:p w14:paraId="441C4AA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事前绩效评估结果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E52645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2024年度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个重大项目事前绩效评估，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个项目评估通过，涉及资金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21.5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0986C3A6">
      <w:pPr>
        <w:pStyle w:val="12"/>
        <w:numPr>
          <w:ilvl w:val="0"/>
          <w:numId w:val="1"/>
        </w:numPr>
        <w:overflowPunct w:val="0"/>
        <w:autoSpaceDE/>
        <w:autoSpaceDN/>
        <w:spacing w:line="600" w:lineRule="exact"/>
        <w:ind w:left="0" w:leftChars="0"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评价结果应用情况。</w:t>
      </w:r>
    </w:p>
    <w:p w14:paraId="299E9CCB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预算安排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2024年度绩效自评、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部门评价结果、财政评价结果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，对绩效表现优秀的项目，在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2025年度预算中予以优先保障；对绩效表现一般的项目，维持现有预算规模并加强过程管控；对绩效表现较差的项目，核减其2025年度预算，将资金统筹用于更具绩效的领域。</w:t>
      </w:r>
    </w:p>
    <w:p w14:paraId="27DC830C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支出结构调整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结合绩效评价结果，优化2025年度支出结构。加大对绩效突出的民生保障、重点业务等领域的支出比例；缩减绩效不佳、非必要的一般性支出，确保资金投向与部门战略目标和民生需求更契合。</w:t>
      </w:r>
    </w:p>
    <w:p w14:paraId="78CECBCC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评价结果，完善资金管理制度。对资金使用效率高、绩效好的项目，总结其资金管理经验并在部门内推广；对资金使用存在闲置、浪费或效益低下的项目，建立更严格的资金审批、使用和监控机制，强化资金全流程管理，提高资金使用效益。</w:t>
      </w:r>
    </w:p>
    <w:p w14:paraId="294F2975">
      <w:pPr>
        <w:pStyle w:val="12"/>
        <w:numPr>
          <w:ilvl w:val="0"/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制度建设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绩效评价中发现的制度漏洞和不足，在2025年推进相关制度建设。制定绩效目标管理、绩效监控、绩效评价结果应用等方面的配套制度，形成以绩效为导向的管理制度体系，为部门各项工作的高效开展提供制度保障。</w:t>
      </w:r>
    </w:p>
    <w:p w14:paraId="291AA1FB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9479BA6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17BCEB8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33ED55FC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0DA70BDE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74AE5E9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51D8223B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3AC828D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392D30D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4058870B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95C4F66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30B31E7D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6DFB816E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270376F1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第四部分    名词解释</w:t>
      </w:r>
    </w:p>
    <w:p w14:paraId="11D41AE0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5FE7E534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一、……</w:t>
      </w:r>
    </w:p>
    <w:p w14:paraId="017864D1">
      <w:pPr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二、……</w:t>
      </w:r>
    </w:p>
    <w:p w14:paraId="747FFDAE">
      <w:pPr>
        <w:ind w:firstLine="640" w:firstLineChars="200"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三、…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…</w:t>
      </w:r>
    </w:p>
    <w:p w14:paraId="27CFB8B9">
      <w:pPr>
        <w:pStyle w:val="12"/>
        <w:ind w:firstLine="640" w:firstLineChars="200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 w:eastAsiaTheme="minorEastAsia"/>
          <w:sz w:val="32"/>
          <w:szCs w:val="32"/>
        </w:rPr>
        <w:t>………</w:t>
      </w:r>
    </w:p>
    <w:p w14:paraId="299F9FB6">
      <w:pPr>
        <w:pStyle w:val="12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（名词解释应包含本部门专有名词，如省财政厅应有对“财政事务”科目的解释，可参考中央相关部门的名词解释）</w:t>
      </w:r>
    </w:p>
    <w:p w14:paraId="7AD62E15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4BD3C4EC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E8FBC67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5F7DD2C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64D615FF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20C67FDA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5DED052D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1E9532C6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0BE9CE0F">
      <w:pPr>
        <w:pStyle w:val="12"/>
        <w:jc w:val="both"/>
        <w:rPr>
          <w:rFonts w:ascii="Times New Roman" w:hAnsi="Times New Roman" w:cs="Times New Roman"/>
          <w:sz w:val="72"/>
          <w:szCs w:val="72"/>
        </w:rPr>
      </w:pPr>
    </w:p>
    <w:p w14:paraId="4B09477A">
      <w:pPr>
        <w:pStyle w:val="12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第五部分   附 件</w:t>
      </w:r>
    </w:p>
    <w:p w14:paraId="20E59AE0">
      <w:pPr>
        <w:rPr>
          <w:rFonts w:ascii="Times New Roman" w:hAnsi="Times New Roman" w:cs="Times New Roman"/>
          <w:sz w:val="72"/>
          <w:szCs w:val="72"/>
        </w:rPr>
      </w:pPr>
    </w:p>
    <w:p w14:paraId="180AC61A">
      <w:pPr>
        <w:pStyle w:val="12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怀化日报社2024年度部</w:t>
      </w:r>
      <w:r>
        <w:rPr>
          <w:rFonts w:ascii="Times New Roman" w:hAnsi="Times New Roman" w:eastAsia="仿宋_GB2312" w:cs="Times New Roman"/>
          <w:sz w:val="32"/>
          <w:szCs w:val="32"/>
        </w:rPr>
        <w:t>门整体支出绩效自评报告。</w:t>
      </w:r>
    </w:p>
    <w:p w14:paraId="7920EC39">
      <w:pPr>
        <w:pStyle w:val="1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二、怀化日报社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部门决算表</w:t>
      </w:r>
    </w:p>
    <w:p w14:paraId="7FA6E905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780DFD17">
      <w:pPr>
        <w:pStyle w:val="12"/>
        <w:jc w:val="center"/>
        <w:rPr>
          <w:rFonts w:ascii="Times New Roman" w:hAnsi="Times New Roman" w:cs="Times New Roman"/>
          <w:sz w:val="72"/>
          <w:szCs w:val="72"/>
        </w:rPr>
      </w:pPr>
    </w:p>
    <w:p w14:paraId="3E27071A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C33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6B6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F2A1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AF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3DDB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3DDB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068AD"/>
    <w:multiLevelType w:val="singleLevel"/>
    <w:tmpl w:val="AA3068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7BD034"/>
    <w:multiLevelType w:val="singleLevel"/>
    <w:tmpl w:val="BB7BD034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FC3A9ED3"/>
    <w:multiLevelType w:val="singleLevel"/>
    <w:tmpl w:val="FC3A9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969AD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9C1412"/>
    <w:rsid w:val="04553F6E"/>
    <w:rsid w:val="04B073F7"/>
    <w:rsid w:val="05E337FC"/>
    <w:rsid w:val="09C6146A"/>
    <w:rsid w:val="0B073AE9"/>
    <w:rsid w:val="0B8415DD"/>
    <w:rsid w:val="0BC639A4"/>
    <w:rsid w:val="0BDE2A9B"/>
    <w:rsid w:val="0D0B5B12"/>
    <w:rsid w:val="0F7241F1"/>
    <w:rsid w:val="0FA4224E"/>
    <w:rsid w:val="11E206AB"/>
    <w:rsid w:val="13F106B7"/>
    <w:rsid w:val="14951F61"/>
    <w:rsid w:val="161F618A"/>
    <w:rsid w:val="168E3310"/>
    <w:rsid w:val="16AE750E"/>
    <w:rsid w:val="17171557"/>
    <w:rsid w:val="1811244B"/>
    <w:rsid w:val="18E0295B"/>
    <w:rsid w:val="1D721295"/>
    <w:rsid w:val="1D747BE6"/>
    <w:rsid w:val="1D97DEFF"/>
    <w:rsid w:val="1DFF72E5"/>
    <w:rsid w:val="1EFC6F07"/>
    <w:rsid w:val="1F19495E"/>
    <w:rsid w:val="225B43A7"/>
    <w:rsid w:val="228B6D71"/>
    <w:rsid w:val="23AD7468"/>
    <w:rsid w:val="24317BBD"/>
    <w:rsid w:val="24661428"/>
    <w:rsid w:val="25501627"/>
    <w:rsid w:val="256B319A"/>
    <w:rsid w:val="280B2A12"/>
    <w:rsid w:val="2B4C75CA"/>
    <w:rsid w:val="2BA9559E"/>
    <w:rsid w:val="2DDE64D3"/>
    <w:rsid w:val="2FDF85B8"/>
    <w:rsid w:val="2FFFEE04"/>
    <w:rsid w:val="30BD4AC6"/>
    <w:rsid w:val="33DC1707"/>
    <w:rsid w:val="34DF85B0"/>
    <w:rsid w:val="360867E3"/>
    <w:rsid w:val="381614F2"/>
    <w:rsid w:val="383C4522"/>
    <w:rsid w:val="38435BD9"/>
    <w:rsid w:val="38461530"/>
    <w:rsid w:val="39455658"/>
    <w:rsid w:val="3B8F36BC"/>
    <w:rsid w:val="405C1C05"/>
    <w:rsid w:val="41EE7977"/>
    <w:rsid w:val="42937435"/>
    <w:rsid w:val="463A38E9"/>
    <w:rsid w:val="46B02CAB"/>
    <w:rsid w:val="4734568A"/>
    <w:rsid w:val="491FF225"/>
    <w:rsid w:val="4E2E11B0"/>
    <w:rsid w:val="4E37780E"/>
    <w:rsid w:val="4E56317A"/>
    <w:rsid w:val="4F400944"/>
    <w:rsid w:val="4FFD214C"/>
    <w:rsid w:val="50210776"/>
    <w:rsid w:val="51E7154B"/>
    <w:rsid w:val="5319504B"/>
    <w:rsid w:val="53604C0C"/>
    <w:rsid w:val="539A4AC7"/>
    <w:rsid w:val="5777D4F5"/>
    <w:rsid w:val="59A22823"/>
    <w:rsid w:val="59A815C0"/>
    <w:rsid w:val="59DD8326"/>
    <w:rsid w:val="5BAD2CD9"/>
    <w:rsid w:val="5BB81F56"/>
    <w:rsid w:val="5DEF592A"/>
    <w:rsid w:val="5F117C07"/>
    <w:rsid w:val="5F9F5213"/>
    <w:rsid w:val="5FB03AA3"/>
    <w:rsid w:val="5FC6BB1E"/>
    <w:rsid w:val="5FF720F1"/>
    <w:rsid w:val="602E29D0"/>
    <w:rsid w:val="60B95007"/>
    <w:rsid w:val="611063C8"/>
    <w:rsid w:val="612E2CF2"/>
    <w:rsid w:val="61CA2A1B"/>
    <w:rsid w:val="620852F1"/>
    <w:rsid w:val="620F042E"/>
    <w:rsid w:val="661A1071"/>
    <w:rsid w:val="66434B4A"/>
    <w:rsid w:val="66696088"/>
    <w:rsid w:val="67627344"/>
    <w:rsid w:val="67FF5C0B"/>
    <w:rsid w:val="69C60B36"/>
    <w:rsid w:val="6A0E546F"/>
    <w:rsid w:val="6AC665AF"/>
    <w:rsid w:val="6B3D1EF8"/>
    <w:rsid w:val="6B90665E"/>
    <w:rsid w:val="6BC04E8F"/>
    <w:rsid w:val="6E6A40BB"/>
    <w:rsid w:val="6E7F6D7C"/>
    <w:rsid w:val="6EFC0924"/>
    <w:rsid w:val="6FB74722"/>
    <w:rsid w:val="6FEF8B7E"/>
    <w:rsid w:val="6FF939F9"/>
    <w:rsid w:val="71A6591B"/>
    <w:rsid w:val="72077373"/>
    <w:rsid w:val="721F290F"/>
    <w:rsid w:val="724F7E7D"/>
    <w:rsid w:val="732C140A"/>
    <w:rsid w:val="737D59BA"/>
    <w:rsid w:val="75023E22"/>
    <w:rsid w:val="77C37683"/>
    <w:rsid w:val="78997661"/>
    <w:rsid w:val="78F65A4C"/>
    <w:rsid w:val="79D19834"/>
    <w:rsid w:val="79FF515B"/>
    <w:rsid w:val="7B3F7B7E"/>
    <w:rsid w:val="7B58479C"/>
    <w:rsid w:val="7C0A501B"/>
    <w:rsid w:val="7CC876FF"/>
    <w:rsid w:val="7E5665C8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5121</Words>
  <Characters>5579</Characters>
  <Lines>69</Lines>
  <Paragraphs>19</Paragraphs>
  <TotalTime>26</TotalTime>
  <ScaleCrop>false</ScaleCrop>
  <LinksUpToDate>false</LinksUpToDate>
  <CharactersWithSpaces>5607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媛</cp:lastModifiedBy>
  <cp:lastPrinted>2025-09-22T02:25:00Z</cp:lastPrinted>
  <dcterms:modified xsi:type="dcterms:W3CDTF">2025-09-22T07:53:47Z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BB7B6AA21D207914D6FDA268992A22D6</vt:lpwstr>
  </property>
  <property fmtid="{D5CDD505-2E9C-101B-9397-08002B2CF9AE}" pid="4" name="KSOTemplateDocerSaveRecord">
    <vt:lpwstr>eyJoZGlkIjoiYzA2YTQwN2ViZGQzNmYzODE4MDY5NGQ3ODdlNjA3MGMiLCJ1c2VySWQiOiI2MjQ2NjU1NTgifQ==</vt:lpwstr>
  </property>
</Properties>
</file>